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丰都县禁捕相关法律法规摘选</w:t>
      </w:r>
    </w:p>
    <w:p>
      <w:pPr>
        <w:pStyle w:val="2"/>
        <w:keepNext w:val="0"/>
        <w:keepLines w:val="0"/>
        <w:pageBreakBefore w:val="0"/>
        <w:kinsoku/>
        <w:wordWrap/>
        <w:overflowPunct/>
        <w:topLinePunct w:val="0"/>
        <w:autoSpaceDN/>
        <w:bidi w:val="0"/>
        <w:spacing w:after="0" w:line="54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left"/>
        <w:textAlignment w:val="auto"/>
        <w:rPr>
          <w:rFonts w:hint="default" w:ascii="Times New Roman" w:hAnsi="Times New Roman" w:eastAsia="方正仿宋_GBK" w:cs="Times New Roman"/>
          <w:w w:val="99"/>
          <w:sz w:val="32"/>
          <w:szCs w:val="32"/>
          <w:lang w:val="en-US" w:eastAsia="zh-CN"/>
        </w:rPr>
      </w:pPr>
      <w:r>
        <w:rPr>
          <w:rFonts w:hint="default" w:ascii="Times New Roman" w:hAnsi="Times New Roman" w:eastAsia="方正仿宋_GBK" w:cs="Times New Roman"/>
          <w:w w:val="99"/>
          <w:sz w:val="32"/>
          <w:szCs w:val="32"/>
          <w:lang w:val="en-US" w:eastAsia="zh-CN"/>
        </w:rPr>
        <w:t>禁捕范围和禁捕时间内禁止非法捕捞，违者处五万元以下罚款；使用电、毒、炸方式捕捞和使用刺网、耙刺（锚鱼、射鱼、叉鱼工具）、笼壶（地笼、虾笼）、钩尖7颗以上钓具等禁用渔具非法捕捞的将被追究刑责。</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left"/>
        <w:textAlignment w:val="auto"/>
        <w:rPr>
          <w:rFonts w:hint="default" w:ascii="Times New Roman" w:hAnsi="Times New Roman" w:eastAsia="方正仿宋_GBK" w:cs="Times New Roman"/>
          <w:w w:val="99"/>
          <w:sz w:val="32"/>
          <w:szCs w:val="32"/>
          <w:lang w:val="en-US" w:eastAsia="zh-CN"/>
        </w:rPr>
      </w:pPr>
      <w:r>
        <w:rPr>
          <w:rFonts w:hint="default" w:ascii="Times New Roman" w:hAnsi="Times New Roman" w:eastAsia="方正仿宋_GBK" w:cs="Times New Roman"/>
          <w:w w:val="99"/>
          <w:sz w:val="32"/>
          <w:szCs w:val="32"/>
          <w:lang w:val="en-US" w:eastAsia="zh-CN"/>
        </w:rPr>
        <w:t>禁止收购、加工、销售非法捕捞的渔获物。收购、加工、销售非法捕捞渔获物的，没收渔获物及其制品和违法所得，并处货值金额十倍以上二十倍以下罚款；情节严重的将被追究刑责。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仿宋_GBK" w:cs="Times New Roman"/>
          <w:w w:val="99"/>
          <w:kern w:val="0"/>
          <w:sz w:val="32"/>
          <w:szCs w:val="32"/>
          <w:lang w:val="en-US" w:eastAsia="zh-CN" w:bidi="ar-SA"/>
        </w:rPr>
      </w:pPr>
      <w:r>
        <w:rPr>
          <w:rFonts w:hint="default" w:ascii="Times New Roman" w:hAnsi="Times New Roman" w:eastAsia="方正仿宋_GBK" w:cs="Times New Roman"/>
          <w:w w:val="99"/>
          <w:kern w:val="0"/>
          <w:sz w:val="32"/>
          <w:szCs w:val="32"/>
          <w:lang w:val="en-US" w:eastAsia="zh-CN" w:bidi="ar-SA"/>
        </w:rPr>
        <w:t>　　在禁捕区域内非法垂钓情节严重的，没收渔具，并处二百元以上二千元以下罚款。使用国家公布的禁用钓具，或者使用泥鳅、虾类等水生生物作为窝料等以垂钓方式进行非法捕捞的，按《中华人民共和国渔业法》《中华人民共和国长江保护法》等法律法规规定进行处罚。</w:t>
      </w:r>
    </w:p>
    <w:p>
      <w:pPr>
        <w:pStyle w:val="2"/>
        <w:keepNext w:val="0"/>
        <w:keepLines w:val="0"/>
        <w:pageBreakBefore w:val="0"/>
        <w:kinsoku/>
        <w:wordWrap/>
        <w:overflowPunct/>
        <w:topLinePunct w:val="0"/>
        <w:autoSpaceDN/>
        <w:bidi w:val="0"/>
        <w:spacing w:after="0" w:line="540" w:lineRule="exact"/>
        <w:ind w:firstLine="632" w:firstLineChars="200"/>
        <w:textAlignment w:val="auto"/>
        <w:rPr>
          <w:rFonts w:hint="default" w:ascii="Times New Roman" w:hAnsi="Times New Roman" w:eastAsia="方正仿宋_GBK" w:cs="Times New Roman"/>
          <w:w w:val="99"/>
          <w:sz w:val="32"/>
          <w:szCs w:val="32"/>
          <w:lang w:val="en-US" w:eastAsia="zh-CN"/>
        </w:rPr>
      </w:pPr>
      <w:r>
        <w:rPr>
          <w:rFonts w:hint="eastAsia" w:ascii="方正楷体_GBK" w:hAnsi="方正楷体_GBK" w:eastAsia="方正楷体_GBK" w:cs="方正楷体_GBK"/>
          <w:w w:val="99"/>
          <w:sz w:val="32"/>
          <w:szCs w:val="32"/>
          <w:lang w:val="en-US" w:eastAsia="zh-CN"/>
        </w:rPr>
        <w:t>监督举报电话:</w:t>
      </w:r>
      <w:r>
        <w:rPr>
          <w:rFonts w:hint="default" w:ascii="Times New Roman" w:hAnsi="Times New Roman" w:eastAsia="方正仿宋_GBK" w:cs="Times New Roman"/>
          <w:w w:val="99"/>
          <w:sz w:val="32"/>
          <w:szCs w:val="32"/>
          <w:lang w:val="en-US" w:eastAsia="zh-CN"/>
        </w:rPr>
        <w:t>县公安局: 110、70719110,县农业农村委: 70606527、70619113。</w:t>
      </w:r>
    </w:p>
    <w:p>
      <w:pPr>
        <w:pStyle w:val="3"/>
        <w:keepNext w:val="0"/>
        <w:keepLines w:val="0"/>
        <w:pageBreakBefore w:val="0"/>
        <w:kinsoku/>
        <w:wordWrap/>
        <w:overflowPunct/>
        <w:topLinePunct w:val="0"/>
        <w:autoSpaceDN/>
        <w:bidi w:val="0"/>
        <w:spacing w:line="540" w:lineRule="exact"/>
        <w:textAlignment w:val="auto"/>
        <w:rPr>
          <w:rFonts w:hint="default"/>
          <w:lang w:val="en-US" w:eastAsia="zh-CN"/>
        </w:rPr>
      </w:pPr>
    </w:p>
    <w:p>
      <w:pPr>
        <w:keepNext w:val="0"/>
        <w:keepLines w:val="0"/>
        <w:pageBreakBefore w:val="0"/>
        <w:kinsoku/>
        <w:wordWrap/>
        <w:overflowPunct/>
        <w:topLinePunct w:val="0"/>
        <w:autoSpaceDN/>
        <w:bidi w:val="0"/>
        <w:spacing w:line="540" w:lineRule="exact"/>
        <w:jc w:val="center"/>
        <w:textAlignment w:val="auto"/>
        <w:rPr>
          <w:rFonts w:hint="default" w:ascii="Times New Roman" w:hAnsi="Times New Roman" w:eastAsia="方正小标宋_GBK" w:cs="Times New Roman"/>
          <w:spacing w:val="14"/>
          <w:sz w:val="32"/>
          <w:szCs w:val="32"/>
          <w:lang w:eastAsia="zh-CN"/>
        </w:rPr>
      </w:pPr>
      <w:r>
        <w:rPr>
          <w:rFonts w:hint="default" w:ascii="Times New Roman" w:hAnsi="Times New Roman" w:eastAsia="方正小标宋_GBK" w:cs="Times New Roman"/>
          <w:spacing w:val="14"/>
          <w:sz w:val="32"/>
          <w:szCs w:val="32"/>
          <w:lang w:eastAsia="zh-CN"/>
        </w:rPr>
        <w:t>《</w:t>
      </w:r>
      <w:r>
        <w:rPr>
          <w:rFonts w:hint="default" w:ascii="Times New Roman" w:hAnsi="Times New Roman" w:eastAsia="方正小标宋_GBK" w:cs="Times New Roman"/>
          <w:spacing w:val="14"/>
          <w:sz w:val="32"/>
          <w:szCs w:val="32"/>
        </w:rPr>
        <w:t>丰都县农业农村委员会等8部门关于丰都县长江流域重点水域实行全面禁捕的通告</w:t>
      </w:r>
      <w:r>
        <w:rPr>
          <w:rFonts w:hint="default" w:ascii="Times New Roman" w:hAnsi="Times New Roman" w:eastAsia="方正小标宋_GBK" w:cs="Times New Roman"/>
          <w:spacing w:val="14"/>
          <w:sz w:val="32"/>
          <w:szCs w:val="32"/>
          <w:lang w:eastAsia="zh-CN"/>
        </w:rPr>
        <w:t>》</w:t>
      </w:r>
    </w:p>
    <w:p>
      <w:pPr>
        <w:keepNext w:val="0"/>
        <w:keepLines w:val="0"/>
        <w:pageBreakBefore w:val="0"/>
        <w:kinsoku/>
        <w:wordWrap/>
        <w:overflowPunct/>
        <w:topLinePunct w:val="0"/>
        <w:autoSpaceDN/>
        <w:bidi w:val="0"/>
        <w:spacing w:line="540" w:lineRule="exact"/>
        <w:jc w:val="center"/>
        <w:textAlignment w:val="auto"/>
        <w:rPr>
          <w:rFonts w:hint="default" w:ascii="Times New Roman" w:hAnsi="Times New Roman" w:eastAsia="方正楷体_GBK" w:cs="Times New Roman"/>
          <w:spacing w:val="14"/>
          <w:sz w:val="32"/>
          <w:szCs w:val="32"/>
          <w:lang w:eastAsia="zh-CN"/>
        </w:rPr>
      </w:pPr>
      <w:r>
        <w:rPr>
          <w:rFonts w:hint="default" w:ascii="Times New Roman" w:hAnsi="Times New Roman" w:eastAsia="方正楷体_GBK" w:cs="Times New Roman"/>
          <w:spacing w:val="14"/>
          <w:sz w:val="32"/>
          <w:szCs w:val="32"/>
          <w:lang w:eastAsia="zh-CN"/>
        </w:rPr>
        <w:t>（</w:t>
      </w:r>
      <w:r>
        <w:rPr>
          <w:rFonts w:hint="default" w:ascii="Times New Roman" w:hAnsi="Times New Roman" w:eastAsia="方正仿宋_GBK" w:cs="Times New Roman"/>
          <w:sz w:val="32"/>
          <w:szCs w:val="32"/>
        </w:rPr>
        <w:t>丰农业农村委发〔2020〕334号</w:t>
      </w:r>
      <w:r>
        <w:rPr>
          <w:rFonts w:hint="default" w:ascii="Times New Roman" w:hAnsi="Times New Roman" w:eastAsia="方正楷体_GBK" w:cs="Times New Roman"/>
          <w:spacing w:val="14"/>
          <w:sz w:val="32"/>
          <w:szCs w:val="32"/>
          <w:lang w:eastAsia="zh-CN"/>
        </w:rPr>
        <w:t>）</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一、禁捕时间</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2021年1月1日0时至2030年12月31日24时。</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二、禁捕范围</w:t>
      </w:r>
    </w:p>
    <w:p>
      <w:pPr>
        <w:keepNext w:val="0"/>
        <w:keepLines w:val="0"/>
        <w:pageBreakBefore w:val="0"/>
        <w:widowControl/>
        <w:kinsoku/>
        <w:wordWrap/>
        <w:overflowPunct/>
        <w:topLinePunct w:val="0"/>
        <w:autoSpaceDE w:val="0"/>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长江干流丰都段及其</w:t>
      </w:r>
      <w:r>
        <w:rPr>
          <w:rFonts w:hint="default" w:ascii="Times New Roman" w:hAnsi="Times New Roman" w:eastAsia="方正仿宋_GBK" w:cs="Times New Roman"/>
          <w:sz w:val="32"/>
          <w:szCs w:val="32"/>
        </w:rPr>
        <w:t>河汊</w:t>
      </w:r>
      <w:r>
        <w:rPr>
          <w:rFonts w:hint="default" w:ascii="Times New Roman" w:hAnsi="Times New Roman" w:eastAsia="方正仿宋_GBK" w:cs="Times New Roman"/>
          <w:kern w:val="32"/>
          <w:sz w:val="32"/>
          <w:szCs w:val="32"/>
        </w:rPr>
        <w:t>；龙河干流丰都段、渠溪河干流丰都段、碧溪河丰都段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32"/>
          <w:sz w:val="32"/>
          <w:szCs w:val="32"/>
        </w:rPr>
        <w:t>石马河、暨龙河、双鹰河、包鸾河、飞龙河、双龙河、小佛溪、大沙溪、朗溪、赤溪、汶溪、汀溪、双溪、玉溪、撮箕铺、大山溪干流及</w:t>
      </w:r>
      <w:r>
        <w:rPr>
          <w:rFonts w:hint="default" w:ascii="Times New Roman" w:hAnsi="Times New Roman" w:eastAsia="方正仿宋_GBK" w:cs="Times New Roman"/>
          <w:sz w:val="32"/>
          <w:szCs w:val="32"/>
        </w:rPr>
        <w:t>与干流水域一体的河汊水域，以水陆交界线为界</w:t>
      </w:r>
      <w:r>
        <w:rPr>
          <w:rFonts w:hint="default" w:ascii="Times New Roman" w:hAnsi="Times New Roman" w:eastAsia="方正仿宋_GBK" w:cs="Times New Roman"/>
          <w:kern w:val="32"/>
          <w:sz w:val="32"/>
          <w:szCs w:val="32"/>
        </w:rPr>
        <w:t>（详细禁捕范围以</w:t>
      </w:r>
      <w:r>
        <w:rPr>
          <w:rFonts w:hint="default" w:ascii="Times New Roman" w:hAnsi="Times New Roman" w:eastAsia="方正仿宋_GBK" w:cs="Times New Roman"/>
          <w:sz w:val="32"/>
          <w:szCs w:val="32"/>
        </w:rPr>
        <w:t>渝农发〔2020〕</w:t>
      </w:r>
      <w:r>
        <w:rPr>
          <w:rFonts w:hint="default" w:ascii="Times New Roman" w:hAnsi="Times New Roman" w:eastAsia="方正仿宋_GBK" w:cs="Times New Roman"/>
          <w:spacing w:val="-10"/>
          <w:sz w:val="32"/>
          <w:szCs w:val="32"/>
        </w:rPr>
        <w:t>148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kern w:val="32"/>
          <w:sz w:val="32"/>
          <w:szCs w:val="32"/>
        </w:rPr>
        <w:t>为准）</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三、禁止类型</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禁捕范围和禁捕时间内，禁止生产性捕捞、禁止扎巢采卵。禁止销售在禁捕范围和禁捕时间内捕获的渔获物。</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纳入全县禁捕范围内的重点水域，每年3月1日至6月30日禁止垂钓，其他时间内的垂钓按有关规定执行。</w:t>
      </w:r>
    </w:p>
    <w:p>
      <w:pPr>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5"/>
        <w:keepNext w:val="0"/>
        <w:keepLines w:val="0"/>
        <w:pageBreakBefore w:val="0"/>
        <w:shd w:val="clear" w:color="auto" w:fill="FFFFFF"/>
        <w:kinsoku/>
        <w:wordWrap/>
        <w:overflowPunct/>
        <w:topLinePunct w:val="0"/>
        <w:autoSpaceDN/>
        <w:bidi w:val="0"/>
        <w:spacing w:before="0" w:beforeAutospacing="0" w:after="0" w:afterAutospacing="0" w:line="540" w:lineRule="exact"/>
        <w:jc w:val="center"/>
        <w:textAlignment w:val="auto"/>
        <w:rPr>
          <w:rFonts w:hint="eastAsia" w:ascii="方正小标宋_GBK" w:hAnsi="方正小标宋_GBK" w:eastAsia="方正小标宋_GBK" w:cs="方正小标宋_GBK"/>
          <w:spacing w:val="14"/>
          <w:sz w:val="32"/>
          <w:szCs w:val="32"/>
          <w:lang w:val="en-US" w:eastAsia="zh-CN"/>
        </w:rPr>
      </w:pPr>
      <w:r>
        <w:rPr>
          <w:rFonts w:hint="eastAsia" w:ascii="方正小标宋_GBK" w:hAnsi="方正小标宋_GBK" w:eastAsia="方正小标宋_GBK" w:cs="方正小标宋_GBK"/>
          <w:spacing w:val="14"/>
          <w:sz w:val="32"/>
          <w:szCs w:val="32"/>
          <w:lang w:val="en-US" w:eastAsia="zh-CN"/>
        </w:rPr>
        <w:t>《</w:t>
      </w:r>
      <w:r>
        <w:rPr>
          <w:rStyle w:val="8"/>
          <w:rFonts w:hint="eastAsia" w:ascii="方正小标宋_GBK" w:hAnsi="方正小标宋_GBK" w:eastAsia="方正小标宋_GBK" w:cs="方正小标宋_GBK"/>
          <w:b w:val="0"/>
          <w:bCs w:val="0"/>
          <w:color w:val="auto"/>
          <w:sz w:val="32"/>
          <w:szCs w:val="32"/>
        </w:rPr>
        <w:t>重庆市农业农村委员会关于印发重庆市禁捕水域休闲垂钓管理办法（试行）的通知</w:t>
      </w:r>
      <w:r>
        <w:rPr>
          <w:rFonts w:hint="eastAsia" w:ascii="方正小标宋_GBK" w:hAnsi="方正小标宋_GBK" w:eastAsia="方正小标宋_GBK" w:cs="方正小标宋_GBK"/>
          <w:spacing w:val="14"/>
          <w:sz w:val="32"/>
          <w:szCs w:val="32"/>
          <w:lang w:val="en-US" w:eastAsia="zh-CN"/>
        </w:rPr>
        <w:t>》</w:t>
      </w:r>
    </w:p>
    <w:p>
      <w:pPr>
        <w:pStyle w:val="5"/>
        <w:keepNext w:val="0"/>
        <w:keepLines w:val="0"/>
        <w:pageBreakBefore w:val="0"/>
        <w:shd w:val="clear" w:color="auto" w:fill="FFFFFF"/>
        <w:kinsoku/>
        <w:wordWrap/>
        <w:overflowPunct/>
        <w:topLinePunct w:val="0"/>
        <w:autoSpaceDN/>
        <w:bidi w:val="0"/>
        <w:spacing w:before="0" w:beforeAutospacing="0" w:after="0" w:afterAutospacing="0" w:line="540" w:lineRule="exact"/>
        <w:jc w:val="center"/>
        <w:textAlignment w:val="auto"/>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z w:val="32"/>
          <w:szCs w:val="32"/>
          <w:lang w:eastAsia="zh-CN"/>
        </w:rPr>
        <w:t>（渝农规</w:t>
      </w:r>
      <w:r>
        <w:rPr>
          <w:rFonts w:hint="eastAsia" w:ascii="方正仿宋_GBK" w:hAnsi="方正仿宋_GBK" w:eastAsia="方正仿宋_GBK" w:cs="方正仿宋_GBK"/>
          <w:color w:val="000000"/>
          <w:spacing w:val="20"/>
          <w:sz w:val="32"/>
          <w:szCs w:val="32"/>
        </w:rPr>
        <w:t>〔</w:t>
      </w:r>
      <w:r>
        <w:rPr>
          <w:rFonts w:hint="eastAsia" w:ascii="方正仿宋_GBK" w:hAnsi="方正仿宋_GBK" w:eastAsia="方正仿宋_GBK" w:cs="方正仿宋_GBK"/>
          <w:sz w:val="32"/>
          <w:szCs w:val="32"/>
          <w:lang w:eastAsia="zh-CN"/>
        </w:rPr>
        <w:t>2022</w:t>
      </w:r>
      <w:r>
        <w:rPr>
          <w:rFonts w:hint="eastAsia" w:ascii="方正仿宋_GBK" w:hAnsi="方正仿宋_GBK" w:eastAsia="方正仿宋_GBK" w:cs="方正仿宋_GBK"/>
          <w:color w:val="000000"/>
          <w:spacing w:val="20"/>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000000"/>
          <w:spacing w:val="20"/>
          <w:sz w:val="32"/>
          <w:szCs w:val="32"/>
        </w:rPr>
        <w:t>号</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9"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禁钓区、禁钓期禁止垂钓。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禁钓区、禁钓期之外，可以进行休闲垂钓。休闲垂钓是指以不破坏渔业资源为原则，以休闲娱乐为目的，钓具钓法和钓获物符合规定，钓获物不用于交易获利的垂钓行为。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9"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第四条 </w:t>
      </w:r>
      <w:r>
        <w:rPr>
          <w:rFonts w:hint="default" w:ascii="Times New Roman" w:hAnsi="Times New Roman" w:eastAsia="方正仿宋_GBK" w:cs="Times New Roman"/>
          <w:sz w:val="32"/>
          <w:szCs w:val="32"/>
        </w:rPr>
        <w:t>本办法所称禁钓期为每年3月1日0时至6月30日24时。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9"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第五条 </w:t>
      </w:r>
      <w:r>
        <w:rPr>
          <w:rFonts w:hint="default" w:ascii="Times New Roman" w:hAnsi="Times New Roman" w:eastAsia="方正仿宋_GBK" w:cs="Times New Roman"/>
          <w:sz w:val="32"/>
          <w:szCs w:val="32"/>
        </w:rPr>
        <w:t>禁钓区、禁钓期之外，每名垂钓者应当使用一根鱼竿（鱼线），鱼钩钩尖总数不超过两个的钓具进行垂钓。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9"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第六条</w:t>
      </w:r>
      <w:r>
        <w:rPr>
          <w:rFonts w:hint="default" w:ascii="Times New Roman" w:hAnsi="Times New Roman" w:eastAsia="方正仿宋_GBK" w:cs="Times New Roman"/>
          <w:sz w:val="32"/>
          <w:szCs w:val="32"/>
        </w:rPr>
        <w:t xml:space="preserve"> 禁止使用下列工具或方法进行垂钓：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（一）国家和我市公布的禁用钓具；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（二）探鱼设备、视频辅助装置等工具；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（三）含有毒有害物质的饵料、窝料；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（四）以泥鳅、虾类等水生生物作为</w:t>
      </w:r>
      <w:r>
        <w:rPr>
          <w:rFonts w:hint="default" w:ascii="Times New Roman" w:hAnsi="Times New Roman" w:eastAsia="方正仿宋_GBK" w:cs="Times New Roman"/>
          <w:b w:val="0"/>
          <w:bCs/>
          <w:sz w:val="32"/>
          <w:szCs w:val="32"/>
        </w:rPr>
        <w:t>饵料</w:t>
      </w:r>
      <w:r>
        <w:rPr>
          <w:rFonts w:hint="default" w:ascii="Times New Roman" w:hAnsi="Times New Roman" w:eastAsia="方正仿宋_GBK" w:cs="Times New Roman"/>
          <w:b w:val="0"/>
          <w:bCs/>
          <w:i/>
          <w:sz w:val="32"/>
          <w:szCs w:val="32"/>
        </w:rPr>
        <w:t>、</w:t>
      </w:r>
      <w:r>
        <w:rPr>
          <w:rFonts w:hint="default" w:ascii="Times New Roman" w:hAnsi="Times New Roman" w:eastAsia="方正仿宋_GBK" w:cs="Times New Roman"/>
          <w:sz w:val="32"/>
          <w:szCs w:val="32"/>
        </w:rPr>
        <w:t>窝料；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（五）利用船艇、排筏、</w:t>
      </w:r>
      <w:r>
        <w:rPr>
          <w:rFonts w:hint="eastAsia"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水上漂浮物等工具；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（六）钩宽超过2cm的鱼钩，钩宽是指钩尖到钩柄的最小距离。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29" w:firstLineChars="196"/>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sz w:val="32"/>
          <w:szCs w:val="32"/>
        </w:rPr>
        <w:t xml:space="preserve">第七条 </w:t>
      </w:r>
      <w:r>
        <w:rPr>
          <w:rFonts w:hint="default" w:ascii="Times New Roman" w:hAnsi="Times New Roman" w:eastAsia="方正仿宋_GBK" w:cs="Times New Roman"/>
          <w:sz w:val="32"/>
          <w:szCs w:val="32"/>
        </w:rPr>
        <w:t>禁止钓获国家和市级重点保护水生野生动物。钓获国家或市级重点保护水生野生动物的，应当立即放回原水体。</w:t>
      </w:r>
      <w:r>
        <w:rPr>
          <w:rFonts w:hint="default" w:ascii="Times New Roman" w:hAnsi="Times New Roman" w:eastAsia="方正仿宋_GBK" w:cs="Times New Roman"/>
          <w:b w:val="0"/>
          <w:bCs/>
          <w:sz w:val="32"/>
          <w:szCs w:val="32"/>
        </w:rPr>
        <w:t>若重点保护水生野生动物有明显外伤的，应及时报告属地渔业主管部门，开展收容救护工作。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9" w:firstLineChars="19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第八条 </w:t>
      </w:r>
      <w:r>
        <w:rPr>
          <w:rFonts w:hint="default" w:ascii="Times New Roman" w:hAnsi="Times New Roman" w:eastAsia="方正仿宋_GBK" w:cs="Times New Roman"/>
          <w:sz w:val="32"/>
          <w:szCs w:val="32"/>
        </w:rPr>
        <w:t>每名垂钓者每天垂钓期间，留取的钓获物总量不得超过2.5千克，超出部分应当立即放回原水体。钓获单尾（只）重量超过2.5千克的，可以留取，其他钓获物应当立即放回原水体。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第十条 </w:t>
      </w:r>
      <w:r>
        <w:rPr>
          <w:rFonts w:hint="default" w:ascii="Times New Roman" w:hAnsi="Times New Roman" w:eastAsia="方正仿宋_GBK" w:cs="Times New Roman"/>
          <w:sz w:val="32"/>
          <w:szCs w:val="32"/>
        </w:rPr>
        <w:t>禁止丢弃、分散、隐藏应当立即放回原水体的钓获物。</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27" w:firstLineChars="196"/>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禁止收购、销售禁捕水域钓获物及其制品。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sz w:val="32"/>
          <w:szCs w:val="32"/>
        </w:rPr>
        <w:t xml:space="preserve">第十六条 </w:t>
      </w:r>
      <w:r>
        <w:rPr>
          <w:rFonts w:hint="default" w:ascii="Times New Roman" w:hAnsi="Times New Roman" w:eastAsia="方正仿宋_GBK" w:cs="Times New Roman"/>
          <w:b w:val="0"/>
          <w:bCs/>
          <w:sz w:val="32"/>
          <w:szCs w:val="32"/>
        </w:rPr>
        <w:t>在禁捕区域内非法垂钓的，按照《重庆市人民代表大会常务委员会关于促进和保障长江流域禁捕工作的决定》进行处罚。有下列情形之一的，属于“情节严重”：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（一）3个月内有两次及以上非法垂钓行为的；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（二）在禁钓区或禁钓期进行垂钓的；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（三）使用两根鱼竿（鱼线）进行垂钓且留取的钓获物重量或规格不符合规定的；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default" w:ascii="Times New Roman" w:hAnsi="Times New Roman" w:eastAsia="方正仿宋_GBK" w:cs="Times New Roman"/>
          <w:b w:val="0"/>
          <w:bCs/>
          <w:color w:val="FF0000"/>
          <w:sz w:val="32"/>
          <w:szCs w:val="32"/>
          <w:highlight w:val="yellow"/>
        </w:rPr>
      </w:pPr>
      <w:r>
        <w:rPr>
          <w:rFonts w:hint="default" w:ascii="Times New Roman" w:hAnsi="Times New Roman" w:eastAsia="方正仿宋_GBK" w:cs="Times New Roman"/>
          <w:b w:val="0"/>
          <w:bCs/>
          <w:sz w:val="32"/>
          <w:szCs w:val="32"/>
        </w:rPr>
        <w:t>（四）使用三根及以上鱼竿（鱼线），或者使用我市公布的禁用钓具进行垂钓的；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（五）使用探鱼设备、视频辅助装置等工具进行垂钓的；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（六）使用含有毒有害物质的饵料、窝料进行垂钓的；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（七）使用以泥鳅、虾类等水生生物作为饵料进行垂钓的；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（八）使用利用船艇、排筏、</w:t>
      </w:r>
      <w:bookmarkStart w:id="0" w:name="_GoBack"/>
      <w:bookmarkEnd w:id="0"/>
      <w:r>
        <w:rPr>
          <w:rFonts w:hint="eastAsia" w:ascii="Times New Roman" w:hAnsi="Times New Roman" w:eastAsia="方正仿宋_GBK" w:cs="Times New Roman"/>
          <w:b w:val="0"/>
          <w:bCs/>
          <w:sz w:val="32"/>
          <w:szCs w:val="32"/>
          <w:lang w:eastAsia="zh-CN"/>
        </w:rPr>
        <w:t>其他</w:t>
      </w:r>
      <w:r>
        <w:rPr>
          <w:rFonts w:hint="default" w:ascii="Times New Roman" w:hAnsi="Times New Roman" w:eastAsia="方正仿宋_GBK" w:cs="Times New Roman"/>
          <w:b w:val="0"/>
          <w:bCs/>
          <w:sz w:val="32"/>
          <w:szCs w:val="32"/>
        </w:rPr>
        <w:t>水上漂浮物等工具进行垂钓的；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（九）留取钓获物总重量超过2.5千克（留取钓获物数量仅1尾的除外），且拒不放回水体的；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（十）丢弃、分散、隐藏应当立即放回原水体的钓获物的。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val="0"/>
          <w:sz w:val="32"/>
          <w:szCs w:val="32"/>
        </w:rPr>
        <w:t>第十七条</w:t>
      </w:r>
      <w:r>
        <w:rPr>
          <w:rFonts w:hint="default" w:ascii="Times New Roman" w:hAnsi="Times New Roman" w:eastAsia="方正仿宋_GBK" w:cs="Times New Roman"/>
          <w:b w:val="0"/>
          <w:bCs/>
          <w:sz w:val="32"/>
          <w:szCs w:val="32"/>
        </w:rPr>
        <w:t xml:space="preserve"> 使用国家公布的禁用钓具，或者使用泥鳅、虾类等水生生物作为窝料等</w:t>
      </w:r>
      <w:r>
        <w:rPr>
          <w:rFonts w:hint="default" w:ascii="Times New Roman" w:hAnsi="Times New Roman" w:eastAsia="方正仿宋_GBK" w:cs="Times New Roman"/>
          <w:b w:val="0"/>
          <w:bCs/>
          <w:sz w:val="32"/>
          <w:szCs w:val="32"/>
          <w:lang w:eastAsia="zh-CN"/>
        </w:rPr>
        <w:t>以</w:t>
      </w:r>
      <w:r>
        <w:rPr>
          <w:rFonts w:hint="default" w:ascii="Times New Roman" w:hAnsi="Times New Roman" w:eastAsia="方正仿宋_GBK" w:cs="Times New Roman"/>
          <w:b w:val="0"/>
          <w:bCs/>
          <w:sz w:val="32"/>
          <w:szCs w:val="32"/>
        </w:rPr>
        <w:t>垂钓方式进行非法捕捞的，按《中华人民共和国渔业法》《中华人民共和国长江保护法》等法律法规规定进行处罚。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第十八条 </w:t>
      </w:r>
      <w:r>
        <w:rPr>
          <w:rFonts w:hint="default" w:ascii="Times New Roman" w:hAnsi="Times New Roman" w:eastAsia="方正仿宋_GBK" w:cs="Times New Roman"/>
          <w:sz w:val="32"/>
          <w:szCs w:val="32"/>
        </w:rPr>
        <w:t>违反本办法规定，钓获国家、市级重点保护水生野生动物，拒不放回原水体的，按照《中华人民共和国野生动物保护法》等相关法律法规规定进行处罚。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N/>
        <w:bidi w:val="0"/>
        <w:spacing w:line="540" w:lineRule="exact"/>
        <w:jc w:val="center"/>
        <w:textAlignment w:val="auto"/>
        <w:rPr>
          <w:rFonts w:hint="eastAsia" w:ascii="方正小标宋_GBK" w:hAnsi="方正小标宋_GBK" w:eastAsia="方正小标宋_GBK" w:cs="方正小标宋_GBK"/>
          <w:b w:val="0"/>
          <w:bCs w:val="0"/>
          <w:color w:val="000000" w:themeColor="text1"/>
          <w:kern w:val="36"/>
          <w:sz w:val="32"/>
          <w:szCs w:val="32"/>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32"/>
          <w:szCs w:val="32"/>
          <w14:textFill>
            <w14:solidFill>
              <w14:schemeClr w14:val="tx1"/>
            </w14:solidFill>
          </w14:textFill>
        </w:rPr>
        <w:t>重庆市人民代表大会常务委员会公告〔五届〕第143号</w:t>
      </w:r>
    </w:p>
    <w:p>
      <w:pPr>
        <w:keepNext w:val="0"/>
        <w:keepLines w:val="0"/>
        <w:pageBreakBefore w:val="0"/>
        <w:widowControl/>
        <w:kinsoku/>
        <w:wordWrap/>
        <w:overflowPunct/>
        <w:topLinePunct w:val="0"/>
        <w:autoSpaceDN/>
        <w:bidi w:val="0"/>
        <w:spacing w:line="540" w:lineRule="exact"/>
        <w:jc w:val="center"/>
        <w:textAlignment w:val="auto"/>
        <w:rPr>
          <w:rFonts w:hint="eastAsia" w:ascii="方正小标宋_GBK" w:hAnsi="方正小标宋_GBK" w:eastAsia="方正小标宋_GBK" w:cs="方正小标宋_GBK"/>
          <w:b w:val="0"/>
          <w:bCs w:val="0"/>
          <w:color w:val="000000" w:themeColor="text1"/>
          <w:kern w:val="36"/>
          <w:sz w:val="32"/>
          <w:szCs w:val="32"/>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32"/>
          <w:szCs w:val="32"/>
          <w:lang w:eastAsia="zh-CN"/>
          <w14:textFill>
            <w14:solidFill>
              <w14:schemeClr w14:val="tx1"/>
            </w14:solidFill>
          </w14:textFill>
        </w:rPr>
        <w:t>《</w:t>
      </w:r>
      <w:r>
        <w:rPr>
          <w:rFonts w:hint="eastAsia" w:ascii="方正小标宋_GBK" w:hAnsi="方正小标宋_GBK" w:eastAsia="方正小标宋_GBK" w:cs="方正小标宋_GBK"/>
          <w:b w:val="0"/>
          <w:bCs w:val="0"/>
          <w:color w:val="000000" w:themeColor="text1"/>
          <w:kern w:val="0"/>
          <w:sz w:val="32"/>
          <w:szCs w:val="32"/>
          <w14:textFill>
            <w14:solidFill>
              <w14:schemeClr w14:val="tx1"/>
            </w14:solidFill>
          </w14:textFill>
        </w:rPr>
        <w:t>重庆市人民代表大会常务委员会关于促进和保障长江流域禁捕工作的决定</w:t>
      </w:r>
      <w:r>
        <w:rPr>
          <w:rFonts w:hint="eastAsia" w:ascii="方正小标宋_GBK" w:hAnsi="方正小标宋_GBK" w:eastAsia="方正小标宋_GBK" w:cs="方正小标宋_GBK"/>
          <w:b w:val="0"/>
          <w:bCs w:val="0"/>
          <w:color w:val="000000" w:themeColor="text1"/>
          <w:kern w:val="36"/>
          <w:sz w:val="32"/>
          <w:szCs w:val="32"/>
          <w:lang w:eastAsia="zh-CN"/>
          <w14:textFill>
            <w14:solidFill>
              <w14:schemeClr w14:val="tx1"/>
            </w14:solidFill>
          </w14:textFill>
        </w:rPr>
        <w:t>》</w:t>
      </w:r>
    </w:p>
    <w:p>
      <w:pPr>
        <w:keepNext w:val="0"/>
        <w:keepLines w:val="0"/>
        <w:pageBreakBefore w:val="0"/>
        <w:widowControl/>
        <w:kinsoku/>
        <w:wordWrap/>
        <w:overflowPunct/>
        <w:topLinePunct w:val="0"/>
        <w:autoSpaceDN/>
        <w:bidi w:val="0"/>
        <w:spacing w:line="54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三、禁捕期限内，禁止下列行为：</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（一）在禁捕区域内进行生产性捕捞；</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（二）收购、加工、销售、运输、食用非法捕捞渔获物及其制品，收购、销售通过休闲垂钓等方式在禁捕区域捕获的渔获物及其制品；</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（三）以“长江野生鱼”“野生江鲜”等名义，对所经营渔获物及其制品进行虚假宣传；</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（四）无船名船号、无船舶证书、无船籍港的船舶（艇、筏）在禁捕区域航行或者停泊；</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（五）其他破坏渔业资源的行为。</w:t>
      </w:r>
    </w:p>
    <w:p>
      <w:pPr>
        <w:keepNext w:val="0"/>
        <w:keepLines w:val="0"/>
        <w:pageBreakBefore w:val="0"/>
        <w:widowControl/>
        <w:kinsoku/>
        <w:wordWrap/>
        <w:overflowPunct/>
        <w:topLinePunct w:val="0"/>
        <w:autoSpaceDN/>
        <w:bidi w:val="0"/>
        <w:spacing w:line="540" w:lineRule="exact"/>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十二、违反本决定规定的，按照下列规定予以处罚：</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一）在禁捕区域内进行生产性捕捞，收购、加工、销售非法捕捞渔获物及其制品的，按照《中华人民共和国长江保护法》的相关规定进行处罚；收购、销售通过休闲垂钓等方式在禁捕区域捕获的渔获物及其制品的，由农业农村主管部门、市场监管部门按照职责分工，没收渔获物及其制品和违法所得，并处货值金额二倍以上五倍以下罚款。</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（二）以“长江野生鱼”“野生江鲜”等名义，对所经营渔获物及其制品进行虚假宣传的，由市场监管部门依据《中华人民共和国广告法》等相关法律法规予以处罚。</w:t>
      </w:r>
    </w:p>
    <w:p>
      <w:pPr>
        <w:keepNext w:val="0"/>
        <w:keepLines w:val="0"/>
        <w:pageBreakBefore w:val="0"/>
        <w:widowControl/>
        <w:kinsoku/>
        <w:wordWrap/>
        <w:overflowPunct/>
        <w:topLinePunct w:val="0"/>
        <w:autoSpaceDN/>
        <w:bidi w:val="0"/>
        <w:spacing w:line="540"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（三）无船名船号、无船舶证书、无船籍港的船舶（艇、筏）在禁捕区域航行或者停泊的，由交通、海事部门依法处罚。</w:t>
      </w:r>
    </w:p>
    <w:p>
      <w:pPr>
        <w:keepNext w:val="0"/>
        <w:keepLines w:val="0"/>
        <w:pageBreakBefore w:val="0"/>
        <w:widowControl/>
        <w:kinsoku/>
        <w:wordWrap/>
        <w:overflowPunct/>
        <w:topLinePunct w:val="0"/>
        <w:autoSpaceDN/>
        <w:bidi w:val="0"/>
        <w:spacing w:line="540" w:lineRule="exact"/>
        <w:ind w:firstLine="64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在禁捕区域内非法垂钓的，由农业农村主管部门责令停止违法行为，没收钓获物和违法所得；情节严重的，没收渔具，并处二百元以上二千元以下罚款。《中华人民共和国野生动物保护法》另有规定的，从其规定。</w:t>
      </w:r>
    </w:p>
    <w:p>
      <w:pPr>
        <w:pStyle w:val="2"/>
        <w:keepNext w:val="0"/>
        <w:keepLines w:val="0"/>
        <w:pageBreakBefore w:val="0"/>
        <w:kinsoku/>
        <w:wordWrap/>
        <w:overflowPunct/>
        <w:topLinePunct w:val="0"/>
        <w:autoSpaceDN/>
        <w:bidi w:val="0"/>
        <w:spacing w:after="0" w:line="540" w:lineRule="exact"/>
        <w:ind w:firstLine="640"/>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color w:val="000000" w:themeColor="text1"/>
          <w:kern w:val="0"/>
          <w:sz w:val="32"/>
          <w:szCs w:val="32"/>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32"/>
          <w:szCs w:val="32"/>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重庆市农业农村委员会</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关于发布重庆市禁捕水域禁止使用的渔具和捕捞方法名录的通告</w:t>
      </w:r>
      <w:r>
        <w:rPr>
          <w:rFonts w:hint="eastAsia" w:ascii="方正小标宋_GBK" w:hAnsi="方正小标宋_GBK" w:eastAsia="方正小标宋_GBK" w:cs="方正小标宋_GBK"/>
          <w:color w:val="000000" w:themeColor="text1"/>
          <w:kern w:val="0"/>
          <w:sz w:val="32"/>
          <w:szCs w:val="32"/>
          <w:lang w:eastAsia="zh-CN"/>
          <w14:textFill>
            <w14:solidFill>
              <w14:schemeClr w14:val="tx1"/>
            </w14:solidFill>
          </w14:textFill>
        </w:rPr>
        <w:t>》</w:t>
      </w:r>
    </w:p>
    <w:p>
      <w:pPr>
        <w:pStyle w:val="3"/>
        <w:keepNext w:val="0"/>
        <w:keepLines w:val="0"/>
        <w:pageBreakBefore w:val="0"/>
        <w:kinsoku/>
        <w:wordWrap/>
        <w:overflowPunct/>
        <w:topLinePunct w:val="0"/>
        <w:autoSpaceDN/>
        <w:bidi w:val="0"/>
        <w:spacing w:line="540" w:lineRule="exact"/>
        <w:jc w:val="center"/>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（渝农规</w:t>
      </w:r>
      <w:r>
        <w:rPr>
          <w:rFonts w:hint="default" w:ascii="Times New Roman" w:hAnsi="Times New Roman" w:eastAsia="仿宋_GB2312" w:cs="Times New Roman"/>
          <w:color w:val="000000" w:themeColor="text1"/>
          <w:spacing w:val="2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2021</w:t>
      </w:r>
      <w:r>
        <w:rPr>
          <w:rFonts w:hint="default" w:ascii="Times New Roman" w:hAnsi="Times New Roman" w:eastAsia="仿宋_GB2312" w:cs="Times New Roman"/>
          <w:color w:val="000000" w:themeColor="text1"/>
          <w:spacing w:val="2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8</w:t>
      </w:r>
      <w:r>
        <w:rPr>
          <w:rFonts w:hint="default" w:ascii="Times New Roman" w:hAnsi="Times New Roman" w:eastAsia="仿宋_GB2312" w:cs="Times New Roman"/>
          <w:color w:val="000000" w:themeColor="text1"/>
          <w:spacing w:val="20"/>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一、本通告适用于《重庆市人民代表大会常务委员会关于促进和保障长江流域禁捕工作的决定》所规定的禁捕水域。</w:t>
      </w:r>
    </w:p>
    <w:p>
      <w:pPr>
        <w:pStyle w:val="4"/>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二、本通告禁止使用的渔具包括拖网、张网、陷阱、耙刺、地拉网、敷网、刺网、笼壶、掩罩、钓具、电鱼器等11类（详见附件）。</w:t>
      </w:r>
    </w:p>
    <w:p>
      <w:pPr>
        <w:pStyle w:val="4"/>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三、本通告禁止使用的捕捞方法包括电捕鱼、炸鱼、毒鱼、光诱捕鱼、泥鳅钓等5种（详见附件）。</w:t>
      </w:r>
    </w:p>
    <w:p>
      <w:pPr>
        <w:pStyle w:val="4"/>
        <w:keepNext w:val="0"/>
        <w:keepLines w:val="0"/>
        <w:pageBreakBefore w:val="0"/>
        <w:kinsoku/>
        <w:wordWrap/>
        <w:overflowPunct/>
        <w:topLinePunct w:val="0"/>
        <w:autoSpaceDN/>
        <w:bidi w:val="0"/>
        <w:spacing w:line="54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spacing w:line="540" w:lineRule="exact"/>
        <w:jc w:val="center"/>
        <w:textAlignment w:val="auto"/>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t>《</w:t>
      </w:r>
      <w:r>
        <w:rPr>
          <w:rFonts w:hint="eastAsia" w:ascii="方正小标宋_GBK" w:hAnsi="方正小标宋_GBK" w:eastAsia="方正小标宋_GBK" w:cs="方正小标宋_GBK"/>
          <w:b w:val="0"/>
          <w:bCs w:val="0"/>
          <w:i w:val="0"/>
          <w:caps w:val="0"/>
          <w:color w:val="000000" w:themeColor="text1"/>
          <w:spacing w:val="0"/>
          <w:sz w:val="32"/>
          <w:szCs w:val="32"/>
          <w:shd w:val="clear" w:fill="FFFFFF"/>
          <w14:textFill>
            <w14:solidFill>
              <w14:schemeClr w14:val="tx1"/>
            </w14:solidFill>
          </w14:textFill>
        </w:rPr>
        <w:t>农业农村部关于发布长江流域重点水域禁用渔具名录的通告</w:t>
      </w:r>
      <w: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t>》</w:t>
      </w:r>
      <w:r>
        <w:rPr>
          <w:rFonts w:hint="default" w:ascii="Times New Roman" w:hAnsi="Times New Roman" w:eastAsia="宋体" w:cs="Times New Roman"/>
          <w:i w:val="0"/>
          <w:caps w:val="0"/>
          <w:color w:val="000000" w:themeColor="text1"/>
          <w:spacing w:val="0"/>
          <w:sz w:val="32"/>
          <w:szCs w:val="32"/>
          <w:shd w:val="clear" w:fill="FFFFFF"/>
          <w14:textFill>
            <w14:solidFill>
              <w14:schemeClr w14:val="tx1"/>
            </w14:solidFill>
          </w14:textFill>
        </w:rPr>
        <w:br w:type="textWrapping"/>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农业农村部通告〔2021〕4号</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N/>
        <w:bidi w:val="0"/>
        <w:spacing w:line="540" w:lineRule="exact"/>
        <w:ind w:firstLine="658" w:firstLineChars="200"/>
        <w:textAlignment w:val="auto"/>
        <w:rPr>
          <w:rFonts w:hint="eastAsia" w:ascii="Times New Roman" w:hAnsi="Times New Roman" w:eastAsia="方正仿宋_GBK" w:cs="Times New Roman"/>
          <w:spacing w:val="4"/>
          <w:sz w:val="32"/>
          <w:szCs w:val="32"/>
          <w:lang w:eastAsia="zh-CN"/>
        </w:rPr>
      </w:pPr>
      <w:r>
        <w:rPr>
          <w:rFonts w:hint="default" w:ascii="Times New Roman" w:hAnsi="Times New Roman" w:eastAsia="方正仿宋_GBK" w:cs="Times New Roman"/>
          <w:b/>
          <w:bCs/>
          <w:spacing w:val="4"/>
          <w:sz w:val="32"/>
          <w:szCs w:val="32"/>
        </w:rPr>
        <w:t>长江流域重点水域禁用渔具名录</w:t>
      </w:r>
      <w:r>
        <w:rPr>
          <w:rFonts w:hint="default" w:ascii="Times New Roman" w:hAnsi="Times New Roman" w:eastAsia="方正仿宋_GBK" w:cs="Times New Roman"/>
          <w:b/>
          <w:bCs/>
          <w:spacing w:val="4"/>
          <w:sz w:val="32"/>
          <w:szCs w:val="32"/>
          <w:lang w:eastAsia="zh-CN"/>
        </w:rPr>
        <w:t>：</w:t>
      </w:r>
      <w:r>
        <w:rPr>
          <w:rFonts w:hint="default" w:ascii="Times New Roman" w:hAnsi="Times New Roman" w:eastAsia="方正仿宋_GBK" w:cs="Times New Roman"/>
          <w:b w:val="0"/>
          <w:bCs w:val="0"/>
          <w:spacing w:val="4"/>
          <w:sz w:val="32"/>
          <w:szCs w:val="32"/>
          <w:lang w:val="en-US" w:eastAsia="zh-CN"/>
        </w:rPr>
        <w:t>1</w:t>
      </w:r>
      <w:r>
        <w:rPr>
          <w:rFonts w:hint="default" w:ascii="Times New Roman" w:hAnsi="Times New Roman" w:eastAsia="方正仿宋_GBK" w:cs="Times New Roman"/>
          <w:spacing w:val="5"/>
          <w:sz w:val="32"/>
          <w:szCs w:val="32"/>
        </w:rPr>
        <w:t>单片刺网</w:t>
      </w:r>
      <w:r>
        <w:rPr>
          <w:rFonts w:hint="default" w:ascii="Times New Roman" w:hAnsi="Times New Roman" w:eastAsia="方正仿宋_GBK" w:cs="Times New Roman"/>
          <w:spacing w:val="4"/>
          <w:sz w:val="32"/>
          <w:szCs w:val="32"/>
        </w:rPr>
        <w:t>(网目内径尺寸小于60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5"/>
          <w:sz w:val="32"/>
          <w:szCs w:val="32"/>
        </w:rPr>
        <w:t>双重刺网</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3</w:t>
      </w:r>
      <w:r>
        <w:rPr>
          <w:rFonts w:hint="default" w:ascii="Times New Roman" w:hAnsi="Times New Roman" w:eastAsia="方正仿宋_GBK" w:cs="Times New Roman"/>
          <w:spacing w:val="3"/>
          <w:sz w:val="32"/>
          <w:szCs w:val="32"/>
        </w:rPr>
        <w:t>三重及以上刺</w:t>
      </w:r>
      <w:r>
        <w:rPr>
          <w:rFonts w:hint="default" w:ascii="Times New Roman" w:hAnsi="Times New Roman" w:eastAsia="方正仿宋_GBK" w:cs="Times New Roman"/>
          <w:spacing w:val="5"/>
          <w:sz w:val="32"/>
          <w:szCs w:val="32"/>
        </w:rPr>
        <w:t>框格刺网</w:t>
      </w:r>
      <w:r>
        <w:rPr>
          <w:rFonts w:hint="default" w:ascii="Times New Roman" w:hAnsi="Times New Roman" w:eastAsia="方正仿宋_GBK" w:cs="Times New Roman"/>
          <w:spacing w:val="4"/>
          <w:sz w:val="32"/>
          <w:szCs w:val="32"/>
        </w:rPr>
        <w:t>(网目内径尺寸小于60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4</w:t>
      </w:r>
      <w:r>
        <w:rPr>
          <w:rFonts w:hint="default" w:ascii="Times New Roman" w:hAnsi="Times New Roman" w:eastAsia="方正仿宋_GBK" w:cs="Times New Roman"/>
          <w:spacing w:val="4"/>
          <w:sz w:val="32"/>
          <w:szCs w:val="32"/>
        </w:rPr>
        <w:t>无下纲刺网(网目内径尺寸小于60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5</w:t>
      </w:r>
      <w:r>
        <w:rPr>
          <w:rFonts w:hint="default" w:ascii="Times New Roman" w:hAnsi="Times New Roman" w:eastAsia="方正仿宋_GBK" w:cs="Times New Roman"/>
          <w:spacing w:val="5"/>
          <w:sz w:val="32"/>
          <w:szCs w:val="32"/>
        </w:rPr>
        <w:t>混合刺网</w:t>
      </w:r>
      <w:r>
        <w:rPr>
          <w:rFonts w:hint="default" w:ascii="Times New Roman" w:hAnsi="Times New Roman" w:eastAsia="方正仿宋_GBK" w:cs="Times New Roman"/>
          <w:spacing w:val="4"/>
          <w:sz w:val="32"/>
          <w:szCs w:val="32"/>
        </w:rPr>
        <w:t>(网目内径尺寸小于60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6</w:t>
      </w:r>
      <w:r>
        <w:rPr>
          <w:rFonts w:hint="default" w:ascii="Times New Roman" w:hAnsi="Times New Roman" w:eastAsia="方正仿宋_GBK" w:cs="Times New Roman"/>
          <w:spacing w:val="4"/>
          <w:sz w:val="32"/>
          <w:szCs w:val="32"/>
        </w:rPr>
        <w:t>无下纲刺网(网目内径尺寸小于60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7</w:t>
      </w:r>
      <w:r>
        <w:rPr>
          <w:rFonts w:hint="default" w:ascii="Times New Roman" w:hAnsi="Times New Roman" w:eastAsia="方正仿宋_GBK" w:cs="Times New Roman"/>
          <w:spacing w:val="5"/>
          <w:sz w:val="32"/>
          <w:szCs w:val="32"/>
        </w:rPr>
        <w:t>单船围网</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8</w:t>
      </w:r>
      <w:r>
        <w:rPr>
          <w:rFonts w:hint="default" w:ascii="Times New Roman" w:hAnsi="Times New Roman" w:eastAsia="方正仿宋_GBK" w:cs="Times New Roman"/>
          <w:spacing w:val="5"/>
          <w:sz w:val="32"/>
          <w:szCs w:val="32"/>
        </w:rPr>
        <w:t>双船围网</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9</w:t>
      </w:r>
      <w:r>
        <w:rPr>
          <w:rFonts w:hint="default" w:ascii="Times New Roman" w:hAnsi="Times New Roman" w:eastAsia="方正仿宋_GBK" w:cs="Times New Roman"/>
          <w:spacing w:val="5"/>
          <w:sz w:val="32"/>
          <w:szCs w:val="32"/>
        </w:rPr>
        <w:t>多船围网</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10单船拖网，11双船拖网，12多船拖网，13</w:t>
      </w:r>
      <w:r>
        <w:rPr>
          <w:rFonts w:hint="default" w:ascii="Times New Roman" w:hAnsi="Times New Roman" w:eastAsia="方正仿宋_GBK" w:cs="Times New Roman"/>
          <w:spacing w:val="4"/>
          <w:sz w:val="32"/>
          <w:szCs w:val="32"/>
        </w:rPr>
        <w:t>船布地拉网(网目内径尺寸小于30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14</w:t>
      </w:r>
      <w:r>
        <w:rPr>
          <w:rFonts w:hint="default" w:ascii="Times New Roman" w:hAnsi="Times New Roman" w:eastAsia="方正仿宋_GBK" w:cs="Times New Roman"/>
          <w:spacing w:val="5"/>
          <w:sz w:val="32"/>
          <w:szCs w:val="32"/>
        </w:rPr>
        <w:t>单片张网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val="en-US" w:eastAsia="zh-CN"/>
        </w:rPr>
        <w:t>15</w:t>
      </w:r>
      <w:r>
        <w:rPr>
          <w:rFonts w:hint="default" w:ascii="Times New Roman" w:hAnsi="Times New Roman" w:eastAsia="方正仿宋_GBK" w:cs="Times New Roman"/>
          <w:spacing w:val="5"/>
          <w:sz w:val="32"/>
          <w:szCs w:val="32"/>
        </w:rPr>
        <w:t>桁杆张网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16</w:t>
      </w:r>
      <w:r>
        <w:rPr>
          <w:rFonts w:hint="default" w:ascii="Times New Roman" w:hAnsi="Times New Roman" w:eastAsia="方正仿宋_GBK" w:cs="Times New Roman"/>
          <w:spacing w:val="5"/>
          <w:sz w:val="32"/>
          <w:szCs w:val="32"/>
        </w:rPr>
        <w:t>框架张网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17</w:t>
      </w:r>
      <w:r>
        <w:rPr>
          <w:rFonts w:hint="default" w:ascii="Times New Roman" w:hAnsi="Times New Roman" w:eastAsia="方正仿宋_GBK" w:cs="Times New Roman"/>
          <w:spacing w:val="5"/>
          <w:sz w:val="32"/>
          <w:szCs w:val="32"/>
        </w:rPr>
        <w:t>竖杆张网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18</w:t>
      </w:r>
      <w:r>
        <w:rPr>
          <w:rFonts w:hint="default" w:ascii="Times New Roman" w:hAnsi="Times New Roman" w:eastAsia="方正仿宋_GBK" w:cs="Times New Roman"/>
          <w:spacing w:val="5"/>
          <w:sz w:val="32"/>
          <w:szCs w:val="32"/>
        </w:rPr>
        <w:t>张纲张网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19</w:t>
      </w:r>
      <w:r>
        <w:rPr>
          <w:rFonts w:hint="default" w:ascii="Times New Roman" w:hAnsi="Times New Roman" w:eastAsia="方正仿宋_GBK" w:cs="Times New Roman"/>
          <w:spacing w:val="3"/>
          <w:sz w:val="32"/>
          <w:szCs w:val="32"/>
        </w:rPr>
        <w:t>有翼单囊张网</w:t>
      </w:r>
      <w:r>
        <w:rPr>
          <w:rFonts w:hint="default" w:ascii="Times New Roman" w:hAnsi="Times New Roman" w:eastAsia="方正仿宋_GBK" w:cs="Times New Roman"/>
          <w:spacing w:val="4"/>
          <w:sz w:val="32"/>
          <w:szCs w:val="32"/>
        </w:rPr>
        <w:t>(网目内径尺寸小于50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20</w:t>
      </w:r>
      <w:r>
        <w:rPr>
          <w:rFonts w:hint="default" w:ascii="Times New Roman" w:hAnsi="Times New Roman" w:eastAsia="方正仿宋_GBK" w:cs="Times New Roman"/>
          <w:spacing w:val="3"/>
          <w:sz w:val="32"/>
          <w:szCs w:val="32"/>
        </w:rPr>
        <w:t>拦河撑架敷网</w:t>
      </w:r>
      <w:r>
        <w:rPr>
          <w:rFonts w:hint="default" w:ascii="Times New Roman" w:hAnsi="Times New Roman" w:eastAsia="方正仿宋_GBK" w:cs="Times New Roman"/>
          <w:spacing w:val="4"/>
          <w:sz w:val="32"/>
          <w:szCs w:val="32"/>
        </w:rPr>
        <w:t>(网目内径尺寸小于30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21</w:t>
      </w:r>
      <w:r>
        <w:rPr>
          <w:rFonts w:hint="default" w:ascii="Times New Roman" w:hAnsi="Times New Roman" w:eastAsia="方正仿宋_GBK" w:cs="Times New Roman"/>
          <w:spacing w:val="5"/>
          <w:sz w:val="32"/>
          <w:szCs w:val="32"/>
        </w:rPr>
        <w:t>船敷敷网</w:t>
      </w:r>
      <w:r>
        <w:rPr>
          <w:rFonts w:hint="default" w:ascii="Times New Roman" w:hAnsi="Times New Roman" w:eastAsia="方正仿宋_GBK" w:cs="Times New Roman"/>
          <w:spacing w:val="4"/>
          <w:sz w:val="32"/>
          <w:szCs w:val="32"/>
        </w:rPr>
        <w:t>(网目内径尺寸小于30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22</w:t>
      </w:r>
      <w:r>
        <w:rPr>
          <w:rFonts w:hint="default" w:ascii="Times New Roman" w:hAnsi="Times New Roman" w:eastAsia="方正仿宋_GBK" w:cs="Times New Roman"/>
          <w:spacing w:val="-2"/>
          <w:sz w:val="32"/>
          <w:szCs w:val="32"/>
        </w:rPr>
        <w:t>插网陷阱</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lang w:val="en-US" w:eastAsia="zh-CN"/>
        </w:rPr>
        <w:t>23</w:t>
      </w:r>
      <w:r>
        <w:rPr>
          <w:rFonts w:hint="default" w:ascii="Times New Roman" w:hAnsi="Times New Roman" w:eastAsia="方正仿宋_GBK" w:cs="Times New Roman"/>
          <w:spacing w:val="2"/>
          <w:sz w:val="32"/>
          <w:szCs w:val="32"/>
        </w:rPr>
        <w:t>建网陷阱</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lang w:val="en-US" w:eastAsia="zh-CN"/>
        </w:rPr>
        <w:t>24</w:t>
      </w:r>
      <w:r>
        <w:rPr>
          <w:rFonts w:hint="default" w:ascii="Times New Roman" w:hAnsi="Times New Roman" w:eastAsia="方正仿宋_GBK" w:cs="Times New Roman"/>
          <w:spacing w:val="2"/>
          <w:sz w:val="32"/>
          <w:szCs w:val="32"/>
        </w:rPr>
        <w:t>箔箜陷阱</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lang w:val="en-US" w:eastAsia="zh-CN"/>
        </w:rPr>
        <w:t>25</w:t>
      </w:r>
      <w:r>
        <w:rPr>
          <w:rFonts w:hint="default" w:ascii="Times New Roman" w:hAnsi="Times New Roman" w:eastAsia="方正仿宋_GBK" w:cs="Times New Roman"/>
          <w:spacing w:val="1"/>
          <w:sz w:val="32"/>
          <w:szCs w:val="32"/>
        </w:rPr>
        <w:t>定置延绳真饵单钩钓具</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val="en-US" w:eastAsia="zh-CN"/>
        </w:rPr>
        <w:t>26</w:t>
      </w:r>
      <w:r>
        <w:rPr>
          <w:rFonts w:hint="default" w:ascii="Times New Roman" w:hAnsi="Times New Roman" w:eastAsia="方正仿宋_GBK" w:cs="Times New Roman"/>
          <w:spacing w:val="1"/>
          <w:sz w:val="32"/>
          <w:szCs w:val="32"/>
        </w:rPr>
        <w:t>漂流延绳真饵单钩钓具</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val="en-US" w:eastAsia="zh-CN"/>
        </w:rPr>
        <w:t>27</w:t>
      </w:r>
      <w:r>
        <w:rPr>
          <w:rFonts w:hint="default" w:ascii="Times New Roman" w:hAnsi="Times New Roman" w:eastAsia="方正仿宋_GBK" w:cs="Times New Roman"/>
          <w:spacing w:val="2"/>
          <w:sz w:val="32"/>
          <w:szCs w:val="32"/>
        </w:rPr>
        <w:t>拟饵复钩钓具</w:t>
      </w:r>
      <w:r>
        <w:rPr>
          <w:rFonts w:hint="default" w:ascii="Times New Roman" w:hAnsi="Times New Roman" w:eastAsia="方正仿宋_GBK" w:cs="Times New Roman"/>
          <w:spacing w:val="5"/>
          <w:sz w:val="32"/>
          <w:szCs w:val="32"/>
        </w:rPr>
        <w:t>(钓钩数7个及以上)</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28</w:t>
      </w:r>
      <w:r>
        <w:rPr>
          <w:rFonts w:hint="default" w:ascii="Times New Roman" w:hAnsi="Times New Roman" w:eastAsia="方正仿宋_GBK" w:cs="Times New Roman"/>
          <w:spacing w:val="2"/>
          <w:sz w:val="32"/>
          <w:szCs w:val="32"/>
        </w:rPr>
        <w:t>真饵复钩钓具</w:t>
      </w:r>
      <w:r>
        <w:rPr>
          <w:rFonts w:hint="default" w:ascii="Times New Roman" w:hAnsi="Times New Roman" w:eastAsia="方正仿宋_GBK" w:cs="Times New Roman"/>
          <w:spacing w:val="5"/>
          <w:sz w:val="32"/>
          <w:szCs w:val="32"/>
        </w:rPr>
        <w:t>(钓钩数7个及以上)</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29</w:t>
      </w:r>
      <w:r>
        <w:rPr>
          <w:rFonts w:hint="default" w:ascii="Times New Roman" w:hAnsi="Times New Roman" w:eastAsia="方正仿宋_GBK" w:cs="Times New Roman"/>
          <w:spacing w:val="3"/>
          <w:sz w:val="32"/>
          <w:szCs w:val="32"/>
        </w:rPr>
        <w:t>拖曳齿耙耙刺</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val="en-US" w:eastAsia="zh-CN"/>
        </w:rPr>
        <w:t>30</w:t>
      </w:r>
      <w:r>
        <w:rPr>
          <w:rFonts w:hint="default" w:ascii="Times New Roman" w:hAnsi="Times New Roman" w:eastAsia="方正仿宋_GBK" w:cs="Times New Roman"/>
          <w:spacing w:val="3"/>
          <w:sz w:val="32"/>
          <w:szCs w:val="32"/>
        </w:rPr>
        <w:t>拖曳泵吸耙刺</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val="en-US" w:eastAsia="zh-CN"/>
        </w:rPr>
        <w:t>31</w:t>
      </w:r>
      <w:r>
        <w:rPr>
          <w:rFonts w:hint="default" w:ascii="Times New Roman" w:hAnsi="Times New Roman" w:eastAsia="方正仿宋_GBK" w:cs="Times New Roman"/>
          <w:spacing w:val="2"/>
          <w:sz w:val="32"/>
          <w:szCs w:val="32"/>
        </w:rPr>
        <w:t>定置延绳滚钩耙刺</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lang w:val="en-US" w:eastAsia="zh-CN"/>
        </w:rPr>
        <w:t>32</w:t>
      </w:r>
      <w:r>
        <w:rPr>
          <w:rFonts w:hint="default" w:ascii="Times New Roman" w:hAnsi="Times New Roman" w:eastAsia="方正仿宋_GBK" w:cs="Times New Roman"/>
          <w:spacing w:val="4"/>
          <w:sz w:val="32"/>
          <w:szCs w:val="32"/>
        </w:rPr>
        <w:t>钩刺耙刺</w:t>
      </w:r>
      <w:r>
        <w:rPr>
          <w:rFonts w:hint="default" w:ascii="Times New Roman" w:hAnsi="Times New Roman" w:eastAsia="方正仿宋_GBK" w:cs="Times New Roman"/>
          <w:spacing w:val="5"/>
          <w:sz w:val="32"/>
          <w:szCs w:val="32"/>
        </w:rPr>
        <w:t>(仅限锚鱼、武斗竿)</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33</w:t>
      </w:r>
      <w:r>
        <w:rPr>
          <w:rFonts w:hint="default" w:ascii="Times New Roman" w:hAnsi="Times New Roman" w:eastAsia="方正仿宋_GBK" w:cs="Times New Roman"/>
          <w:spacing w:val="3"/>
          <w:sz w:val="32"/>
          <w:szCs w:val="32"/>
        </w:rPr>
        <w:t>投射箭钴耙刺</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val="en-US" w:eastAsia="zh-CN"/>
        </w:rPr>
        <w:t>34</w:t>
      </w:r>
      <w:r>
        <w:rPr>
          <w:rFonts w:hint="default" w:ascii="Times New Roman" w:hAnsi="Times New Roman" w:eastAsia="方正仿宋_GBK" w:cs="Times New Roman"/>
          <w:spacing w:val="3"/>
          <w:sz w:val="32"/>
          <w:szCs w:val="32"/>
        </w:rPr>
        <w:t>投射叉刺耙刺</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lang w:val="en-US" w:eastAsia="zh-CN"/>
        </w:rPr>
        <w:t>35</w:t>
      </w:r>
      <w:r>
        <w:rPr>
          <w:rFonts w:hint="default" w:ascii="Times New Roman" w:hAnsi="Times New Roman" w:eastAsia="方正仿宋_GBK" w:cs="Times New Roman"/>
          <w:spacing w:val="1"/>
          <w:sz w:val="32"/>
          <w:szCs w:val="32"/>
        </w:rPr>
        <w:t>定置(串联)倒须笼壶</w:t>
      </w:r>
      <w:r>
        <w:rPr>
          <w:rFonts w:hint="default" w:ascii="Times New Roman" w:hAnsi="Times New Roman" w:eastAsia="方正仿宋_GBK" w:cs="Times New Roman"/>
          <w:spacing w:val="4"/>
          <w:sz w:val="32"/>
          <w:szCs w:val="32"/>
        </w:rPr>
        <w:t>(网目内径尺寸小于30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pacing w:val="1"/>
          <w:sz w:val="32"/>
          <w:szCs w:val="32"/>
        </w:rPr>
        <w:t>定置延绳倒须笼壶</w:t>
      </w:r>
      <w:r>
        <w:rPr>
          <w:rFonts w:hint="default" w:ascii="Times New Roman" w:hAnsi="Times New Roman" w:eastAsia="方正仿宋_GBK" w:cs="Times New Roman"/>
          <w:spacing w:val="4"/>
          <w:sz w:val="32"/>
          <w:szCs w:val="32"/>
        </w:rPr>
        <w:t>(网目内径尺寸小于30</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eastAsia="zh-CN"/>
        </w:rPr>
        <w:t>。</w:t>
      </w:r>
    </w:p>
    <w:p>
      <w:pPr>
        <w:keepNext w:val="0"/>
        <w:keepLines w:val="0"/>
        <w:pageBreakBefore w:val="0"/>
        <w:kinsoku/>
        <w:wordWrap/>
        <w:overflowPunct/>
        <w:topLinePunct w:val="0"/>
        <w:autoSpaceDN/>
        <w:bidi w:val="0"/>
        <w:spacing w:line="5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0" locked="0" layoutInCell="0" allowOverlap="1">
                <wp:simplePos x="0" y="0"/>
                <wp:positionH relativeFrom="page">
                  <wp:posOffset>434340</wp:posOffset>
                </wp:positionH>
                <wp:positionV relativeFrom="page">
                  <wp:posOffset>970915</wp:posOffset>
                </wp:positionV>
                <wp:extent cx="228600" cy="3244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28600" cy="324485"/>
                        </a:xfrm>
                        <a:prstGeom prst="rect">
                          <a:avLst/>
                        </a:prstGeom>
                        <a:noFill/>
                        <a:ln>
                          <a:noFill/>
                        </a:ln>
                      </wps:spPr>
                      <wps:txbx>
                        <w:txbxContent>
                          <w:p/>
                        </w:txbxContent>
                      </wps:txbx>
                      <wps:bodyPr vert="eaVert" lIns="0" tIns="0" rIns="0" bIns="0" upright="true"/>
                    </wps:wsp>
                  </a:graphicData>
                </a:graphic>
              </wp:anchor>
            </w:drawing>
          </mc:Choice>
          <mc:Fallback>
            <w:pict>
              <v:shape id="_x0000_s1026" o:spid="_x0000_s1026" o:spt="202" type="#_x0000_t202" style="position:absolute;left:0pt;margin-left:34.2pt;margin-top:76.45pt;height:25.55pt;width:18pt;mso-position-horizontal-relative:page;mso-position-vertical-relative:page;z-index:251662336;mso-width-relative:page;mso-height-relative:page;" filled="f" stroked="f" coordsize="21600,21600" o:allowincell="f" o:gfxdata="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MdSHg9YAAAAKAQAADwAAAAAAAAABACAAAAA4AAAAZHJzL2Rvd25yZXYueG1sUEsB&#10;AhQAFAAAAAgAh07iQGWegvGoAQAANwMAAA4AAAAAAAAAAQAgAAAAOwEAAGRycy9lMm9Eb2MueG1s&#10;UEsFBgAAAAAGAAYAWQEAAFUFAAAAAA==&#10;">
                <v:fill on="f" focussize="0,0"/>
                <v:stroke on="f"/>
                <v:imagedata o:title=""/>
                <o:lock v:ext="edit" aspectratio="f"/>
                <v:textbox inset="0mm,0mm,0mm,0mm" style="layout-flow:vertical-ideographic;">
                  <w:txbxContent>
                    <w:p/>
                  </w:txbxContent>
                </v:textbox>
              </v:shape>
            </w:pict>
          </mc:Fallback>
        </mc:AlternateContent>
      </w:r>
    </w:p>
    <w:p>
      <w:pPr>
        <w:pStyle w:val="2"/>
        <w:keepNext w:val="0"/>
        <w:keepLines w:val="0"/>
        <w:pageBreakBefore w:val="0"/>
        <w:kinsoku/>
        <w:wordWrap/>
        <w:overflowPunct/>
        <w:topLinePunct w:val="0"/>
        <w:autoSpaceDN/>
        <w:bidi w:val="0"/>
        <w:spacing w:after="0" w:line="540" w:lineRule="exact"/>
        <w:jc w:val="center"/>
        <w:textAlignment w:val="auto"/>
        <w:rPr>
          <w:rFonts w:hint="eastAsia" w:ascii="方正小标宋_GBK" w:hAnsi="方正小标宋_GBK" w:eastAsia="方正小标宋_GBK" w:cs="方正小标宋_GBK"/>
          <w:i w:val="0"/>
          <w:caps w:val="0"/>
          <w:color w:val="000000" w:themeColor="text1"/>
          <w:spacing w:val="0"/>
          <w:sz w:val="32"/>
          <w:szCs w:val="32"/>
          <w:shd w:val="clear" w:fill="FFFFFF"/>
          <w:lang w:eastAsia="zh-CN"/>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32"/>
          <w:szCs w:val="32"/>
          <w:shd w:val="clear" w:fill="FFFFFF"/>
          <w:lang w:eastAsia="zh-CN"/>
          <w14:textFill>
            <w14:solidFill>
              <w14:schemeClr w14:val="tx1"/>
            </w14:solidFill>
          </w14:textFill>
        </w:rPr>
        <w:t>《</w:t>
      </w:r>
      <w:r>
        <w:rPr>
          <w:rFonts w:hint="eastAsia" w:ascii="方正小标宋_GBK" w:hAnsi="方正小标宋_GBK" w:eastAsia="方正小标宋_GBK" w:cs="方正小标宋_GBK"/>
          <w:i w:val="0"/>
          <w:caps w:val="0"/>
          <w:color w:val="000000" w:themeColor="text1"/>
          <w:spacing w:val="0"/>
          <w:sz w:val="32"/>
          <w:szCs w:val="32"/>
          <w:shd w:val="clear" w:fill="FFFFFF"/>
          <w:lang w:val="en-US" w:eastAsia="zh-CN"/>
          <w14:textFill>
            <w14:solidFill>
              <w14:schemeClr w14:val="tx1"/>
            </w14:solidFill>
          </w14:textFill>
        </w:rPr>
        <w:t>中华人民共和国渔业法</w:t>
      </w:r>
      <w:r>
        <w:rPr>
          <w:rFonts w:hint="eastAsia" w:ascii="方正小标宋_GBK" w:hAnsi="方正小标宋_GBK" w:eastAsia="方正小标宋_GBK" w:cs="方正小标宋_GBK"/>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kinsoku/>
        <w:wordWrap/>
        <w:overflowPunct/>
        <w:topLinePunct w:val="0"/>
        <w:autoSpaceDN/>
        <w:bidi w:val="0"/>
        <w:spacing w:after="0" w:line="54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第三十条</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 xml:space="preserve">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pPr>
        <w:pStyle w:val="2"/>
        <w:keepNext w:val="0"/>
        <w:keepLines w:val="0"/>
        <w:pageBreakBefore w:val="0"/>
        <w:kinsoku/>
        <w:wordWrap/>
        <w:overflowPunct/>
        <w:topLinePunct w:val="0"/>
        <w:autoSpaceDN/>
        <w:bidi w:val="0"/>
        <w:spacing w:after="0" w:line="54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t>第三十八条</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 在禁渔区或者禁渔期内销售非法捕捞的渔获物的，县级以上地方人民政府渔业行政主管部门应当及时进行调查处理。 制造、销售禁用的渔具的，没收非法制造、销售的渔具和违法所得，并处一万元以下的罚款。</w:t>
      </w:r>
    </w:p>
    <w:p>
      <w:pPr>
        <w:pStyle w:val="3"/>
        <w:keepNext w:val="0"/>
        <w:keepLines w:val="0"/>
        <w:pageBreakBefore w:val="0"/>
        <w:kinsoku/>
        <w:wordWrap/>
        <w:overflowPunct/>
        <w:topLinePunct w:val="0"/>
        <w:autoSpaceDN/>
        <w:bidi w:val="0"/>
        <w:spacing w:line="540" w:lineRule="exact"/>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N/>
        <w:bidi w:val="0"/>
        <w:spacing w:line="540" w:lineRule="exact"/>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《中华人民共和国长江保护法》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Autospacing="0" w:afterAutospacing="0" w:line="540" w:lineRule="exact"/>
        <w:ind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fill="FFFFFF"/>
          <w:lang w:val="en-US" w:eastAsia="zh-CN" w:bidi="ar"/>
          <w14:textFill>
            <w14:solidFill>
              <w14:schemeClr w14:val="tx1"/>
            </w14:solidFill>
          </w14:textFill>
        </w:rPr>
        <w:t>第五十三条</w:t>
      </w:r>
      <w:r>
        <w:rPr>
          <w:rFonts w:hint="default" w:ascii="Times New Roman" w:hAnsi="Times New Roman" w:eastAsia="方正仿宋_GBK" w:cs="Times New Roman"/>
          <w:color w:val="000000" w:themeColor="text1"/>
          <w:kern w:val="0"/>
          <w:sz w:val="32"/>
          <w:szCs w:val="32"/>
          <w:shd w:val="clear" w:fill="FFFFFF"/>
          <w:lang w:val="en-US" w:eastAsia="zh-CN" w:bidi="ar"/>
          <w14:textFill>
            <w14:solidFill>
              <w14:schemeClr w14:val="tx1"/>
            </w14:solidFill>
          </w14:textFill>
        </w:rPr>
        <w:t>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pStyle w:val="5"/>
        <w:keepNext w:val="0"/>
        <w:keepLines w:val="0"/>
        <w:pageBreakBefore w:val="0"/>
        <w:widowControl/>
        <w:suppressLineNumbers w:val="0"/>
        <w:kinsoku/>
        <w:wordWrap/>
        <w:overflowPunct/>
        <w:topLinePunct w:val="0"/>
        <w:autoSpaceDN/>
        <w:bidi w:val="0"/>
        <w:spacing w:before="0" w:beforeAutospacing="0" w:after="0" w:afterAutospacing="0" w:line="540" w:lineRule="exact"/>
        <w:ind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fill="FFFFFF"/>
          <w14:textFill>
            <w14:solidFill>
              <w14:schemeClr w14:val="tx1"/>
            </w14:solidFill>
          </w14:textFill>
        </w:rPr>
        <w:t>第八十六条</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pStyle w:val="5"/>
        <w:keepNext w:val="0"/>
        <w:keepLines w:val="0"/>
        <w:pageBreakBefore w:val="0"/>
        <w:widowControl/>
        <w:suppressLineNumbers w:val="0"/>
        <w:kinsoku/>
        <w:wordWrap/>
        <w:overflowPunct/>
        <w:topLinePunct w:val="0"/>
        <w:autoSpaceDN/>
        <w:bidi w:val="0"/>
        <w:spacing w:before="0" w:beforeAutospacing="0" w:after="0" w:afterAutospacing="0" w:line="540" w:lineRule="exact"/>
        <w:ind w:right="0"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D1D23"/>
    <w:rsid w:val="3FA73F52"/>
    <w:rsid w:val="44FC6820"/>
    <w:rsid w:val="50DF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toc 5"/>
    <w:basedOn w:val="1"/>
    <w:next w:val="1"/>
    <w:qFormat/>
    <w:uiPriority w:val="0"/>
    <w:pPr>
      <w:spacing w:line="600" w:lineRule="exact"/>
      <w:ind w:firstLine="200" w:firstLineChars="200"/>
      <w:jc w:val="left"/>
    </w:pPr>
    <w:rPr>
      <w:rFonts w:ascii="方正黑体_GBK" w:hAnsi="Times New Roman" w:eastAsia="方正黑体_GBK"/>
      <w:szCs w:val="32"/>
    </w:rPr>
  </w:style>
  <w:style w:type="paragraph" w:styleId="4">
    <w:name w:val="Plain Text"/>
    <w:basedOn w:val="1"/>
    <w:qFormat/>
    <w:uiPriority w:val="0"/>
    <w:rPr>
      <w:rFonts w:ascii="宋体" w:hAnsi="Courier New"/>
      <w:szCs w:val="20"/>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5C81"/>
      <w:u w:val="non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2023-03-27T17:33:00Z</dcterms:created>
  <dc:creator>hp</dc:creator>
  <cp:lastModifiedBy>县农委机要秘书</cp:lastModifiedBy>
  <cp:lastPrinted>2023-03-28T10:37:00Z</cp:lastPrinted>
  <dcterms:modified xsi:type="dcterms:W3CDTF">2023-03-28T14:38:08Z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