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丰都县畜牧兽医发展事务中心</w:t>
      </w:r>
    </w:p>
    <w:p>
      <w:pPr>
        <w:pStyle w:val="4"/>
        <w:shd w:val="clear" w:color="auto" w:fill="FFFFFF"/>
        <w:spacing w:before="0" w:beforeAutospacing="0" w:after="0" w:afterAutospacing="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2021年度决算情况说明</w:t>
      </w:r>
    </w:p>
    <w:p>
      <w:pPr>
        <w:pStyle w:val="4"/>
        <w:shd w:val="clear" w:color="auto" w:fill="FFFFFF"/>
        <w:spacing w:before="0" w:beforeAutospacing="0" w:after="0" w:afterAutospacing="0"/>
        <w:jc w:val="center"/>
        <w:rPr>
          <w:rFonts w:hint="eastAsia" w:ascii="方正小标宋_GBK" w:hAnsi="方正小标宋_GBK" w:eastAsia="方正小标宋_GBK" w:cs="方正小标宋_GBK"/>
          <w:color w:val="000000"/>
          <w:sz w:val="44"/>
          <w:szCs w:val="44"/>
        </w:rPr>
      </w:pPr>
    </w:p>
    <w:p>
      <w:pPr>
        <w:pStyle w:val="4"/>
        <w:shd w:val="clear" w:color="auto" w:fill="FFFFFF"/>
        <w:spacing w:before="0" w:beforeAutospacing="0" w:after="0" w:afterAutospacing="0"/>
        <w:ind w:firstLine="321" w:firstLineChars="100"/>
        <w:rPr>
          <w:rFonts w:hint="eastAsia" w:ascii="方正黑体_GBK" w:hAnsi="方正黑体_GBK" w:eastAsia="方正黑体_GBK" w:cs="方正黑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黑体_GBK" w:hAnsi="方正黑体_GBK" w:eastAsia="方正黑体_GBK" w:cs="方正黑体_GBK"/>
          <w:b w:val="0"/>
          <w:bCs w:val="0"/>
          <w:color w:val="000000"/>
          <w:sz w:val="32"/>
          <w:szCs w:val="32"/>
        </w:rPr>
        <w:t>一、部门基本情况</w:t>
      </w:r>
    </w:p>
    <w:p>
      <w:pPr>
        <w:widowControl/>
        <w:spacing w:line="420" w:lineRule="atLeast"/>
        <w:ind w:firstLine="48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丰都县畜牧兽医发展事务中心为丰都县农业农村委员会所属正科级财政全额拨款公益一类事业单位，加挂丰都县国家农业（肉牛）科技园区管理中心、丰都县国家现代农业产业园管理中心牌子。</w:t>
      </w:r>
    </w:p>
    <w:p>
      <w:pPr>
        <w:pStyle w:val="4"/>
        <w:shd w:val="clear" w:color="auto" w:fill="FFFFFF"/>
        <w:spacing w:before="0" w:beforeAutospacing="0" w:after="0" w:afterAutospacing="0"/>
        <w:rPr>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（一）职能职责。</w:t>
      </w:r>
    </w:p>
    <w:p>
      <w:pPr>
        <w:widowControl/>
        <w:spacing w:line="420" w:lineRule="atLeast"/>
        <w:ind w:firstLine="48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FF0000"/>
          <w:sz w:val="32"/>
          <w:szCs w:val="32"/>
        </w:rPr>
        <w:t> </w:t>
      </w:r>
      <w:r>
        <w:rPr>
          <w:rFonts w:hint="eastAsia" w:ascii="方正仿宋_GBK" w:hAnsi="方正仿宋_GBK" w:eastAsia="方正仿宋_GBK" w:cs="方正仿宋_GBK"/>
          <w:color w:val="333333"/>
          <w:kern w:val="0"/>
          <w:sz w:val="32"/>
          <w:szCs w:val="32"/>
        </w:rPr>
        <w:t>主要职责任务：宣传贯彻党和国家发展畜牧兽医事业的法律法规和方针政策；推动畜牧业产业化发展和国家农业（肉牛）科技园区建设。</w:t>
      </w:r>
    </w:p>
    <w:p>
      <w:pPr>
        <w:widowControl/>
        <w:shd w:val="clear" w:color="auto" w:fill="FFFFFF"/>
        <w:spacing w:line="420" w:lineRule="atLeast"/>
        <w:ind w:firstLine="48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333333"/>
          <w:kern w:val="0"/>
          <w:sz w:val="32"/>
          <w:szCs w:val="32"/>
        </w:rPr>
        <w:t>具体职责任务：1. 负责全县畜牧兽医业调查研究；2. 协助拟定畜牧兽医事业发展规划、方案和政策文件；3. 负责推动全县现代畜禽产业基地建设；4. 负责全县畜牧业经济运行分析和产前、产中、产后经济技术信息服务；5. 负责丰都县国家农业（肉牛）科技园区管理建设工作；6. 承办上级交办的其他相关工作。</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（二）机构设置。</w:t>
      </w:r>
    </w:p>
    <w:p>
      <w:pPr>
        <w:pStyle w:val="4"/>
        <w:shd w:val="clear" w:color="auto" w:fill="FFFFFF"/>
        <w:spacing w:before="0" w:beforeAutospacing="0" w:after="0" w:afterAutospacing="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FF0000"/>
          <w:sz w:val="32"/>
          <w:szCs w:val="32"/>
        </w:rPr>
        <w:t>   </w:t>
      </w:r>
      <w:r>
        <w:rPr>
          <w:rFonts w:hint="eastAsia" w:ascii="方正仿宋_GBK" w:hAnsi="方正仿宋_GBK" w:eastAsia="方正仿宋_GBK" w:cs="方正仿宋_GBK"/>
          <w:color w:val="333333"/>
          <w:sz w:val="32"/>
          <w:szCs w:val="32"/>
        </w:rPr>
        <w:t>丰都县畜牧兽医发展事务中心设3个内设机构。下属事业单位2个，分别为丰都县畜牧技术推广站、丰都县肉牛产业发展服务中心。</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（三）单位构成。</w:t>
      </w:r>
    </w:p>
    <w:p>
      <w:pPr>
        <w:widowControl/>
        <w:shd w:val="clear" w:color="auto" w:fill="FFFFFF"/>
        <w:spacing w:line="420" w:lineRule="atLeast"/>
        <w:ind w:firstLine="48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sz w:val="32"/>
          <w:szCs w:val="32"/>
        </w:rPr>
        <w:t>  从预算单位构成看，纳入本部门2021年度决算编制的二级预算单位主要包括</w:t>
      </w:r>
      <w:r>
        <w:rPr>
          <w:rFonts w:hint="eastAsia" w:ascii="方正仿宋_GBK" w:hAnsi="方正仿宋_GBK" w:eastAsia="方正仿宋_GBK" w:cs="方正仿宋_GBK"/>
          <w:color w:val="333333"/>
          <w:kern w:val="0"/>
          <w:sz w:val="32"/>
          <w:szCs w:val="32"/>
        </w:rPr>
        <w:t>丰都县畜牧兽医发展事务中心（本级）、丰都县畜牧技术推广站、丰都县肉牛产业发展服务中心。</w:t>
      </w:r>
    </w:p>
    <w:p>
      <w:pPr>
        <w:pStyle w:val="4"/>
        <w:shd w:val="clear" w:color="auto" w:fill="FFFFFF"/>
        <w:spacing w:before="0" w:beforeAutospacing="0" w:after="0" w:afterAutospacing="0"/>
        <w:rPr>
          <w:rFonts w:hint="eastAsia" w:ascii="方正黑体_GBK" w:hAnsi="方正黑体_GBK" w:eastAsia="方正黑体_GBK" w:cs="方正黑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黑体_GBK" w:hAnsi="方正黑体_GBK" w:eastAsia="方正黑体_GBK" w:cs="方正黑体_GBK"/>
          <w:b w:val="0"/>
          <w:bCs w:val="0"/>
          <w:color w:val="000000"/>
          <w:sz w:val="32"/>
          <w:szCs w:val="32"/>
        </w:rPr>
        <w:t>二、部门决算情况说明</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（一）收入支出决算总体情况说明。</w:t>
      </w:r>
    </w:p>
    <w:p>
      <w:pPr>
        <w:pStyle w:val="4"/>
        <w:shd w:val="clear" w:color="auto" w:fill="FFFFFF"/>
        <w:spacing w:before="0" w:beforeAutospacing="0" w:after="0" w:afterAutospacing="0"/>
        <w:rPr>
          <w:rFonts w:hint="eastAsia" w:ascii="方正仿宋_GBK" w:hAnsi="方正仿宋_GBK" w:eastAsia="方正仿宋_GBK" w:cs="方正仿宋_GBK"/>
          <w:color w:val="FF0000"/>
          <w:sz w:val="32"/>
          <w:szCs w:val="32"/>
        </w:rPr>
      </w:pPr>
      <w:r>
        <w:rPr>
          <w:rStyle w:val="7"/>
          <w:rFonts w:hint="eastAsia" w:ascii="方正仿宋_GBK" w:hAnsi="方正仿宋_GBK" w:eastAsia="方正仿宋_GBK" w:cs="方正仿宋_GBK"/>
          <w:color w:val="000000"/>
          <w:sz w:val="32"/>
          <w:szCs w:val="32"/>
        </w:rPr>
        <w:t>   1.总体情况。</w:t>
      </w:r>
      <w:r>
        <w:rPr>
          <w:rFonts w:hint="eastAsia" w:ascii="方正仿宋_GBK" w:hAnsi="方正仿宋_GBK" w:eastAsia="方正仿宋_GBK" w:cs="方正仿宋_GBK"/>
          <w:color w:val="000000"/>
          <w:sz w:val="32"/>
          <w:szCs w:val="32"/>
        </w:rPr>
        <w:t>2021年度收入总计2,230.30万元，支出总计2,230.30万元。收支较上年决算数减少350.78万元、下降13.6%，主要原因是人员</w:t>
      </w:r>
      <w:r>
        <w:rPr>
          <w:rFonts w:hint="eastAsia" w:ascii="方正仿宋_GBK" w:hAnsi="方正仿宋_GBK" w:eastAsia="方正仿宋_GBK" w:cs="方正仿宋_GBK"/>
          <w:sz w:val="32"/>
          <w:szCs w:val="32"/>
        </w:rPr>
        <w:t>退休和调入调出造成人员经费和基本支出经费减少；2021年中市县畜牧类项目数量及投入量比2020年少。</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2.收入情况。</w:t>
      </w:r>
      <w:r>
        <w:rPr>
          <w:rFonts w:hint="eastAsia" w:ascii="方正仿宋_GBK" w:hAnsi="方正仿宋_GBK" w:eastAsia="方正仿宋_GBK" w:cs="方正仿宋_GBK"/>
          <w:color w:val="000000"/>
          <w:sz w:val="32"/>
          <w:szCs w:val="32"/>
        </w:rPr>
        <w:t>2021年度收入合计2,230.30万元，较上年决算数减少350.78万元，下降13.6%，主要原因是人员</w:t>
      </w:r>
      <w:r>
        <w:rPr>
          <w:rFonts w:hint="eastAsia" w:ascii="方正仿宋_GBK" w:hAnsi="方正仿宋_GBK" w:eastAsia="方正仿宋_GBK" w:cs="方正仿宋_GBK"/>
          <w:sz w:val="32"/>
          <w:szCs w:val="32"/>
        </w:rPr>
        <w:t>退休和调入调出造成人员经费和基本支出经费减少；2021年中市县畜牧类项目数量及投入量比2020年少。</w:t>
      </w:r>
      <w:r>
        <w:rPr>
          <w:rFonts w:hint="eastAsia" w:ascii="方正仿宋_GBK" w:hAnsi="方正仿宋_GBK" w:eastAsia="方正仿宋_GBK" w:cs="方正仿宋_GBK"/>
          <w:color w:val="000000"/>
          <w:sz w:val="32"/>
          <w:szCs w:val="32"/>
        </w:rPr>
        <w:t>其中：财政拨款收入2,230.30万元，占100%。此外，使用非财政拨款结余0.00万元，年初结转和结余0.00万元。</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3.支出情况。</w:t>
      </w:r>
      <w:r>
        <w:rPr>
          <w:rFonts w:hint="eastAsia" w:ascii="方正仿宋_GBK" w:hAnsi="方正仿宋_GBK" w:eastAsia="方正仿宋_GBK" w:cs="方正仿宋_GBK"/>
          <w:color w:val="000000"/>
          <w:sz w:val="32"/>
          <w:szCs w:val="32"/>
        </w:rPr>
        <w:t>2021年度支出合计2,230.30万元，较上年决算数减少350.78万元，下降13.6%，主要原因是</w:t>
      </w:r>
      <w:r>
        <w:rPr>
          <w:rFonts w:hint="eastAsia" w:ascii="方正仿宋_GBK" w:hAnsi="方正仿宋_GBK" w:eastAsia="方正仿宋_GBK" w:cs="方正仿宋_GBK"/>
          <w:sz w:val="32"/>
          <w:szCs w:val="32"/>
        </w:rPr>
        <w:t>人员退休和调入调出造成人员经费和基本支出经费减少；2021年中市县畜牧类项目数量及投入量比2020年少。</w:t>
      </w:r>
      <w:r>
        <w:rPr>
          <w:rFonts w:hint="eastAsia" w:ascii="方正仿宋_GBK" w:hAnsi="方正仿宋_GBK" w:eastAsia="方正仿宋_GBK" w:cs="方正仿宋_GBK"/>
          <w:color w:val="000000"/>
          <w:sz w:val="32"/>
          <w:szCs w:val="32"/>
        </w:rPr>
        <w:t>其中：基本支出1,041.11万元，占46.7%；项目支出1,189.19万元，占53.3%；经营支出0.00万元，占0%。此外，结余分配0.00万元。</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4.结转结余情况。</w:t>
      </w:r>
      <w:r>
        <w:rPr>
          <w:rFonts w:hint="eastAsia" w:ascii="方正仿宋_GBK" w:hAnsi="方正仿宋_GBK" w:eastAsia="方正仿宋_GBK" w:cs="方正仿宋_GBK"/>
          <w:color w:val="000000"/>
          <w:sz w:val="32"/>
          <w:szCs w:val="32"/>
        </w:rPr>
        <w:t>2021年度年末结转和结余0.00万元，与上年决算数持平。</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（二）财政拨款收入支出决算总体情况说明。</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2021年度财政拨款收、支总计2,230.30万元。与2020年相比，财政拨款收、支总计各减少340.37万元，下降13.2%。主要原因是</w:t>
      </w:r>
      <w:r>
        <w:rPr>
          <w:rFonts w:hint="eastAsia" w:ascii="方正仿宋_GBK" w:hAnsi="方正仿宋_GBK" w:eastAsia="方正仿宋_GBK" w:cs="方正仿宋_GBK"/>
          <w:sz w:val="32"/>
          <w:szCs w:val="32"/>
        </w:rPr>
        <w:t>人员退休和调入调出造成人员经费和基本支出经费减少；2021年中市县畜牧类项目数量及投入量比2020年少。</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（三）一般公共预算财政拨款收入支出决算情况说明。</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1.收入情况。</w:t>
      </w:r>
      <w:r>
        <w:rPr>
          <w:rFonts w:hint="eastAsia" w:ascii="方正仿宋_GBK" w:hAnsi="方正仿宋_GBK" w:eastAsia="方正仿宋_GBK" w:cs="方正仿宋_GBK"/>
          <w:color w:val="000000"/>
          <w:sz w:val="32"/>
          <w:szCs w:val="32"/>
        </w:rPr>
        <w:t>2021年度一般公共预算财政拨款收入2,230.30万元，较上年决算数减少340.37万元，下降13.2%。主要原因是</w:t>
      </w:r>
      <w:r>
        <w:rPr>
          <w:rFonts w:hint="eastAsia" w:ascii="方正仿宋_GBK" w:hAnsi="方正仿宋_GBK" w:eastAsia="方正仿宋_GBK" w:cs="方正仿宋_GBK"/>
          <w:sz w:val="32"/>
          <w:szCs w:val="32"/>
        </w:rPr>
        <w:t>人员退休和调入调出造成人员经费和基本支出经费减少；2021年中市县畜牧类项目数量及投入量比2020年少。</w:t>
      </w:r>
      <w:r>
        <w:rPr>
          <w:rFonts w:hint="eastAsia" w:ascii="方正仿宋_GBK" w:hAnsi="方正仿宋_GBK" w:eastAsia="方正仿宋_GBK" w:cs="方正仿宋_GBK"/>
          <w:color w:val="000000"/>
          <w:sz w:val="32"/>
          <w:szCs w:val="32"/>
        </w:rPr>
        <w:t>较年初预算数增加1,184.85万元，增长113.3%。主要原因是</w:t>
      </w:r>
      <w:r>
        <w:rPr>
          <w:rFonts w:hint="eastAsia" w:ascii="方正仿宋_GBK" w:hAnsi="方正仿宋_GBK" w:eastAsia="方正仿宋_GBK" w:cs="方正仿宋_GBK"/>
          <w:sz w:val="32"/>
          <w:szCs w:val="32"/>
        </w:rPr>
        <w:t>工资普调、养老金、职业年金、医疗保险金、公积金、日常工作经费等经费的预算调整和新增中市阶段性项目的支出。</w:t>
      </w:r>
      <w:r>
        <w:rPr>
          <w:rFonts w:hint="eastAsia" w:ascii="方正仿宋_GBK" w:hAnsi="方正仿宋_GBK" w:eastAsia="方正仿宋_GBK" w:cs="方正仿宋_GBK"/>
          <w:color w:val="000000"/>
          <w:sz w:val="32"/>
          <w:szCs w:val="32"/>
        </w:rPr>
        <w:t>此外，年初财政拨款结转和结余0.00万元。</w:t>
      </w:r>
    </w:p>
    <w:p>
      <w:pPr>
        <w:pStyle w:val="4"/>
        <w:shd w:val="clear" w:color="auto" w:fill="FFFFFF"/>
        <w:spacing w:before="0" w:beforeAutospacing="0" w:after="0" w:afterAutospacing="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color w:val="000000"/>
          <w:sz w:val="32"/>
          <w:szCs w:val="32"/>
        </w:rPr>
        <w:t>     2.支出情况。</w:t>
      </w:r>
      <w:r>
        <w:rPr>
          <w:rFonts w:hint="eastAsia" w:ascii="方正仿宋_GBK" w:hAnsi="方正仿宋_GBK" w:eastAsia="方正仿宋_GBK" w:cs="方正仿宋_GBK"/>
          <w:color w:val="000000"/>
          <w:sz w:val="32"/>
          <w:szCs w:val="32"/>
        </w:rPr>
        <w:t>2021年度一般公共预算财政拨款支出2,230.30万元，较上年决算数减少340.37万元，下降13.2%。主要原因是</w:t>
      </w:r>
      <w:r>
        <w:rPr>
          <w:rFonts w:hint="eastAsia" w:ascii="方正仿宋_GBK" w:hAnsi="方正仿宋_GBK" w:eastAsia="方正仿宋_GBK" w:cs="方正仿宋_GBK"/>
          <w:sz w:val="32"/>
          <w:szCs w:val="32"/>
        </w:rPr>
        <w:t>人员退休和调入调出造成人员经费和基本支出经费减少；2021年中市县畜牧类项目数量及投入量比2020年少。</w:t>
      </w:r>
      <w:r>
        <w:rPr>
          <w:rFonts w:hint="eastAsia" w:ascii="方正仿宋_GBK" w:hAnsi="方正仿宋_GBK" w:eastAsia="方正仿宋_GBK" w:cs="方正仿宋_GBK"/>
          <w:color w:val="000000"/>
          <w:sz w:val="32"/>
          <w:szCs w:val="32"/>
        </w:rPr>
        <w:t>较年初预算数增加1,184.85万元，增长113.3%。主要原因是</w:t>
      </w:r>
      <w:r>
        <w:rPr>
          <w:rFonts w:hint="eastAsia" w:ascii="方正仿宋_GBK" w:hAnsi="方正仿宋_GBK" w:eastAsia="方正仿宋_GBK" w:cs="方正仿宋_GBK"/>
          <w:sz w:val="32"/>
          <w:szCs w:val="32"/>
        </w:rPr>
        <w:t>工资普调、养老金、职业年金、医疗保险金、公积金、日常工作经费等经费的预算调整和新增中市县阶段性项目的支出。</w:t>
      </w:r>
    </w:p>
    <w:p>
      <w:pPr>
        <w:pStyle w:val="4"/>
        <w:shd w:val="clear" w:color="auto" w:fill="FFFFFF"/>
        <w:spacing w:before="0" w:beforeAutospacing="0" w:after="0" w:afterAutospacing="0"/>
        <w:rPr>
          <w:rFonts w:hint="eastAsia"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000000"/>
          <w:sz w:val="32"/>
          <w:szCs w:val="32"/>
        </w:rPr>
        <w:t>     3.结转结余情况。</w:t>
      </w:r>
      <w:r>
        <w:rPr>
          <w:rFonts w:hint="eastAsia" w:ascii="方正仿宋_GBK" w:hAnsi="方正仿宋_GBK" w:eastAsia="方正仿宋_GBK" w:cs="方正仿宋_GBK"/>
          <w:color w:val="000000"/>
          <w:sz w:val="32"/>
          <w:szCs w:val="32"/>
        </w:rPr>
        <w:t>2021年度年末一般公共预算财政拨款结转和结余0.00万元，</w:t>
      </w:r>
      <w:r>
        <w:rPr>
          <w:rFonts w:hint="eastAsia" w:ascii="方正仿宋_GBK" w:hAnsi="方正仿宋_GBK" w:eastAsia="方正仿宋_GBK" w:cs="方正仿宋_GBK"/>
          <w:color w:val="333333"/>
          <w:sz w:val="32"/>
          <w:szCs w:val="32"/>
        </w:rPr>
        <w:t>与上年决算数持平。</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4.比较情况。</w:t>
      </w:r>
      <w:r>
        <w:rPr>
          <w:rFonts w:hint="eastAsia" w:ascii="方正仿宋_GBK" w:hAnsi="方正仿宋_GBK" w:eastAsia="方正仿宋_GBK" w:cs="方正仿宋_GBK"/>
          <w:color w:val="000000"/>
          <w:sz w:val="32"/>
          <w:szCs w:val="32"/>
        </w:rPr>
        <w:t xml:space="preserve">本部门2021年度一般公共预算财政拨款支出主要用于以下几个方面： </w:t>
      </w:r>
    </w:p>
    <w:p>
      <w:pPr>
        <w:pStyle w:val="4"/>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（1）社会保障与就业支出160.98万元，占7.2%，较年初预算数增加7.98万元，增长5.2%，主要原因是</w:t>
      </w:r>
      <w:r>
        <w:rPr>
          <w:rFonts w:hint="eastAsia" w:ascii="方正仿宋_GBK" w:hAnsi="方正仿宋_GBK" w:eastAsia="方正仿宋_GBK" w:cs="方正仿宋_GBK"/>
          <w:sz w:val="32"/>
          <w:szCs w:val="32"/>
        </w:rPr>
        <w:t>人员工资普调，相应追加养老保险、职业年金的预算调整。</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（2）卫生健康支出56.28万元，占2.5%，较年初预算数增加6.28万元，增长12.6%，主要原因是</w:t>
      </w:r>
      <w:r>
        <w:rPr>
          <w:rFonts w:hint="eastAsia" w:ascii="方正仿宋_GBK" w:hAnsi="方正仿宋_GBK" w:eastAsia="方正仿宋_GBK" w:cs="方正仿宋_GBK"/>
          <w:sz w:val="32"/>
          <w:szCs w:val="32"/>
        </w:rPr>
        <w:t>人员工资普调，相应追加基本医疗保险的预算调整。</w:t>
      </w:r>
    </w:p>
    <w:p>
      <w:pPr>
        <w:pStyle w:val="4"/>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（3）农林水支出1,957.48万元，占87.8%，较年初预算数增加1,169.89万元，增长148.54%，主要原因是</w:t>
      </w:r>
      <w:r>
        <w:rPr>
          <w:rFonts w:hint="eastAsia" w:ascii="方正仿宋_GBK" w:hAnsi="方正仿宋_GBK" w:eastAsia="方正仿宋_GBK" w:cs="方正仿宋_GBK"/>
          <w:sz w:val="32"/>
          <w:szCs w:val="32"/>
        </w:rPr>
        <w:t>人员工资普调、养老保险、职业年金、公积金、医疗保险相应的预算追加和中市县畜牧类项目支出。</w:t>
      </w:r>
    </w:p>
    <w:p>
      <w:pPr>
        <w:pStyle w:val="4"/>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（4）自然资源海洋气象等支出11.36万元，占0.5%，较年初预算数增加0.00万元，增长0%，主要原因是单位</w:t>
      </w:r>
      <w:r>
        <w:rPr>
          <w:rFonts w:hint="eastAsia" w:ascii="方正仿宋_GBK" w:hAnsi="方正仿宋_GBK" w:eastAsia="方正仿宋_GBK" w:cs="方正仿宋_GBK"/>
          <w:sz w:val="32"/>
          <w:szCs w:val="32"/>
        </w:rPr>
        <w:t>办公用房办理房屋产权证时应交的城市建设税和人防费的预算调整。</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（5）住房保障支出44.20万元，占2%，较年初预算数增加0.70万元，增长1.6%，主要原因是</w:t>
      </w:r>
      <w:r>
        <w:rPr>
          <w:rFonts w:hint="eastAsia" w:ascii="方正仿宋_GBK" w:hAnsi="方正仿宋_GBK" w:eastAsia="方正仿宋_GBK" w:cs="方正仿宋_GBK"/>
          <w:sz w:val="32"/>
          <w:szCs w:val="32"/>
        </w:rPr>
        <w:t>2021年人员工资普调，相应追加职工公积金的预算调整。</w:t>
      </w:r>
      <w:r>
        <w:rPr>
          <w:rFonts w:hint="eastAsia" w:ascii="方正仿宋_GBK" w:hAnsi="方正仿宋_GBK" w:eastAsia="方正仿宋_GBK" w:cs="方正仿宋_GBK"/>
          <w:color w:val="000000"/>
          <w:sz w:val="32"/>
          <w:szCs w:val="32"/>
        </w:rPr>
        <w:t> </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 xml:space="preserve"> （四）一般公共预算财政拨款基本支出决算情况说明。</w:t>
      </w:r>
    </w:p>
    <w:p>
      <w:pPr>
        <w:pStyle w:val="4"/>
        <w:shd w:val="clear" w:color="auto" w:fill="FFFFFF"/>
        <w:spacing w:before="0" w:beforeAutospacing="0" w:after="0" w:afterAutospacing="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2021年度一般公共财政拨款基本支出1,041.11万元。其中：人员经费911.44万元，较上年决算数增加29.86万元，增长3.4%，主要原因是</w:t>
      </w:r>
      <w:r>
        <w:rPr>
          <w:rFonts w:hint="eastAsia" w:ascii="方正仿宋_GBK" w:hAnsi="方正仿宋_GBK" w:eastAsia="方正仿宋_GBK" w:cs="方正仿宋_GBK"/>
          <w:sz w:val="32"/>
          <w:szCs w:val="32"/>
        </w:rPr>
        <w:t>人员工资普调、养老保险、职业年金、公积金、医疗保险金相应的预算追加和中市县畜牧类项目支出。</w:t>
      </w:r>
      <w:r>
        <w:rPr>
          <w:rFonts w:hint="eastAsia" w:ascii="方正仿宋_GBK" w:hAnsi="方正仿宋_GBK" w:eastAsia="方正仿宋_GBK" w:cs="方正仿宋_GBK"/>
          <w:color w:val="000000"/>
          <w:sz w:val="32"/>
          <w:szCs w:val="32"/>
        </w:rPr>
        <w:t>人员经费用途主要包括基本工资、津贴补贴、奖金、社会保障缴费、公积金和退休职工健康休养费等支出。公用经费129.67万元，较上年决算数减少6.00万元，下降4.4%，主要原因是人员退休和调入调出的公用经费调减，严格执行中央</w:t>
      </w:r>
      <w:bookmarkStart w:id="0" w:name="_GoBack"/>
      <w:bookmarkEnd w:id="0"/>
      <w:r>
        <w:rPr>
          <w:rFonts w:hint="eastAsia" w:ascii="方正仿宋_GBK" w:hAnsi="方正仿宋_GBK" w:eastAsia="方正仿宋_GBK" w:cs="方正仿宋_GBK"/>
          <w:color w:val="000000"/>
          <w:sz w:val="32"/>
          <w:szCs w:val="32"/>
        </w:rPr>
        <w:t>八项规定，节约日常工作的公用经费开支</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公用经费用途主要包括办公费、</w:t>
      </w:r>
      <w:r>
        <w:rPr>
          <w:rFonts w:hint="eastAsia" w:ascii="方正仿宋_GBK" w:hAnsi="方正仿宋_GBK" w:eastAsia="方正仿宋_GBK" w:cs="方正仿宋_GBK"/>
          <w:sz w:val="32"/>
          <w:szCs w:val="32"/>
        </w:rPr>
        <w:t>印刷费、物管费、公务接待费、邮电费、差旅费、交通费、水电费等日常工作经费支出。</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 xml:space="preserve"> （五）政府性基金预算收支决算情况说明。</w:t>
      </w:r>
    </w:p>
    <w:p>
      <w:pPr>
        <w:pStyle w:val="4"/>
        <w:shd w:val="clear" w:color="auto" w:fill="FFFFFF"/>
        <w:spacing w:before="0" w:beforeAutospacing="0" w:after="0" w:afterAutospacing="0"/>
        <w:rPr>
          <w:rStyle w:val="7"/>
          <w:rFonts w:hint="eastAsia" w:ascii="方正仿宋_GBK" w:hAnsi="方正仿宋_GBK" w:eastAsia="方正仿宋_GBK" w:cs="方正仿宋_GBK"/>
          <w:color w:val="000000"/>
          <w:sz w:val="32"/>
          <w:szCs w:val="32"/>
          <w:shd w:val="clear" w:color="auto" w:fill="FFFF00"/>
        </w:rPr>
      </w:pPr>
      <w:r>
        <w:rPr>
          <w:rFonts w:hint="eastAsia" w:ascii="方正仿宋_GBK" w:hAnsi="方正仿宋_GBK" w:eastAsia="方正仿宋_GBK" w:cs="方正仿宋_GBK"/>
          <w:color w:val="000000"/>
          <w:sz w:val="32"/>
          <w:szCs w:val="32"/>
        </w:rPr>
        <w:t>     本部门2021年度无政府性基金预算财政拨款收支。</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 xml:space="preserve"> （六）国有资本经营预算财政拨款支出决算情况说明。</w:t>
      </w:r>
    </w:p>
    <w:p>
      <w:pPr>
        <w:pStyle w:val="4"/>
        <w:shd w:val="clear" w:color="auto" w:fill="FFFFFF"/>
        <w:spacing w:before="0" w:beforeAutospacing="0" w:after="0" w:afterAutospacing="0"/>
        <w:rPr>
          <w:rStyle w:val="7"/>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bCs/>
          <w:kern w:val="2"/>
          <w:sz w:val="32"/>
          <w:szCs w:val="32"/>
        </w:rPr>
        <w:t>本部门2021年度无国有资本经营预算财政拨款支出。</w:t>
      </w:r>
    </w:p>
    <w:p>
      <w:pPr>
        <w:pStyle w:val="4"/>
        <w:shd w:val="clear" w:color="auto" w:fill="FFFFFF"/>
        <w:spacing w:before="0" w:beforeAutospacing="0" w:after="0" w:afterAutospacing="0"/>
        <w:rPr>
          <w:rFonts w:hint="eastAsia" w:ascii="方正黑体_GBK" w:hAnsi="方正黑体_GBK" w:eastAsia="方正黑体_GBK" w:cs="方正黑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黑体_GBK" w:hAnsi="方正黑体_GBK" w:eastAsia="方正黑体_GBK" w:cs="方正黑体_GBK"/>
          <w:b w:val="0"/>
          <w:bCs w:val="0"/>
          <w:color w:val="000000"/>
          <w:sz w:val="32"/>
          <w:szCs w:val="32"/>
        </w:rPr>
        <w:t>三、“三公”经费情况说明</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（一）“三公”经费支出总体情况说明。</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2021年度“三公”经费支出共计5.93万元，较年初预算数减少3.07万元，下降34.1%，主要原因是</w:t>
      </w:r>
      <w:r>
        <w:rPr>
          <w:rFonts w:hint="eastAsia" w:ascii="方正仿宋_GBK" w:hAnsi="方正仿宋_GBK" w:eastAsia="方正仿宋_GBK" w:cs="方正仿宋_GBK"/>
          <w:color w:val="000000" w:themeColor="text1"/>
          <w:sz w:val="32"/>
          <w:szCs w:val="32"/>
        </w:rPr>
        <w:t>本部门严格执行中央八项规定，厉行节约，费用降低。</w:t>
      </w:r>
      <w:r>
        <w:rPr>
          <w:rFonts w:hint="eastAsia" w:ascii="方正仿宋_GBK" w:hAnsi="方正仿宋_GBK" w:eastAsia="方正仿宋_GBK" w:cs="方正仿宋_GBK"/>
          <w:color w:val="000000"/>
          <w:sz w:val="32"/>
          <w:szCs w:val="32"/>
        </w:rPr>
        <w:t>较上年支出数减少0.77万元，下降11.5%，主要原因是</w:t>
      </w:r>
      <w:r>
        <w:rPr>
          <w:rFonts w:hint="eastAsia" w:ascii="方正仿宋_GBK" w:hAnsi="方正仿宋_GBK" w:eastAsia="方正仿宋_GBK" w:cs="方正仿宋_GBK"/>
          <w:color w:val="000000" w:themeColor="text1"/>
          <w:sz w:val="32"/>
          <w:szCs w:val="32"/>
        </w:rPr>
        <w:t>本部门严格执行中央八项规定，厉行节约，费用降低。</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 xml:space="preserve"> （二）“三公”经费分项支出情况。</w:t>
      </w:r>
    </w:p>
    <w:p>
      <w:pPr>
        <w:pStyle w:val="4"/>
        <w:shd w:val="clear" w:color="auto" w:fill="FFFFFF"/>
        <w:ind w:firstLine="480" w:firstLineChars="15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本部门2021年度未发生因公出国（境）费用支出。</w:t>
      </w:r>
    </w:p>
    <w:p>
      <w:pPr>
        <w:pStyle w:val="4"/>
        <w:shd w:val="clear" w:color="auto" w:fill="FFFFFF"/>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本部门2021年度未发生公务车购置费支出。</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公务车运行维护费3.58万元，主要用于</w:t>
      </w:r>
      <w:r>
        <w:rPr>
          <w:rFonts w:hint="eastAsia" w:ascii="方正仿宋_GBK" w:hAnsi="方正仿宋_GBK" w:eastAsia="方正仿宋_GBK" w:cs="方正仿宋_GBK"/>
          <w:sz w:val="32"/>
          <w:szCs w:val="32"/>
        </w:rPr>
        <w:t>畜牧技术推广站（事业单位）1辆车的燃油费、路桥费、车辆保险费和维修维护等费用。</w:t>
      </w:r>
      <w:r>
        <w:rPr>
          <w:rFonts w:hint="eastAsia" w:ascii="方正仿宋_GBK" w:hAnsi="方正仿宋_GBK" w:eastAsia="方正仿宋_GBK" w:cs="方正仿宋_GBK"/>
          <w:color w:val="000000"/>
          <w:sz w:val="32"/>
          <w:szCs w:val="32"/>
        </w:rPr>
        <w:t>费用支出较年初预算数减少0.42万元，下降10.5%，主要原因是2021年该车辆没有进行大的维修维护，维修费比上年降低。较上年支出数减少0.45万元，下降11.2%，主要原因是2021年该车辆没有进行大的维修维护，维修费比上年降低。</w:t>
      </w:r>
    </w:p>
    <w:p>
      <w:pPr>
        <w:pStyle w:val="4"/>
        <w:shd w:val="clear" w:color="auto" w:fill="FFFFFF"/>
        <w:spacing w:before="0" w:beforeAutospacing="0" w:after="0" w:afterAutospacing="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sz w:val="32"/>
          <w:szCs w:val="32"/>
        </w:rPr>
        <w:t>     公务接待费2.34万元，主要用于</w:t>
      </w:r>
      <w:r>
        <w:rPr>
          <w:rFonts w:hint="eastAsia" w:ascii="方正仿宋_GBK" w:hAnsi="方正仿宋_GBK" w:eastAsia="方正仿宋_GBK" w:cs="方正仿宋_GBK"/>
          <w:color w:val="000000" w:themeColor="text1"/>
          <w:sz w:val="32"/>
          <w:szCs w:val="32"/>
        </w:rPr>
        <w:t>接待市内、市外区县相关人员来丰都学习考察调研畜禽产业基地建设和肉牛产业发展，以及下乡开展乡村振兴工作的餐费。</w:t>
      </w:r>
      <w:r>
        <w:rPr>
          <w:rFonts w:hint="eastAsia" w:ascii="方正仿宋_GBK" w:hAnsi="方正仿宋_GBK" w:eastAsia="方正仿宋_GBK" w:cs="方正仿宋_GBK"/>
          <w:color w:val="000000"/>
          <w:sz w:val="32"/>
          <w:szCs w:val="32"/>
        </w:rPr>
        <w:t>费用支出较年初预算数减少2.66万元，下降53.2%，主要原因是</w:t>
      </w:r>
      <w:r>
        <w:rPr>
          <w:rFonts w:hint="eastAsia" w:ascii="方正仿宋_GBK" w:hAnsi="方正仿宋_GBK" w:eastAsia="方正仿宋_GBK" w:cs="方正仿宋_GBK"/>
          <w:color w:val="000000" w:themeColor="text1"/>
          <w:sz w:val="32"/>
          <w:szCs w:val="32"/>
        </w:rPr>
        <w:t>本部门严格执行中央八项规定，厉行节约，费用降低。</w:t>
      </w:r>
      <w:r>
        <w:rPr>
          <w:rFonts w:hint="eastAsia" w:ascii="方正仿宋_GBK" w:hAnsi="方正仿宋_GBK" w:eastAsia="方正仿宋_GBK" w:cs="方正仿宋_GBK"/>
          <w:color w:val="000000"/>
          <w:sz w:val="32"/>
          <w:szCs w:val="32"/>
        </w:rPr>
        <w:t>较上年支出数减少0.33万元，下降12.4%，主要原因是</w:t>
      </w:r>
      <w:r>
        <w:rPr>
          <w:rFonts w:hint="eastAsia" w:ascii="方正仿宋_GBK" w:hAnsi="方正仿宋_GBK" w:eastAsia="方正仿宋_GBK" w:cs="方正仿宋_GBK"/>
          <w:color w:val="000000" w:themeColor="text1"/>
          <w:sz w:val="32"/>
          <w:szCs w:val="32"/>
        </w:rPr>
        <w:t>本部门严格执行中央八项规定，厉行节约，费用降低。</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 xml:space="preserve"> （三）“三公”经费实物量情况。</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2021年度本部门因公出国（境）共计0个团组，0人；公务用车购置0辆，公务车保有量为1辆；国内公务接待48批次321人，其中：国内外事接待0批次，0人；国（境）外公务接待0批次，0人。2021年本部门人均接待费72.93元，车均购置费0.00万元，车均维护费3.58万元。</w:t>
      </w:r>
    </w:p>
    <w:p>
      <w:pPr>
        <w:pStyle w:val="4"/>
        <w:shd w:val="clear" w:color="auto" w:fill="FFFFFF"/>
        <w:spacing w:before="0" w:beforeAutospacing="0" w:after="0" w:afterAutospacing="0"/>
        <w:rPr>
          <w:rFonts w:hint="eastAsia" w:ascii="方正黑体_GBK" w:hAnsi="方正黑体_GBK" w:eastAsia="方正黑体_GBK" w:cs="方正黑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黑体_GBK" w:hAnsi="方正黑体_GBK" w:eastAsia="方正黑体_GBK" w:cs="方正黑体_GBK"/>
          <w:b w:val="0"/>
          <w:bCs w:val="0"/>
          <w:color w:val="000000"/>
          <w:sz w:val="32"/>
          <w:szCs w:val="32"/>
        </w:rPr>
        <w:t>四、其他需要说明的事项</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 xml:space="preserve"> （一）一般公共预算财政拨款会议费和培训费情况说明。</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本年度会议费支出0.27万元，较上年决算数增加0.27万元，增长%，主要原因是2021年新增以畜牧业养殖技术宣传和畜禽基地建设选址为主的项目会议支出。本年度培训费支出5.88万元，较上年决算数增加1.87万元，增长46.6%，主要原因是新增畜牧业养殖技术培训和畜禽基地建设项目培训费支出。</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 xml:space="preserve"> （二）机关运行经费情况说明。</w:t>
      </w:r>
    </w:p>
    <w:p>
      <w:pPr>
        <w:pStyle w:val="4"/>
        <w:shd w:val="clear" w:color="auto" w:fill="FFFFFF"/>
        <w:spacing w:before="0" w:beforeAutospacing="0" w:after="0" w:afterAutospacing="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sz w:val="32"/>
          <w:szCs w:val="32"/>
        </w:rPr>
        <w:t>    2021年度本部门机关运行经费支出80.89万元，机关运行经费主要用于开支</w:t>
      </w:r>
      <w:r>
        <w:rPr>
          <w:rFonts w:hint="eastAsia" w:ascii="方正仿宋_GBK" w:hAnsi="方正仿宋_GBK" w:eastAsia="方正仿宋_GBK" w:cs="方正仿宋_GBK"/>
          <w:color w:val="000000" w:themeColor="text1"/>
          <w:sz w:val="32"/>
          <w:szCs w:val="32"/>
        </w:rPr>
        <w:t>办公费、印刷费、物管费、公务接待费、邮电费、差旅费、交通费、水电费等日常工作经费支出。</w:t>
      </w:r>
      <w:r>
        <w:rPr>
          <w:rFonts w:hint="eastAsia" w:ascii="方正仿宋_GBK" w:hAnsi="方正仿宋_GBK" w:eastAsia="方正仿宋_GBK" w:cs="方正仿宋_GBK"/>
          <w:color w:val="000000"/>
          <w:sz w:val="32"/>
          <w:szCs w:val="32"/>
        </w:rPr>
        <w:t>机关运行经费较上年决算数减少3.29万元，下降3.9%，主要原因是</w:t>
      </w:r>
      <w:r>
        <w:rPr>
          <w:rFonts w:hint="eastAsia" w:ascii="方正仿宋_GBK" w:hAnsi="方正仿宋_GBK" w:eastAsia="方正仿宋_GBK" w:cs="方正仿宋_GBK"/>
          <w:color w:val="000000" w:themeColor="text1"/>
          <w:sz w:val="32"/>
          <w:szCs w:val="32"/>
        </w:rPr>
        <w:t>严格执行中央八项规定，厉行节约，反对铺张浪费，压缩公务接待次数和标准。</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（三）国有资产占用情况说明。</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截至2021年12月31日，本部门共有车辆1辆，其中，副部（省）级及以上领导用车0辆、主要领导干部用车0辆、机要通信用车1辆、应急保障用车0辆、执法执勤用车0辆，特种专业技术用车0辆，离退休干部用车0辆，其他用车0辆。单价50万元（含）以上通用设备0台（套），单价100万元（含）以上专用设备0台（套）。</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（四）政府采购支出情况说明。</w:t>
      </w:r>
    </w:p>
    <w:p>
      <w:pPr>
        <w:pStyle w:val="4"/>
        <w:shd w:val="clear" w:color="auto" w:fill="FFFFFF"/>
        <w:spacing w:before="0" w:beforeAutospacing="0" w:after="0"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2021年度本部门政府采购支出总额64.15万元，其中：政府采购货物支出64.15万元、政府采购工程支出0.00万元、政府采购服务支出0.00万元。授予中小企业合同金额64.15万元，占政府采购支出总额的100%，其中：授予小微企业合同金额55.00万元，占政府采购支出总额的85.7%。主要用于采购</w:t>
      </w:r>
      <w:r>
        <w:rPr>
          <w:rFonts w:hint="eastAsia" w:ascii="方正仿宋_GBK" w:hAnsi="方正仿宋_GBK" w:eastAsia="方正仿宋_GBK" w:cs="方正仿宋_GBK"/>
          <w:color w:val="000000" w:themeColor="text1"/>
          <w:sz w:val="32"/>
          <w:szCs w:val="32"/>
        </w:rPr>
        <w:t>黄牛改良示范项目（冻精）和输精枪等冻配物资。</w:t>
      </w:r>
    </w:p>
    <w:p>
      <w:pPr>
        <w:pStyle w:val="4"/>
        <w:shd w:val="clear" w:color="auto" w:fill="FFFFFF"/>
        <w:spacing w:before="0" w:beforeAutospacing="0" w:after="0" w:afterAutospacing="0"/>
        <w:rPr>
          <w:rFonts w:hint="eastAsia" w:ascii="方正黑体_GBK" w:hAnsi="方正黑体_GBK" w:eastAsia="方正黑体_GBK" w:cs="方正黑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黑体_GBK" w:hAnsi="方正黑体_GBK" w:eastAsia="方正黑体_GBK" w:cs="方正黑体_GBK"/>
          <w:b w:val="0"/>
          <w:bCs w:val="0"/>
          <w:color w:val="000000"/>
          <w:sz w:val="32"/>
          <w:szCs w:val="32"/>
        </w:rPr>
        <w:t>五、预算绩效管理情况说明</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（一）预算绩效管理工作开展情况。</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根据预算绩效管理要求，本单位对部门整体和9个项目开展了绩效自评，其中，以填报目标自评表形式开展自评9项，涉及资金1187.19万元。从评价情况来看，项目立项较为规范，绩效目标明确，预算编制合理，管理科学规范，资金到位及时，总体完成情况较好，有力保障了畜产品的供给，保障了养殖场（户）的收入。项目基本达到了预期绩效目标。从评价情况来看，本单位项目总体评价自评平均分为92.9分，评价等级为优等级，已达到预期绩效目标。</w:t>
      </w:r>
    </w:p>
    <w:p>
      <w:pPr>
        <w:pStyle w:val="4"/>
        <w:shd w:val="clear" w:color="auto" w:fill="FFFFFF"/>
        <w:spacing w:before="0" w:beforeAutospacing="0" w:after="0" w:afterAutospacing="0"/>
        <w:rPr>
          <w:rFonts w:hint="eastAsia" w:ascii="方正楷体_GBK" w:hAnsi="方正楷体_GBK" w:eastAsia="方正楷体_GBK" w:cs="方正楷体_GBK"/>
          <w:b w:val="0"/>
          <w:bCs w:val="0"/>
          <w:color w:val="000000"/>
          <w:sz w:val="32"/>
          <w:szCs w:val="32"/>
        </w:rPr>
      </w:pPr>
      <w:r>
        <w:rPr>
          <w:rStyle w:val="7"/>
          <w:rFonts w:hint="eastAsia" w:ascii="方正仿宋_GBK" w:hAnsi="方正仿宋_GBK" w:eastAsia="方正仿宋_GBK" w:cs="方正仿宋_GBK"/>
          <w:color w:val="000000"/>
          <w:sz w:val="32"/>
          <w:szCs w:val="32"/>
        </w:rPr>
        <w:t xml:space="preserve">    </w:t>
      </w:r>
      <w:r>
        <w:rPr>
          <w:rStyle w:val="7"/>
          <w:rFonts w:hint="eastAsia" w:ascii="方正楷体_GBK" w:hAnsi="方正楷体_GBK" w:eastAsia="方正楷体_GBK" w:cs="方正楷体_GBK"/>
          <w:b w:val="0"/>
          <w:bCs w:val="0"/>
          <w:color w:val="000000"/>
          <w:sz w:val="32"/>
          <w:szCs w:val="32"/>
        </w:rPr>
        <w:t>（二）绩效自评结果。</w:t>
      </w:r>
    </w:p>
    <w:p>
      <w:pPr>
        <w:pStyle w:val="4"/>
        <w:shd w:val="clear" w:color="auto" w:fill="FFFFFF"/>
        <w:spacing w:before="0" w:beforeAutospacing="0" w:after="0" w:afterAutospacing="0"/>
        <w:ind w:left="210" w:firstLine="482" w:firstLineChars="150"/>
        <w:rPr>
          <w:rStyle w:val="7"/>
          <w:rFonts w:hint="eastAsia" w:ascii="方正仿宋_GBK" w:hAnsi="方正仿宋_GBK" w:eastAsia="方正仿宋_GBK" w:cs="方正仿宋_GBK"/>
          <w:color w:val="000000"/>
          <w:sz w:val="32"/>
          <w:szCs w:val="32"/>
        </w:rPr>
      </w:pPr>
      <w:r>
        <w:rPr>
          <w:rStyle w:val="7"/>
          <w:rFonts w:hint="eastAsia" w:ascii="方正仿宋_GBK" w:hAnsi="方正仿宋_GBK" w:eastAsia="方正仿宋_GBK" w:cs="方正仿宋_GBK"/>
          <w:color w:val="000000"/>
          <w:sz w:val="32"/>
          <w:szCs w:val="32"/>
        </w:rPr>
        <w:t>1.绩效目标自评表。</w:t>
      </w:r>
    </w:p>
    <w:p>
      <w:pPr>
        <w:widowControl/>
        <w:spacing w:line="594"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2021年度项目绩效自评表</w:t>
      </w:r>
    </w:p>
    <w:p>
      <w:pPr>
        <w:widowControl/>
        <w:spacing w:line="594" w:lineRule="exact"/>
        <w:jc w:val="center"/>
        <w:rPr>
          <w:rFonts w:hint="eastAsia" w:ascii="方正仿宋_GBK" w:hAnsi="方正仿宋_GBK" w:eastAsia="方正仿宋_GBK" w:cs="方正仿宋_GBK"/>
          <w:color w:val="000000"/>
          <w:kern w:val="0"/>
          <w:sz w:val="32"/>
          <w:szCs w:val="32"/>
        </w:rPr>
      </w:pPr>
    </w:p>
    <w:tbl>
      <w:tblPr>
        <w:tblStyle w:val="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609"/>
        <w:gridCol w:w="991"/>
        <w:gridCol w:w="1136"/>
        <w:gridCol w:w="1464"/>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项目名称</w:t>
            </w:r>
          </w:p>
        </w:tc>
        <w:tc>
          <w:tcPr>
            <w:tcW w:w="503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全县能繁母猪、生猪及生猪收益保险费</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自评总分</w:t>
            </w:r>
          </w:p>
        </w:tc>
        <w:tc>
          <w:tcPr>
            <w:tcW w:w="222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主管部门</w:t>
            </w:r>
          </w:p>
        </w:tc>
        <w:tc>
          <w:tcPr>
            <w:tcW w:w="503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丰都县畜牧兽医发展事务中心</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实施单位</w:t>
            </w:r>
          </w:p>
        </w:tc>
        <w:tc>
          <w:tcPr>
            <w:tcW w:w="222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丰都县畜牧兽医发展事务中心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项目资金（万元）</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635.898</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年初预算数</w:t>
            </w:r>
          </w:p>
        </w:tc>
        <w:tc>
          <w:tcPr>
            <w:tcW w:w="21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全年预算数</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全年执行数</w:t>
            </w:r>
          </w:p>
        </w:tc>
        <w:tc>
          <w:tcPr>
            <w:tcW w:w="222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年度总金额</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635.898万元</w:t>
            </w:r>
          </w:p>
        </w:tc>
        <w:tc>
          <w:tcPr>
            <w:tcW w:w="21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635.898万元</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635.898万元</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其中：财政拨款</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635.898万元</w:t>
            </w:r>
          </w:p>
        </w:tc>
        <w:tc>
          <w:tcPr>
            <w:tcW w:w="21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635.898万元</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635.898万元</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上年结转结余</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21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其他资金</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21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年度总体目标</w:t>
            </w:r>
          </w:p>
        </w:tc>
        <w:tc>
          <w:tcPr>
            <w:tcW w:w="503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预期目标</w:t>
            </w:r>
          </w:p>
        </w:tc>
        <w:tc>
          <w:tcPr>
            <w:tcW w:w="3689"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503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计划完成生猪养殖保险9万头，生猪收益保险2万头，能繁母猪保险1.5万头，不断扩大养殖保险覆盖面和风险保障水平，稳定农业生产，保障农民收入。</w:t>
            </w:r>
          </w:p>
        </w:tc>
        <w:tc>
          <w:tcPr>
            <w:tcW w:w="3689"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实际完成生猪养殖保险9.21万头，生猪收益保险1.74万头，能繁母猪保险1.04万头。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绩效指标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一级指标</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二级指标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三级指标</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年度指标值</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实际完成值</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分值</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产出指标</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生猪养殖保险数量</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9万头</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9.21万头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生猪收益保险数量</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2万头</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1.74万头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能繁母猪保险数量</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1.2万头</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1.04万头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质量指标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风险保障水平</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大于等于去年，接近直接物化成本</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时效指标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项目完成时间</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2021年12月底</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成本指标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生猪养殖保险财政补助资金</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≤48元/头</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48元/头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成本指标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生猪收益险保险财政补助资金</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≤53.9元/头</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53.9元/头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成本指标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能繁母猪保险财政补助资金</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≤96元/头</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96元/头</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效益指标</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经济效益</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风险保障总额</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大于等于全年</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社会效益</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经办机构县级分支机构覆盖率</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满意度指标</w:t>
            </w: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服务对象</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满意度指标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承保理赔公示率</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6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服务对象</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满意度指标</w:t>
            </w:r>
          </w:p>
        </w:tc>
        <w:tc>
          <w:tcPr>
            <w:tcW w:w="9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参保农户满意度</w:t>
            </w:r>
          </w:p>
        </w:tc>
        <w:tc>
          <w:tcPr>
            <w:tcW w:w="1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≥80%</w:t>
            </w:r>
          </w:p>
        </w:tc>
        <w:tc>
          <w:tcPr>
            <w:tcW w:w="14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≥80%</w:t>
            </w:r>
          </w:p>
        </w:tc>
        <w:tc>
          <w:tcPr>
            <w:tcW w:w="8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说明</w:t>
            </w:r>
          </w:p>
        </w:tc>
        <w:tc>
          <w:tcPr>
            <w:tcW w:w="8725"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tc>
      </w:tr>
    </w:tbl>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2021年度项目绩效自评表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32"/>
          <w:szCs w:val="32"/>
        </w:rPr>
      </w:pPr>
    </w:p>
    <w:tbl>
      <w:tblPr>
        <w:tblStyle w:val="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419"/>
        <w:gridCol w:w="1418"/>
        <w:gridCol w:w="70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项目名称</w:t>
            </w:r>
          </w:p>
        </w:tc>
        <w:tc>
          <w:tcPr>
            <w:tcW w:w="5319"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肉牛等特色效益农业产业化资金</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自评总分</w:t>
            </w:r>
          </w:p>
        </w:tc>
        <w:tc>
          <w:tcPr>
            <w:tcW w:w="19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主管部门</w:t>
            </w:r>
          </w:p>
        </w:tc>
        <w:tc>
          <w:tcPr>
            <w:tcW w:w="5319"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丰都县农业农村委员会</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实施单位</w:t>
            </w:r>
          </w:p>
        </w:tc>
        <w:tc>
          <w:tcPr>
            <w:tcW w:w="19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丰都县畜牧兽医发展事务中心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项目资金（万元）</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100.00</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年初预算数</w:t>
            </w:r>
          </w:p>
        </w:tc>
        <w:tc>
          <w:tcPr>
            <w:tcW w:w="27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全年预算数</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全年执行数</w:t>
            </w:r>
          </w:p>
        </w:tc>
        <w:tc>
          <w:tcPr>
            <w:tcW w:w="19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年度总金额</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27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其中：财政拨款</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27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上年结转结余</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27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其他资金</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27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年度总体目标</w:t>
            </w:r>
          </w:p>
        </w:tc>
        <w:tc>
          <w:tcPr>
            <w:tcW w:w="5319"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预期目标</w:t>
            </w:r>
          </w:p>
        </w:tc>
        <w:tc>
          <w:tcPr>
            <w:tcW w:w="340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5319"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项目建成后，全县年新增犊牛2500头以上，肉牛存栏量稳定在16万头左右，品牌知名度进一步提高，推进肉牛产业转型升级发展。</w:t>
            </w:r>
          </w:p>
        </w:tc>
        <w:tc>
          <w:tcPr>
            <w:tcW w:w="340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5头以上能繁母牛养殖场（户）新增犊牛共2656头，全县肉牛存栏量15.98万头。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绩效指标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一级指标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二级指标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三级指标</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年度指标值</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实际完成值</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分值</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产出指标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肉牛存栏</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≥16万头</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15.98万头</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年增犊牛</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≥2500头</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2656头</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质量指标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母牛死亡率</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320" w:firstLineChars="1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2.1%</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时效指标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完成时间</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2021年12月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2021年12月</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成本指标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财政资金投入</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100万元</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效益指标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经济效益</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犊牛收益</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≥1250万元</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1594万元</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带动农户数量</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带动农户数量</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≥260户</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331户</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满意度指标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服务对象</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满意度指标</w:t>
            </w:r>
          </w:p>
        </w:tc>
        <w:tc>
          <w:tcPr>
            <w:tcW w:w="13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满意度</w:t>
            </w:r>
          </w:p>
        </w:tc>
        <w:tc>
          <w:tcPr>
            <w:tcW w:w="14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≥95%</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95%</w:t>
            </w: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说明</w:t>
            </w:r>
          </w:p>
        </w:tc>
        <w:tc>
          <w:tcPr>
            <w:tcW w:w="8725"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tc>
      </w:tr>
    </w:tbl>
    <w:p>
      <w:pPr>
        <w:pStyle w:val="4"/>
        <w:shd w:val="clear" w:color="auto" w:fill="FFFFFF"/>
        <w:spacing w:before="0" w:beforeAutospacing="0" w:after="0" w:afterAutospacing="0"/>
        <w:ind w:firstLine="482" w:firstLineChars="15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2.绩效自评报告或案例。</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我单位未委托第三方开展绩效自评。</w:t>
      </w:r>
    </w:p>
    <w:p>
      <w:pPr>
        <w:pStyle w:val="4"/>
        <w:shd w:val="clear" w:color="auto" w:fill="FFFFFF"/>
        <w:spacing w:before="0" w:beforeAutospacing="0" w:after="0" w:afterAutospacing="0"/>
        <w:ind w:firstLine="482" w:firstLineChars="15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3.关于绩效自评结果的说明。</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我单位绩效自评均已完成年度绩效目标。</w:t>
      </w:r>
    </w:p>
    <w:p>
      <w:pPr>
        <w:pStyle w:val="4"/>
        <w:shd w:val="clear" w:color="auto" w:fill="FFFFFF"/>
        <w:spacing w:before="0" w:beforeAutospacing="0" w:after="0" w:afterAutospacing="0"/>
        <w:rPr>
          <w:rStyle w:val="7"/>
          <w:rFonts w:hint="eastAsia" w:ascii="方正楷体_GBK" w:hAnsi="方正楷体_GBK" w:eastAsia="方正楷体_GBK" w:cs="方正楷体_GBK"/>
          <w:b w:val="0"/>
          <w:bCs w:val="0"/>
          <w:color w:val="000000"/>
          <w:sz w:val="32"/>
          <w:szCs w:val="32"/>
        </w:rPr>
      </w:pPr>
      <w:r>
        <w:rPr>
          <w:rStyle w:val="7"/>
          <w:rFonts w:hint="eastAsia" w:ascii="方正楷体_GBK" w:hAnsi="方正楷体_GBK" w:eastAsia="方正楷体_GBK" w:cs="方正楷体_GBK"/>
          <w:b w:val="0"/>
          <w:bCs w:val="0"/>
          <w:color w:val="000000"/>
          <w:sz w:val="32"/>
          <w:szCs w:val="32"/>
        </w:rPr>
        <w:t>（三）重点绩效评价结果。</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我单位未委托第三方开展重点绩效评价。</w:t>
      </w:r>
    </w:p>
    <w:p>
      <w:pPr>
        <w:pStyle w:val="4"/>
        <w:shd w:val="clear" w:color="auto" w:fill="FFFFFF"/>
        <w:spacing w:before="0" w:beforeAutospacing="0" w:after="0" w:afterAutospacing="0"/>
        <w:rPr>
          <w:rStyle w:val="7"/>
          <w:rFonts w:hint="eastAsia" w:ascii="方正黑体_GBK" w:hAnsi="方正黑体_GBK" w:eastAsia="方正黑体_GBK" w:cs="方正黑体_GBK"/>
          <w:b w:val="0"/>
          <w:bCs w:val="0"/>
          <w:color w:val="000000"/>
          <w:sz w:val="32"/>
          <w:szCs w:val="32"/>
        </w:rPr>
      </w:pPr>
      <w:r>
        <w:rPr>
          <w:rFonts w:hint="eastAsia" w:ascii="方正仿宋_GBK" w:hAnsi="方正仿宋_GBK" w:eastAsia="方正仿宋_GBK" w:cs="方正仿宋_GBK"/>
          <w:b/>
          <w:bCs/>
          <w:kern w:val="2"/>
          <w:sz w:val="32"/>
          <w:szCs w:val="32"/>
        </w:rPr>
        <w:t xml:space="preserve">  </w:t>
      </w:r>
      <w:r>
        <w:rPr>
          <w:rStyle w:val="7"/>
          <w:rFonts w:hint="eastAsia" w:ascii="方正楷体_GBK" w:hAnsi="方正楷体_GBK" w:eastAsia="方正楷体_GBK" w:cs="方正楷体_GBK"/>
          <w:b w:val="0"/>
          <w:bCs w:val="0"/>
          <w:color w:val="000000"/>
          <w:sz w:val="32"/>
          <w:szCs w:val="32"/>
        </w:rPr>
        <w:t xml:space="preserve"> </w:t>
      </w:r>
      <w:r>
        <w:rPr>
          <w:rStyle w:val="7"/>
          <w:rFonts w:hint="eastAsia" w:ascii="方正黑体_GBK" w:hAnsi="方正黑体_GBK" w:eastAsia="方正黑体_GBK" w:cs="方正黑体_GBK"/>
          <w:b w:val="0"/>
          <w:bCs w:val="0"/>
          <w:color w:val="000000"/>
          <w:sz w:val="32"/>
          <w:szCs w:val="32"/>
        </w:rPr>
        <w:t xml:space="preserve"> 六、专业名词解释</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（一）财政拨款收入：</w:t>
      </w:r>
      <w:r>
        <w:rPr>
          <w:rFonts w:hint="eastAsia" w:ascii="方正仿宋_GBK" w:hAnsi="方正仿宋_GBK" w:eastAsia="方正仿宋_GBK" w:cs="方正仿宋_GBK"/>
          <w:kern w:val="2"/>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（二）事业收入：</w:t>
      </w:r>
      <w:r>
        <w:rPr>
          <w:rFonts w:hint="eastAsia" w:ascii="方正仿宋_GBK" w:hAnsi="方正仿宋_GBK" w:eastAsia="方正仿宋_GBK" w:cs="方正仿宋_GBK"/>
          <w:kern w:val="2"/>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（三）经营收入：</w:t>
      </w:r>
      <w:r>
        <w:rPr>
          <w:rFonts w:hint="eastAsia" w:ascii="方正仿宋_GBK" w:hAnsi="方正仿宋_GBK" w:eastAsia="方正仿宋_GBK" w:cs="方正仿宋_GBK"/>
          <w:kern w:val="2"/>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（四）其他收入：</w:t>
      </w:r>
      <w:r>
        <w:rPr>
          <w:rFonts w:hint="eastAsia" w:ascii="方正仿宋_GBK" w:hAnsi="方正仿宋_GBK" w:eastAsia="方正仿宋_GBK" w:cs="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（五）使用非财政拨款结余：</w:t>
      </w:r>
      <w:r>
        <w:rPr>
          <w:rFonts w:hint="eastAsia" w:ascii="方正仿宋_GBK" w:hAnsi="方正仿宋_GBK" w:eastAsia="方正仿宋_GBK" w:cs="方正仿宋_GBK"/>
          <w:kern w:val="2"/>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（六）年初结转和结余：</w:t>
      </w:r>
      <w:r>
        <w:rPr>
          <w:rFonts w:hint="eastAsia" w:ascii="方正仿宋_GBK" w:hAnsi="方正仿宋_GBK" w:eastAsia="方正仿宋_GBK" w:cs="方正仿宋_GBK"/>
          <w:kern w:val="2"/>
          <w:sz w:val="32"/>
          <w:szCs w:val="32"/>
        </w:rPr>
        <w:t>指单位上年结转本年使用的基本支出结转、项目支出结转和结余、经营结余。</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（七）结余分配：</w:t>
      </w:r>
      <w:r>
        <w:rPr>
          <w:rFonts w:hint="eastAsia" w:ascii="方正仿宋_GBK" w:hAnsi="方正仿宋_GBK" w:eastAsia="方正仿宋_GBK" w:cs="方正仿宋_GBK"/>
          <w:kern w:val="2"/>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（八）年末结转和结余：</w:t>
      </w:r>
      <w:r>
        <w:rPr>
          <w:rFonts w:hint="eastAsia" w:ascii="方正仿宋_GBK" w:hAnsi="方正仿宋_GBK" w:eastAsia="方正仿宋_GBK" w:cs="方正仿宋_GBK"/>
          <w:kern w:val="2"/>
          <w:sz w:val="32"/>
          <w:szCs w:val="32"/>
        </w:rPr>
        <w:t>指单位结转下年的基本支出结转、项目支出结转和结余、经营结余。</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（九）基本支出：</w:t>
      </w:r>
      <w:r>
        <w:rPr>
          <w:rFonts w:hint="eastAsia" w:ascii="方正仿宋_GBK" w:hAnsi="方正仿宋_GBK" w:eastAsia="方正仿宋_GBK" w:cs="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（十）项目支出：</w:t>
      </w:r>
      <w:r>
        <w:rPr>
          <w:rFonts w:hint="eastAsia" w:ascii="方正仿宋_GBK" w:hAnsi="方正仿宋_GBK" w:eastAsia="方正仿宋_GBK" w:cs="方正仿宋_GBK"/>
          <w:kern w:val="2"/>
          <w:sz w:val="32"/>
          <w:szCs w:val="32"/>
        </w:rPr>
        <w:t>指在基本支出之外为完成特定行政任务和事业发展目标所发生的支出。</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（十一）经营支出：</w:t>
      </w:r>
      <w:r>
        <w:rPr>
          <w:rFonts w:hint="eastAsia" w:ascii="方正仿宋_GBK" w:hAnsi="方正仿宋_GBK" w:eastAsia="方正仿宋_GBK" w:cs="方正仿宋_GBK"/>
          <w:kern w:val="2"/>
          <w:sz w:val="32"/>
          <w:szCs w:val="32"/>
        </w:rPr>
        <w:t>指事业单位在专业业务活动及其辅助活动之外开展非独立核算经营活动发生的支出。</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（十二）“三公”经费：</w:t>
      </w:r>
      <w:r>
        <w:rPr>
          <w:rFonts w:hint="eastAsia" w:ascii="方正仿宋_GBK" w:hAnsi="方正仿宋_GBK" w:eastAsia="方正仿宋_GBK" w:cs="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（十三）机关运行经费：</w:t>
      </w:r>
      <w:r>
        <w:rPr>
          <w:rFonts w:hint="eastAsia" w:ascii="方正仿宋_GBK" w:hAnsi="方正仿宋_GBK" w:eastAsia="方正仿宋_GBK" w:cs="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（十四）工资福利支出（支出经济分类科目类级）：</w:t>
      </w:r>
      <w:r>
        <w:rPr>
          <w:rFonts w:hint="eastAsia" w:ascii="方正仿宋_GBK" w:hAnsi="方正仿宋_GBK" w:eastAsia="方正仿宋_GBK" w:cs="方正仿宋_GBK"/>
          <w:kern w:val="2"/>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（十五）商品和服务支出（支出经济分类科目类级）：</w:t>
      </w:r>
      <w:r>
        <w:rPr>
          <w:rFonts w:hint="eastAsia" w:ascii="方正仿宋_GBK" w:hAnsi="方正仿宋_GBK" w:eastAsia="方正仿宋_GBK" w:cs="方正仿宋_GBK"/>
          <w:kern w:val="2"/>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ind w:firstLine="480" w:firstLineChars="15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（十六）对个人和家庭的补助（支出经济分类科目类级）：</w:t>
      </w:r>
      <w:r>
        <w:rPr>
          <w:rFonts w:hint="eastAsia" w:ascii="方正仿宋_GBK" w:hAnsi="方正仿宋_GBK" w:eastAsia="方正仿宋_GBK" w:cs="方正仿宋_GBK"/>
          <w:kern w:val="2"/>
          <w:sz w:val="32"/>
          <w:szCs w:val="32"/>
        </w:rPr>
        <w:t>反映用于对个人和家庭的补助支出。</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Style w:val="7"/>
          <w:rFonts w:hint="eastAsia" w:ascii="方正楷体_GBK" w:hAnsi="方正楷体_GBK" w:eastAsia="方正楷体_GBK" w:cs="方正楷体_GBK"/>
          <w:b w:val="0"/>
          <w:bCs w:val="0"/>
          <w:color w:val="000000"/>
          <w:sz w:val="32"/>
          <w:szCs w:val="32"/>
        </w:rPr>
        <w:t>（十七）其他资本性支出（支出经济分类科目类级）：</w:t>
      </w:r>
      <w:r>
        <w:rPr>
          <w:rFonts w:hint="eastAsia" w:ascii="方正仿宋_GBK" w:hAnsi="方正仿宋_GBK" w:eastAsia="方正仿宋_GBK" w:cs="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ind w:firstLine="640" w:firstLineChars="200"/>
        <w:rPr>
          <w:rStyle w:val="7"/>
          <w:rFonts w:hint="eastAsia" w:ascii="方正黑体_GBK" w:hAnsi="方正黑体_GBK" w:eastAsia="方正黑体_GBK" w:cs="方正黑体_GBK"/>
          <w:b w:val="0"/>
          <w:bCs w:val="0"/>
          <w:color w:val="000000"/>
          <w:sz w:val="32"/>
          <w:szCs w:val="32"/>
        </w:rPr>
      </w:pPr>
      <w:r>
        <w:rPr>
          <w:rStyle w:val="7"/>
          <w:rFonts w:hint="eastAsia" w:ascii="方正黑体_GBK" w:hAnsi="方正黑体_GBK" w:eastAsia="方正黑体_GBK" w:cs="方正黑体_GBK"/>
          <w:b w:val="0"/>
          <w:bCs w:val="0"/>
          <w:color w:val="000000"/>
          <w:sz w:val="32"/>
          <w:szCs w:val="32"/>
        </w:rPr>
        <w:t>七、决算公开联系方式及信息反馈渠道</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本单位决算公开信息反馈和联系方式：023-70619103。</w:t>
      </w:r>
    </w:p>
    <w:p>
      <w:pPr>
        <w:pStyle w:val="4"/>
        <w:shd w:val="clear" w:color="auto" w:fill="FFFFFF"/>
        <w:spacing w:before="0" w:beforeAutospacing="0" w:after="0" w:afterAutospacing="0"/>
        <w:ind w:firstLine="640" w:firstLineChars="200"/>
        <w:rPr>
          <w:rFonts w:hint="eastAsia" w:ascii="方正仿宋_GBK" w:hAnsi="方正仿宋_GBK" w:eastAsia="方正仿宋_GBK" w:cs="方正仿宋_GBK"/>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mMDI0Y2Q2MDZmYmJiODIyYzdjZjJiM2ZmMDI5NDAifQ=="/>
  </w:docVars>
  <w:rsids>
    <w:rsidRoot w:val="00933828"/>
    <w:rsid w:val="0003713D"/>
    <w:rsid w:val="00074CFA"/>
    <w:rsid w:val="00084ED2"/>
    <w:rsid w:val="000D3272"/>
    <w:rsid w:val="001003E9"/>
    <w:rsid w:val="00193256"/>
    <w:rsid w:val="001C66FA"/>
    <w:rsid w:val="00204106"/>
    <w:rsid w:val="002136EE"/>
    <w:rsid w:val="002953E2"/>
    <w:rsid w:val="00297EA1"/>
    <w:rsid w:val="002A786C"/>
    <w:rsid w:val="003603FE"/>
    <w:rsid w:val="003A2BE6"/>
    <w:rsid w:val="003F691A"/>
    <w:rsid w:val="004266FA"/>
    <w:rsid w:val="00482DFF"/>
    <w:rsid w:val="004F3C80"/>
    <w:rsid w:val="004F43E9"/>
    <w:rsid w:val="00502C75"/>
    <w:rsid w:val="0052652C"/>
    <w:rsid w:val="00542406"/>
    <w:rsid w:val="005A21E5"/>
    <w:rsid w:val="005B37AA"/>
    <w:rsid w:val="005B4846"/>
    <w:rsid w:val="005E061B"/>
    <w:rsid w:val="00621981"/>
    <w:rsid w:val="006312CD"/>
    <w:rsid w:val="006B6B69"/>
    <w:rsid w:val="006C2F8C"/>
    <w:rsid w:val="007265C9"/>
    <w:rsid w:val="00823029"/>
    <w:rsid w:val="008878E4"/>
    <w:rsid w:val="00915179"/>
    <w:rsid w:val="00933828"/>
    <w:rsid w:val="00987D10"/>
    <w:rsid w:val="0099414A"/>
    <w:rsid w:val="00A223F0"/>
    <w:rsid w:val="00AD1B7E"/>
    <w:rsid w:val="00AF5FC3"/>
    <w:rsid w:val="00B06DE8"/>
    <w:rsid w:val="00B17553"/>
    <w:rsid w:val="00B301FF"/>
    <w:rsid w:val="00B8472B"/>
    <w:rsid w:val="00B84DA5"/>
    <w:rsid w:val="00C43A9F"/>
    <w:rsid w:val="00C854A9"/>
    <w:rsid w:val="00C862BC"/>
    <w:rsid w:val="00CA6AE5"/>
    <w:rsid w:val="00D306FE"/>
    <w:rsid w:val="00DB6166"/>
    <w:rsid w:val="00E464F5"/>
    <w:rsid w:val="00EB42B9"/>
    <w:rsid w:val="00FF620D"/>
    <w:rsid w:val="5CCE21E1"/>
    <w:rsid w:val="7F3AF7C6"/>
    <w:rsid w:val="7FE3D1F2"/>
    <w:rsid w:val="DF7F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6260</Words>
  <Characters>7039</Characters>
  <Lines>54</Lines>
  <Paragraphs>15</Paragraphs>
  <TotalTime>83</TotalTime>
  <ScaleCrop>false</ScaleCrop>
  <LinksUpToDate>false</LinksUpToDate>
  <CharactersWithSpaces>7241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2022-10-09T00:58:00Z</dcterms:created>
  <dc:creator>AutoBVT</dc:creator>
  <cp:lastModifiedBy>Mr.Yuan</cp:lastModifiedBy>
  <dcterms:modified xsi:type="dcterms:W3CDTF">2022-12-28T09:19:31Z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B87CAD486EE946A59C8D047D56A11692</vt:lpwstr>
  </property>
</Properties>
</file>