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hd w:val="clear" w:color="auto" w:fill="FFFFFF"/>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丰都县社会福利院</w:t>
      </w:r>
    </w:p>
    <w:p>
      <w:pPr>
        <w:pStyle w:val="9"/>
        <w:shd w:val="clear" w:color="auto" w:fill="FFFFFF"/>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shd w:val="clear" w:color="auto" w:fill="FFFFFF"/>
        </w:rPr>
        <w:t>2024年度决算公开说明</w:t>
      </w:r>
    </w:p>
    <w:p>
      <w:pPr>
        <w:pStyle w:val="9"/>
        <w:shd w:val="clear" w:color="auto" w:fill="FFFFFF"/>
        <w:spacing w:before="0" w:beforeAutospacing="0" w:after="0" w:afterAutospacing="0" w:line="596" w:lineRule="exact"/>
        <w:jc w:val="center"/>
        <w:rPr>
          <w:rFonts w:hint="default" w:ascii="方正小标宋_GBK" w:hAnsi="方正小标宋_GBK" w:eastAsia="方正小标宋_GBK" w:cs="方正小标宋_GBK"/>
          <w:sz w:val="36"/>
          <w:szCs w:val="36"/>
          <w:shd w:val="clear" w:color="auto" w:fill="FFFFFF"/>
        </w:rPr>
      </w:pPr>
    </w:p>
    <w:p>
      <w:pPr>
        <w:pStyle w:val="9"/>
        <w:shd w:val="clear" w:color="auto" w:fill="FFFFFF"/>
        <w:spacing w:before="0" w:beforeAutospacing="0" w:after="0" w:afterAutospacing="0" w:line="596" w:lineRule="exact"/>
        <w:ind w:firstLine="643" w:firstLineChars="200"/>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一、单位基本情况</w:t>
      </w:r>
    </w:p>
    <w:p>
      <w:pPr>
        <w:pStyle w:val="9"/>
        <w:shd w:val="clear" w:color="auto" w:fill="FFFFFF"/>
        <w:spacing w:before="0" w:beforeAutospacing="0" w:after="0" w:afterAutospacing="0" w:line="596" w:lineRule="exact"/>
        <w:ind w:firstLine="643" w:firstLineChars="200"/>
        <w:rPr>
          <w:rStyle w:val="11"/>
          <w:rFonts w:hint="default" w:ascii="楷体" w:hAnsi="楷体" w:eastAsia="楷体" w:cs="楷体"/>
          <w:sz w:val="32"/>
          <w:szCs w:val="32"/>
          <w:shd w:val="clear" w:color="auto" w:fill="FFFFFF"/>
        </w:rPr>
      </w:pPr>
      <w:r>
        <w:rPr>
          <w:rStyle w:val="11"/>
          <w:rFonts w:ascii="楷体" w:hAnsi="楷体" w:eastAsia="楷体" w:cs="楷体"/>
          <w:sz w:val="32"/>
          <w:szCs w:val="32"/>
          <w:shd w:val="clear" w:color="auto" w:fill="FFFFFF"/>
        </w:rPr>
        <w:t>（一）职能职责</w:t>
      </w:r>
    </w:p>
    <w:p>
      <w:pPr>
        <w:pStyle w:val="9"/>
        <w:shd w:val="clear" w:color="auto" w:fill="FFFFFF"/>
        <w:spacing w:before="0" w:beforeAutospacing="0" w:after="0" w:afterAutospacing="0" w:line="596" w:lineRule="exact"/>
        <w:ind w:firstLine="640" w:firstLineChars="200"/>
        <w:rPr>
          <w:rStyle w:val="11"/>
          <w:rFonts w:hint="default" w:ascii="楷体" w:hAnsi="楷体" w:eastAsia="楷体" w:cs="楷体"/>
          <w:sz w:val="32"/>
          <w:szCs w:val="32"/>
          <w:shd w:val="clear" w:color="auto" w:fill="FFFFFF"/>
        </w:rPr>
      </w:pPr>
      <w:r>
        <w:rPr>
          <w:rFonts w:ascii="方正仿宋_GBK" w:hAnsi="方正仿宋_GBK" w:eastAsia="方正仿宋_GBK" w:cs="方正仿宋_GBK"/>
          <w:sz w:val="32"/>
          <w:szCs w:val="32"/>
          <w:shd w:val="clear" w:color="auto" w:fill="FFFFFF"/>
        </w:rPr>
        <w:t>收养孤老优抚对象、“三无”、“五保”及低收入的高龄、独居、失能老人；收容抚养社会上无法查明父母或者其他监护人在孤、残、弃等未成年人；开展自费养老服务示范；为社区居家老人、留守儿童开展日间照料和上门救助服务。</w:t>
      </w:r>
    </w:p>
    <w:p>
      <w:pPr>
        <w:pStyle w:val="9"/>
        <w:numPr>
          <w:ilvl w:val="0"/>
          <w:numId w:val="1"/>
        </w:numPr>
        <w:shd w:val="clear" w:color="auto" w:fill="FFFFFF"/>
        <w:spacing w:before="0" w:beforeAutospacing="0" w:after="0" w:afterAutospacing="0" w:line="596" w:lineRule="exact"/>
        <w:ind w:firstLine="643" w:firstLineChars="200"/>
        <w:rPr>
          <w:rStyle w:val="11"/>
          <w:rFonts w:hint="default" w:ascii="楷体" w:hAnsi="楷体" w:eastAsia="楷体" w:cs="楷体"/>
          <w:sz w:val="32"/>
          <w:szCs w:val="32"/>
          <w:shd w:val="clear" w:color="auto" w:fill="FFFFFF"/>
        </w:rPr>
      </w:pPr>
      <w:r>
        <w:rPr>
          <w:rStyle w:val="11"/>
          <w:rFonts w:ascii="楷体" w:hAnsi="楷体" w:eastAsia="楷体" w:cs="楷体"/>
          <w:sz w:val="32"/>
          <w:szCs w:val="32"/>
          <w:shd w:val="clear" w:color="auto" w:fill="FFFFFF"/>
        </w:rPr>
        <w:t>机构设置</w:t>
      </w:r>
    </w:p>
    <w:p>
      <w:pPr>
        <w:pStyle w:val="9"/>
        <w:shd w:val="clear" w:color="auto" w:fill="FFFFFF"/>
        <w:spacing w:before="0" w:beforeAutospacing="0" w:after="0" w:afterAutospacing="0" w:line="596"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县社会福利院设置办公室、后勤部、老年一部、老年二部、儿童部、业务部、医务所</w:t>
      </w:r>
      <w:r>
        <w:rPr>
          <w:rFonts w:ascii="Times New Roman" w:hAnsi="Times New Roman" w:eastAsia="方正仿宋_GBK"/>
          <w:sz w:val="32"/>
          <w:szCs w:val="32"/>
          <w:shd w:val="clear" w:color="auto" w:fill="FFFFFF"/>
        </w:rPr>
        <w:t>7</w:t>
      </w:r>
      <w:r>
        <w:rPr>
          <w:rFonts w:ascii="方正仿宋_GBK" w:hAnsi="方正仿宋_GBK" w:eastAsia="方正仿宋_GBK" w:cs="方正仿宋_GBK"/>
          <w:sz w:val="32"/>
          <w:szCs w:val="32"/>
          <w:shd w:val="clear" w:color="auto" w:fill="FFFFFF"/>
        </w:rPr>
        <w:t>个内设机构。</w:t>
      </w:r>
    </w:p>
    <w:p>
      <w:pPr>
        <w:pStyle w:val="9"/>
        <w:shd w:val="clear" w:color="auto" w:fill="FFFFFF"/>
        <w:spacing w:before="0" w:beforeAutospacing="0" w:after="0" w:afterAutospacing="0" w:line="596" w:lineRule="exact"/>
        <w:ind w:firstLine="643" w:firstLineChars="200"/>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二、单位决算收支情况说明</w:t>
      </w:r>
    </w:p>
    <w:p>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9"/>
        <w:shd w:val="clear" w:color="auto" w:fill="FFFFFF"/>
        <w:spacing w:before="0" w:beforeAutospacing="0" w:after="0" w:afterAutospacing="0" w:line="596" w:lineRule="exact"/>
        <w:ind w:firstLine="643" w:firstLineChars="200"/>
        <w:jc w:val="both"/>
        <w:rPr>
          <w:rFonts w:hint="default" w:ascii="Times New Roman" w:hAnsi="Times New Roman" w:eastAsia="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1.总体情况。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年度收、支总计均为</w:t>
      </w:r>
      <w:r>
        <w:rPr>
          <w:rFonts w:hint="default" w:ascii="Times New Roman" w:hAnsi="Times New Roman" w:eastAsia="方正仿宋_GBK"/>
          <w:sz w:val="32"/>
          <w:szCs w:val="32"/>
          <w:shd w:val="clear" w:color="auto" w:fill="FFFFFF"/>
        </w:rPr>
        <w:t>1293.50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收、支与2023年度相比，增加12.61万元，增长1.0%</w:t>
      </w:r>
      <w:r>
        <w:rPr>
          <w:rFonts w:ascii="方正仿宋_GBK" w:hAnsi="方正仿宋_GBK" w:eastAsia="方正仿宋_GBK" w:cs="方正仿宋_GBK"/>
          <w:sz w:val="32"/>
          <w:szCs w:val="32"/>
          <w:shd w:val="clear" w:color="auto" w:fill="FFFFFF"/>
        </w:rPr>
        <w:t>，主要原因是本年增加养老服务设施改造提升项目。（本部分的收入总计为</w:t>
      </w:r>
      <w:r>
        <w:rPr>
          <w:rFonts w:ascii="Times New Roman" w:hAnsi="Times New Roman" w:eastAsia="方正仿宋_GBK"/>
          <w:sz w:val="32"/>
          <w:szCs w:val="32"/>
          <w:shd w:val="clear" w:color="auto" w:fill="FFFFFF"/>
        </w:rPr>
        <w:t>1293.50万元；支出总计包括本年支出合计</w:t>
      </w:r>
      <w:r>
        <w:rPr>
          <w:rFonts w:hint="default" w:ascii="Times New Roman" w:hAnsi="Times New Roman" w:eastAsia="方正仿宋_GBK"/>
          <w:sz w:val="32"/>
          <w:szCs w:val="32"/>
          <w:shd w:val="clear" w:color="auto" w:fill="FFFFFF"/>
        </w:rPr>
        <w:t>1,275.42</w:t>
      </w:r>
      <w:r>
        <w:rPr>
          <w:rFonts w:ascii="Times New Roman" w:hAnsi="Times New Roman" w:eastAsia="方正仿宋_GBK"/>
          <w:sz w:val="32"/>
          <w:szCs w:val="32"/>
          <w:shd w:val="clear" w:color="auto" w:fill="FFFFFF"/>
        </w:rPr>
        <w:t>万元，结余分配18.07万元）。</w:t>
      </w:r>
    </w:p>
    <w:p>
      <w:pPr>
        <w:pStyle w:val="9"/>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2.收入情况。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1293.50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与2023年度相比，增加32.61万元，增长2.6%</w:t>
      </w:r>
      <w:r>
        <w:rPr>
          <w:rFonts w:ascii="方正仿宋_GBK" w:hAnsi="方正仿宋_GBK" w:eastAsia="方正仿宋_GBK" w:cs="方正仿宋_GBK"/>
          <w:sz w:val="32"/>
          <w:szCs w:val="32"/>
          <w:shd w:val="clear" w:color="auto" w:fill="FFFFFF"/>
        </w:rPr>
        <w:t>，主要原因是本年增加养老服务设施改造提升项目。其中：财政拨款收入</w:t>
      </w:r>
      <w:r>
        <w:rPr>
          <w:rFonts w:hint="default" w:ascii="Times New Roman" w:hAnsi="Times New Roman" w:eastAsia="方正仿宋_GBK"/>
          <w:sz w:val="32"/>
          <w:szCs w:val="32"/>
          <w:shd w:val="clear" w:color="auto" w:fill="FFFFFF"/>
        </w:rPr>
        <w:t>993.92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76.8%</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299.57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23.2%</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3.支出情况。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1275.42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与2023年度相比，增加21.41万元，增长1.7%</w:t>
      </w:r>
      <w:r>
        <w:rPr>
          <w:rFonts w:ascii="方正仿宋_GBK" w:hAnsi="方正仿宋_GBK" w:eastAsia="方正仿宋_GBK" w:cs="方正仿宋_GBK"/>
          <w:sz w:val="32"/>
          <w:szCs w:val="32"/>
          <w:shd w:val="clear" w:color="auto" w:fill="FFFFFF"/>
        </w:rPr>
        <w:t>，主要原因是本年增加养老服务设施改造提升项目。其中：基本支出</w:t>
      </w:r>
      <w:r>
        <w:rPr>
          <w:rFonts w:hint="default" w:ascii="Times New Roman" w:hAnsi="Times New Roman" w:eastAsia="方正仿宋_GBK"/>
          <w:sz w:val="32"/>
          <w:szCs w:val="32"/>
          <w:shd w:val="clear" w:color="auto" w:fill="FFFFFF"/>
        </w:rPr>
        <w:t>1002.94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78.6%</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272.49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21.4%</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18.07</w:t>
      </w:r>
      <w:r>
        <w:rPr>
          <w:rFonts w:ascii="方正仿宋_GBK" w:hAnsi="方正仿宋_GBK" w:eastAsia="方正仿宋_GBK" w:cs="方正仿宋_GBK"/>
          <w:sz w:val="32"/>
          <w:szCs w:val="32"/>
          <w:shd w:val="clear" w:color="auto" w:fill="FFFFFF"/>
        </w:rPr>
        <w:t>万元。</w:t>
      </w:r>
    </w:p>
    <w:p>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4.结转结余情况。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万元，较上年决算数持平。</w:t>
      </w:r>
    </w:p>
    <w:p>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993.92</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年度相比，</w:t>
      </w:r>
      <w:r>
        <w:rPr>
          <w:rFonts w:hint="default" w:ascii="Times New Roman" w:hAnsi="Times New Roman" w:eastAsia="方正仿宋_GBK"/>
          <w:sz w:val="32"/>
          <w:szCs w:val="32"/>
          <w:shd w:val="clear" w:color="auto" w:fill="FFFFFF"/>
        </w:rPr>
        <w:t>财政拨款收、支总计各减少8.91万元，下降0.9%</w:t>
      </w:r>
      <w:r>
        <w:rPr>
          <w:rFonts w:ascii="方正仿宋_GBK" w:hAnsi="方正仿宋_GBK" w:eastAsia="方正仿宋_GBK" w:cs="方正仿宋_GBK"/>
          <w:sz w:val="32"/>
          <w:szCs w:val="32"/>
          <w:shd w:val="clear" w:color="auto" w:fill="FFFFFF"/>
        </w:rPr>
        <w:t>。主要原因是职工调标减资，本年调离</w:t>
      </w:r>
      <w:r>
        <w:rPr>
          <w:rFonts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人、退休</w:t>
      </w:r>
      <w:r>
        <w:rPr>
          <w:rFonts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人。</w:t>
      </w:r>
    </w:p>
    <w:p>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1"/>
          <w:rFonts w:hint="default" w:ascii="Times New Roman" w:hAnsi="Times New Roman" w:eastAsia="方正仿宋_GBK"/>
          <w:sz w:val="32"/>
          <w:szCs w:val="32"/>
          <w:shd w:val="clear" w:color="auto" w:fill="FFFFFF"/>
        </w:rPr>
        <w:t>1</w:t>
      </w:r>
      <w:r>
        <w:rPr>
          <w:rStyle w:val="11"/>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919.06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与2023年度相比，减少63.77万元，下降6.5%</w:t>
      </w:r>
      <w:r>
        <w:rPr>
          <w:rFonts w:ascii="方正仿宋_GBK" w:hAnsi="方正仿宋_GBK" w:eastAsia="方正仿宋_GBK" w:cs="方正仿宋_GBK"/>
          <w:sz w:val="32"/>
          <w:szCs w:val="32"/>
          <w:shd w:val="clear" w:color="auto" w:fill="FFFFFF"/>
        </w:rPr>
        <w:t>。主要原因是职工调标减资，本年调离</w:t>
      </w:r>
      <w:r>
        <w:rPr>
          <w:rFonts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人、退休</w:t>
      </w:r>
      <w:r>
        <w:rPr>
          <w:rFonts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较年初预算数增加58.69万元，增长6.8%</w:t>
      </w:r>
      <w:r>
        <w:rPr>
          <w:rFonts w:ascii="方正仿宋_GBK" w:hAnsi="方正仿宋_GBK" w:eastAsia="方正仿宋_GBK" w:cs="方正仿宋_GBK"/>
          <w:sz w:val="32"/>
          <w:szCs w:val="32"/>
          <w:shd w:val="clear" w:color="auto" w:fill="FFFFFF"/>
        </w:rPr>
        <w:t>。主要原因是本年增加养老服务设施改造提升项目。此外，年初财政拨款结转和结余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1"/>
          <w:rFonts w:hint="default" w:ascii="Times New Roman" w:hAnsi="Times New Roman" w:eastAsia="方正仿宋_GBK"/>
          <w:sz w:val="32"/>
          <w:szCs w:val="32"/>
          <w:shd w:val="clear" w:color="auto" w:fill="FFFFFF"/>
        </w:rPr>
        <w:t>2</w:t>
      </w:r>
      <w:r>
        <w:rPr>
          <w:rStyle w:val="11"/>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919.06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与2023年度相比，减少83.77万元，下降8.4%</w:t>
      </w:r>
      <w:r>
        <w:rPr>
          <w:rFonts w:ascii="方正仿宋_GBK" w:hAnsi="方正仿宋_GBK" w:eastAsia="方正仿宋_GBK" w:cs="方正仿宋_GBK"/>
          <w:sz w:val="32"/>
          <w:szCs w:val="32"/>
          <w:shd w:val="clear" w:color="auto" w:fill="FFFFFF"/>
        </w:rPr>
        <w:t>。主要原因是职工调标减资，本年调离</w:t>
      </w:r>
      <w:r>
        <w:rPr>
          <w:rFonts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人、退休</w:t>
      </w:r>
      <w:r>
        <w:rPr>
          <w:rFonts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较年初预算数增加58.69万元，增长6.8%</w:t>
      </w:r>
      <w:r>
        <w:rPr>
          <w:rFonts w:ascii="方正仿宋_GBK" w:hAnsi="方正仿宋_GBK" w:eastAsia="方正仿宋_GBK" w:cs="方正仿宋_GBK"/>
          <w:sz w:val="32"/>
          <w:szCs w:val="32"/>
          <w:shd w:val="clear" w:color="auto" w:fill="FFFFFF"/>
        </w:rPr>
        <w:t>。主要原因是本年增加养老服务设施改造提升项目。</w:t>
      </w:r>
    </w:p>
    <w:p>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1"/>
          <w:rFonts w:hint="default" w:ascii="Times New Roman" w:hAnsi="Times New Roman" w:eastAsia="方正仿宋_GBK"/>
          <w:sz w:val="32"/>
          <w:szCs w:val="32"/>
          <w:shd w:val="clear" w:color="auto" w:fill="FFFFFF"/>
        </w:rPr>
        <w:t>3</w:t>
      </w:r>
      <w:r>
        <w:rPr>
          <w:rStyle w:val="11"/>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万元，与上年决算数持平。</w:t>
      </w:r>
    </w:p>
    <w:p>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本单位</w:t>
      </w:r>
      <w:r>
        <w:rPr>
          <w:rFonts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年度一般公共预算财政拨款支出主要用途如下：</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）社会保障和就业支出</w:t>
      </w:r>
      <w:r>
        <w:rPr>
          <w:rFonts w:hint="default" w:ascii="Times New Roman" w:hAnsi="Times New Roman" w:eastAsia="方正仿宋_GBK"/>
          <w:sz w:val="32"/>
          <w:szCs w:val="32"/>
          <w:shd w:val="clear" w:color="auto" w:fill="FFFFFF"/>
        </w:rPr>
        <w:t>852.09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92.7%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较年初预算数增加59.85万元，增长7.6%</w:t>
      </w:r>
      <w:r>
        <w:rPr>
          <w:rFonts w:ascii="方正仿宋_GBK" w:hAnsi="方正仿宋_GBK" w:eastAsia="方正仿宋_GBK" w:cs="方正仿宋_GBK"/>
          <w:sz w:val="32"/>
          <w:szCs w:val="32"/>
          <w:shd w:val="clear" w:color="auto" w:fill="FFFFFF"/>
        </w:rPr>
        <w:t>，主要原因是本年增加养老服务设施改造提升项目。</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34.88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较年初预算数减少0.61万元，下降1.7%</w:t>
      </w:r>
      <w:r>
        <w:rPr>
          <w:rFonts w:ascii="方正仿宋_GBK" w:hAnsi="方正仿宋_GBK" w:eastAsia="方正仿宋_GBK" w:cs="方正仿宋_GBK"/>
          <w:sz w:val="32"/>
          <w:szCs w:val="32"/>
          <w:shd w:val="clear" w:color="auto" w:fill="FFFFFF"/>
        </w:rPr>
        <w:t>，主要原因是政策性社保基数调整。</w:t>
      </w:r>
    </w:p>
    <w:p>
      <w:pPr>
        <w:spacing w:line="596" w:lineRule="exact"/>
        <w:ind w:firstLine="640" w:firstLineChars="200"/>
        <w:jc w:val="both"/>
        <w:rPr>
          <w:rStyle w:val="11"/>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32.10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较年初预算数减少0.54万元，下降1.7%</w:t>
      </w:r>
      <w:r>
        <w:rPr>
          <w:rFonts w:ascii="方正仿宋_GBK" w:hAnsi="方正仿宋_GBK" w:eastAsia="方正仿宋_GBK" w:cs="方正仿宋_GBK"/>
          <w:sz w:val="32"/>
          <w:szCs w:val="32"/>
          <w:shd w:val="clear" w:color="auto" w:fill="FFFFFF"/>
        </w:rPr>
        <w:t>，主要原因是本年清理</w:t>
      </w:r>
      <w:r>
        <w:rPr>
          <w:rFonts w:ascii="Times New Roman" w:hAnsi="Times New Roman" w:eastAsia="方正仿宋_GBK"/>
          <w:sz w:val="32"/>
          <w:szCs w:val="32"/>
          <w:shd w:val="clear" w:color="auto" w:fill="FFFFFF"/>
        </w:rPr>
        <w:t>2022</w:t>
      </w:r>
      <w:r>
        <w:rPr>
          <w:rFonts w:ascii="方正仿宋_GBK" w:hAnsi="方正仿宋_GBK" w:eastAsia="方正仿宋_GBK" w:cs="方正仿宋_GBK"/>
          <w:sz w:val="32"/>
          <w:szCs w:val="32"/>
          <w:shd w:val="clear" w:color="auto" w:fill="FFFFFF"/>
        </w:rPr>
        <w:t>年</w:t>
      </w:r>
      <w:r>
        <w:rPr>
          <w:rFonts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年公积金多缴存基数后在</w:t>
      </w:r>
      <w:r>
        <w:rPr>
          <w:rFonts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年缴存中扣减。</w:t>
      </w:r>
    </w:p>
    <w:p>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721.44</w:t>
      </w:r>
      <w:r>
        <w:rPr>
          <w:rFonts w:ascii="方正仿宋_GBK" w:hAnsi="方正仿宋_GBK" w:eastAsia="方正仿宋_GBK" w:cs="方正仿宋_GBK"/>
          <w:sz w:val="32"/>
          <w:szCs w:val="32"/>
          <w:shd w:val="clear" w:color="auto" w:fill="FFFFFF"/>
        </w:rPr>
        <w:t>万元。</w:t>
      </w:r>
    </w:p>
    <w:p>
      <w:pPr>
        <w:pStyle w:val="9"/>
        <w:snapToGrid w:val="0"/>
        <w:spacing w:before="0" w:beforeAutospacing="0" w:after="0" w:afterAutospacing="0" w:line="596" w:lineRule="exact"/>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其中：人员经费</w:t>
      </w:r>
      <w:r>
        <w:rPr>
          <w:rFonts w:hint="default" w:ascii="Times New Roman" w:hAnsi="Times New Roman" w:eastAsia="方正仿宋_GBK"/>
          <w:sz w:val="32"/>
          <w:szCs w:val="32"/>
          <w:shd w:val="clear" w:color="auto" w:fill="FFFFFF"/>
        </w:rPr>
        <w:t>653.89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与2023年度相比，增加3.04万元，增长0.5%</w:t>
      </w:r>
      <w:r>
        <w:rPr>
          <w:rFonts w:ascii="方正仿宋_GBK" w:hAnsi="方正仿宋_GBK" w:eastAsia="方正仿宋_GBK" w:cs="方正仿宋_GBK"/>
          <w:sz w:val="32"/>
          <w:szCs w:val="32"/>
          <w:shd w:val="clear" w:color="auto" w:fill="FFFFFF"/>
        </w:rPr>
        <w:t>，主要原因是本年调入</w:t>
      </w:r>
      <w:r>
        <w:rPr>
          <w:rFonts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人。人员经费用途主要包括基本工资、津贴补贴、伙食补助费、绩效工资、社会保障缴费、住房公积金等支出。公用经费</w:t>
      </w:r>
      <w:r>
        <w:rPr>
          <w:rFonts w:hint="default" w:ascii="Times New Roman" w:hAnsi="Times New Roman" w:eastAsia="方正仿宋_GBK"/>
          <w:sz w:val="32"/>
          <w:szCs w:val="32"/>
          <w:shd w:val="clear" w:color="auto" w:fill="FFFFFF"/>
        </w:rPr>
        <w:t>67.55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与2023年度相比，减少1.73万元，下降2.5%</w:t>
      </w:r>
      <w:r>
        <w:rPr>
          <w:rFonts w:ascii="方正仿宋_GBK" w:hAnsi="方正仿宋_GBK" w:eastAsia="方正仿宋_GBK" w:cs="方正仿宋_GBK"/>
          <w:sz w:val="32"/>
          <w:szCs w:val="32"/>
          <w:shd w:val="clear" w:color="auto" w:fill="FFFFFF"/>
        </w:rPr>
        <w:t>，主要原因是严控</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运行经费。公用经费用途主要包括办公费、咨询费、水电费、邮电费、手续费、差旅费、维修费、会议费、培训费、公务接待劳务费、委托业务费、工会经费、福利费、公务用车运行维护费、其他交通费及其他商品和服务等支出。</w:t>
      </w:r>
    </w:p>
    <w:p>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年度政府性基金预算财政拨款年初结转结余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万元，年末结转结余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万元。本年收入</w:t>
      </w:r>
      <w:r>
        <w:rPr>
          <w:rFonts w:hint="default" w:ascii="Times New Roman" w:hAnsi="Times New Roman" w:eastAsia="方正仿宋_GBK"/>
          <w:sz w:val="32"/>
          <w:szCs w:val="32"/>
          <w:shd w:val="clear" w:color="auto" w:fill="FFFFFF"/>
        </w:rPr>
        <w:t>74.86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与2023年度相比，增加74.86万元，增长100.0%</w:t>
      </w:r>
      <w:r>
        <w:rPr>
          <w:rFonts w:ascii="方正仿宋_GBK" w:hAnsi="方正仿宋_GBK" w:eastAsia="方正仿宋_GBK" w:cs="方正仿宋_GBK"/>
          <w:sz w:val="32"/>
          <w:szCs w:val="32"/>
          <w:shd w:val="clear" w:color="auto" w:fill="FFFFFF"/>
        </w:rPr>
        <w:t>，主要原因是本年增加养老服务设施提升和消防改造项目。本年支出</w:t>
      </w:r>
      <w:r>
        <w:rPr>
          <w:rFonts w:hint="default" w:ascii="Times New Roman" w:hAnsi="Times New Roman" w:eastAsia="方正仿宋_GBK"/>
          <w:sz w:val="32"/>
          <w:szCs w:val="32"/>
          <w:shd w:val="clear" w:color="auto" w:fill="FFFFFF"/>
        </w:rPr>
        <w:t>74.86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与2023年度相比，增加74.86万元，增长100.0%</w:t>
      </w:r>
      <w:r>
        <w:rPr>
          <w:rFonts w:ascii="方正仿宋_GBK" w:hAnsi="方正仿宋_GBK" w:eastAsia="方正仿宋_GBK" w:cs="方正仿宋_GBK"/>
          <w:sz w:val="32"/>
          <w:szCs w:val="32"/>
          <w:shd w:val="clear" w:color="auto" w:fill="FFFFFF"/>
        </w:rPr>
        <w:t>，主要原因是本年增加养老服务设施提升和消防改造项目。</w:t>
      </w:r>
    </w:p>
    <w:p>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9"/>
        <w:shd w:val="clear" w:color="auto" w:fill="FFFFFF"/>
        <w:spacing w:before="0" w:beforeAutospacing="0" w:after="0" w:afterAutospacing="0" w:line="596" w:lineRule="exact"/>
        <w:ind w:firstLine="640" w:firstLineChars="200"/>
        <w:rPr>
          <w:rStyle w:val="11"/>
          <w:rFonts w:hint="default" w:ascii="黑体" w:hAnsi="黑体" w:eastAsia="黑体" w:cs="黑体"/>
          <w:sz w:val="32"/>
          <w:szCs w:val="32"/>
          <w:shd w:val="clear" w:color="auto" w:fill="FFFFFF"/>
        </w:rPr>
      </w:pPr>
      <w:r>
        <w:rPr>
          <w:rFonts w:ascii="Times New Roman" w:hAnsi="Times New Roman" w:eastAsia="方正仿宋_GBK"/>
          <w:sz w:val="32"/>
          <w:szCs w:val="32"/>
          <w:shd w:val="clear" w:color="auto" w:fill="FFFFFF"/>
        </w:rPr>
        <w:t>本单位2024年度无国有资本经营预算财政拨款支出。</w:t>
      </w:r>
    </w:p>
    <w:p>
      <w:pPr>
        <w:pStyle w:val="9"/>
        <w:shd w:val="clear" w:color="auto" w:fill="FFFFFF"/>
        <w:spacing w:before="0" w:beforeAutospacing="0" w:after="0" w:afterAutospacing="0" w:line="596" w:lineRule="exact"/>
        <w:ind w:firstLine="643" w:firstLineChars="200"/>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三、财政拨款“三公”经费情况说明</w:t>
      </w:r>
    </w:p>
    <w:p>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2.69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较年初预算数减少0.11万元，下降3.9%</w:t>
      </w:r>
      <w:r>
        <w:rPr>
          <w:rFonts w:ascii="方正仿宋_GBK" w:hAnsi="方正仿宋_GBK" w:eastAsia="方正仿宋_GBK" w:cs="方正仿宋_GBK"/>
          <w:sz w:val="32"/>
          <w:szCs w:val="32"/>
          <w:shd w:val="clear" w:color="auto" w:fill="FFFFFF"/>
        </w:rPr>
        <w:t>，主要原因是车辆运行维护费减少。</w:t>
      </w:r>
      <w:r>
        <w:rPr>
          <w:rFonts w:hint="default" w:ascii="Times New Roman" w:hAnsi="Times New Roman" w:eastAsia="方正仿宋_GBK"/>
          <w:sz w:val="32"/>
          <w:szCs w:val="32"/>
          <w:shd w:val="clear" w:color="auto" w:fill="FFFFFF"/>
        </w:rPr>
        <w:t>较上年支出数减少0.31万元，下降10.3%</w:t>
      </w:r>
      <w:r>
        <w:rPr>
          <w:rFonts w:ascii="方正仿宋_GBK" w:hAnsi="方正仿宋_GBK" w:eastAsia="方正仿宋_GBK" w:cs="方正仿宋_GBK"/>
          <w:sz w:val="32"/>
          <w:szCs w:val="32"/>
          <w:shd w:val="clear" w:color="auto" w:fill="FFFFFF"/>
        </w:rPr>
        <w:t>，主要原因是车辆运行维护费减少。</w:t>
      </w:r>
    </w:p>
    <w:p>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1"/>
          <w:rFonts w:ascii="Times New Roman" w:hAnsi="Times New Roman" w:eastAsia="方正仿宋_GBK"/>
          <w:sz w:val="32"/>
          <w:szCs w:val="32"/>
          <w:shd w:val="clear" w:color="auto" w:fill="FFFFFF"/>
        </w:rPr>
        <w:t>1.</w:t>
      </w:r>
      <w:r>
        <w:rPr>
          <w:rFonts w:hint="default" w:ascii="Times New Roman" w:hAnsi="Times New Roman" w:eastAsia="方正仿宋_GBK"/>
          <w:sz w:val="32"/>
          <w:szCs w:val="32"/>
          <w:shd w:val="clear" w:color="auto" w:fill="FFFFFF"/>
        </w:rPr>
        <w:t xml:space="preserve"> 2024</w:t>
      </w:r>
      <w:r>
        <w:rPr>
          <w:rFonts w:ascii="方正仿宋_GBK" w:hAnsi="方正仿宋_GBK" w:eastAsia="方正仿宋_GBK" w:cs="方正仿宋_GBK"/>
          <w:sz w:val="32"/>
          <w:szCs w:val="32"/>
          <w:shd w:val="clear" w:color="auto" w:fill="FFFFFF"/>
        </w:rPr>
        <w:t>年度本单位因公出国（境）费用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p>
    <w:p>
      <w:pPr>
        <w:pStyle w:val="9"/>
        <w:snapToGrid w:val="0"/>
        <w:spacing w:before="0" w:beforeAutospacing="0" w:after="0" w:afterAutospacing="0" w:line="596" w:lineRule="exact"/>
        <w:ind w:firstLine="643" w:firstLineChars="200"/>
        <w:jc w:val="both"/>
        <w:rPr>
          <w:rStyle w:val="11"/>
          <w:rFonts w:hint="default" w:ascii="Times New Roman" w:hAnsi="Times New Roman" w:eastAsia="方正仿宋_GBK"/>
          <w:sz w:val="32"/>
          <w:szCs w:val="32"/>
          <w:shd w:val="clear" w:color="auto" w:fill="FFFFFF"/>
        </w:rPr>
      </w:pPr>
      <w:r>
        <w:rPr>
          <w:rStyle w:val="11"/>
          <w:rFonts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 xml:space="preserve"> 公务用车购置费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w:t>
      </w:r>
    </w:p>
    <w:p>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1"/>
          <w:rFonts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公务用车运行维护费</w:t>
      </w:r>
      <w:r>
        <w:rPr>
          <w:rFonts w:hint="default" w:ascii="方正仿宋_GBK" w:hAnsi="方正仿宋_GBK" w:eastAsia="方正仿宋_GBK" w:cs="方正仿宋_GBK"/>
          <w:sz w:val="32"/>
          <w:szCs w:val="32"/>
          <w:shd w:val="clear" w:color="auto" w:fill="FFFFFF"/>
        </w:rPr>
        <w:t>2.69</w:t>
      </w:r>
      <w:r>
        <w:rPr>
          <w:rFonts w:ascii="方正仿宋_GBK" w:hAnsi="方正仿宋_GBK" w:eastAsia="方正仿宋_GBK" w:cs="方正仿宋_GBK"/>
          <w:sz w:val="32"/>
          <w:szCs w:val="32"/>
          <w:shd w:val="clear" w:color="auto" w:fill="FFFFFF"/>
        </w:rPr>
        <w:t>万元，主要用于车辆加油、维修保养、路桥费及保险费，以保障单位公务应急用车。费用支出</w:t>
      </w:r>
      <w:r>
        <w:rPr>
          <w:rFonts w:hint="default" w:ascii="Times New Roman" w:hAnsi="Times New Roman" w:eastAsia="方正仿宋_GBK"/>
          <w:sz w:val="32"/>
          <w:szCs w:val="32"/>
          <w:shd w:val="clear" w:color="auto" w:fill="FFFFFF"/>
        </w:rPr>
        <w:t>较年初预算数减少0.01万元，下降0.4%</w:t>
      </w:r>
      <w:r>
        <w:rPr>
          <w:rFonts w:ascii="方正仿宋_GBK" w:hAnsi="方正仿宋_GBK" w:eastAsia="方正仿宋_GBK" w:cs="方正仿宋_GBK"/>
          <w:sz w:val="32"/>
          <w:szCs w:val="32"/>
          <w:shd w:val="clear" w:color="auto" w:fill="FFFFFF"/>
        </w:rPr>
        <w:t>，主要原因是严控车辆维修费用。</w:t>
      </w:r>
      <w:r>
        <w:rPr>
          <w:rFonts w:hint="default" w:ascii="Times New Roman" w:hAnsi="Times New Roman" w:eastAsia="方正仿宋_GBK"/>
          <w:sz w:val="32"/>
          <w:szCs w:val="32"/>
          <w:shd w:val="clear" w:color="auto" w:fill="FFFFFF"/>
        </w:rPr>
        <w:t>较上年支出数减少0.31万元，下降10.3%</w:t>
      </w:r>
      <w:r>
        <w:rPr>
          <w:rFonts w:ascii="方正仿宋_GBK" w:hAnsi="方正仿宋_GBK" w:eastAsia="方正仿宋_GBK" w:cs="方正仿宋_GBK"/>
          <w:sz w:val="32"/>
          <w:szCs w:val="32"/>
          <w:shd w:val="clear" w:color="auto" w:fill="FFFFFF"/>
        </w:rPr>
        <w:t>，主要原因是严控车辆维修费用。</w:t>
      </w:r>
    </w:p>
    <w:p>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1"/>
          <w:rFonts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本单位</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年度未发生公务接待费</w:t>
      </w:r>
      <w:r>
        <w:rPr>
          <w:rFonts w:ascii="Times New Roman" w:hAnsi="Times New Roman" w:eastAsia="方正仿宋_GBK"/>
          <w:sz w:val="32"/>
          <w:szCs w:val="32"/>
          <w:shd w:val="clear" w:color="auto" w:fill="FFFFFF"/>
        </w:rPr>
        <w:t>支出</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较年初预算数减少0.10万元，下降100.0%</w:t>
      </w:r>
      <w:r>
        <w:rPr>
          <w:rFonts w:ascii="方正仿宋_GBK" w:hAnsi="方正仿宋_GBK" w:eastAsia="方正仿宋_GBK" w:cs="方正仿宋_GBK"/>
          <w:sz w:val="32"/>
          <w:szCs w:val="32"/>
          <w:shd w:val="clear" w:color="auto" w:fill="FFFFFF"/>
        </w:rPr>
        <w:t>，主要原因本单位</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年度未发生公务接待费</w:t>
      </w:r>
      <w:r>
        <w:rPr>
          <w:rFonts w:ascii="Times New Roman" w:hAnsi="Times New Roman" w:eastAsia="方正仿宋_GBK"/>
          <w:sz w:val="32"/>
          <w:szCs w:val="32"/>
          <w:shd w:val="clear" w:color="auto" w:fill="FFFFFF"/>
        </w:rPr>
        <w:t>支出。</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，主要原因是本单位</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年度未发生公务接待费</w:t>
      </w:r>
      <w:r>
        <w:rPr>
          <w:rFonts w:ascii="Times New Roman" w:hAnsi="Times New Roman" w:eastAsia="方正仿宋_GBK"/>
          <w:sz w:val="32"/>
          <w:szCs w:val="32"/>
          <w:shd w:val="clear" w:color="auto" w:fill="FFFFFF"/>
        </w:rPr>
        <w:t>支出。</w:t>
      </w:r>
    </w:p>
    <w:p>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年度本单位因公出国（境）共计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年本单位人均接待费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2.69</w:t>
      </w:r>
      <w:r>
        <w:rPr>
          <w:rFonts w:ascii="方正仿宋_GBK" w:hAnsi="方正仿宋_GBK" w:eastAsia="方正仿宋_GBK" w:cs="方正仿宋_GBK"/>
          <w:sz w:val="32"/>
          <w:szCs w:val="32"/>
          <w:shd w:val="clear" w:color="auto" w:fill="FFFFFF"/>
        </w:rPr>
        <w:t>万元。</w:t>
      </w:r>
    </w:p>
    <w:p>
      <w:pPr>
        <w:pStyle w:val="9"/>
        <w:shd w:val="clear" w:color="auto" w:fill="FFFFFF"/>
        <w:spacing w:before="0" w:beforeAutospacing="0" w:after="0" w:afterAutospacing="0" w:line="596" w:lineRule="exact"/>
        <w:ind w:firstLine="643" w:firstLineChars="200"/>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四、其他需要说明的事项</w:t>
      </w:r>
    </w:p>
    <w:p>
      <w:pPr>
        <w:pStyle w:val="9"/>
        <w:shd w:val="clear" w:color="auto" w:fill="FFFFFF"/>
        <w:spacing w:before="0" w:beforeAutospacing="0" w:after="0" w:afterAutospacing="0" w:line="596"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与2023年度相比，减少0.05万元，下降100.0%</w:t>
      </w:r>
      <w:r>
        <w:rPr>
          <w:rFonts w:ascii="方正仿宋_GBK" w:hAnsi="方正仿宋_GBK" w:eastAsia="方正仿宋_GBK" w:cs="方正仿宋_GBK"/>
          <w:sz w:val="32"/>
          <w:szCs w:val="32"/>
          <w:shd w:val="clear" w:color="auto" w:fill="FFFFFF"/>
        </w:rPr>
        <w:t>，主要原因是本年未发生会议费支出。本年度培训费支出</w:t>
      </w:r>
      <w:r>
        <w:rPr>
          <w:rFonts w:hint="default" w:ascii="Times New Roman" w:hAnsi="Times New Roman" w:eastAsia="方正仿宋_GBK"/>
          <w:sz w:val="32"/>
          <w:szCs w:val="32"/>
          <w:shd w:val="clear" w:color="auto" w:fill="FFFFFF"/>
        </w:rPr>
        <w:t>2.05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与2023年度相比，减少1.13万元，下降35.5%</w:t>
      </w:r>
      <w:r>
        <w:rPr>
          <w:rFonts w:ascii="方正仿宋_GBK" w:hAnsi="方正仿宋_GBK" w:eastAsia="方正仿宋_GBK" w:cs="方正仿宋_GBK"/>
          <w:sz w:val="32"/>
          <w:szCs w:val="32"/>
          <w:shd w:val="clear" w:color="auto" w:fill="FFFFFF"/>
        </w:rPr>
        <w:t>，主要原因是本年严格控制培训人次。本年度差旅费支出</w:t>
      </w:r>
      <w:r>
        <w:rPr>
          <w:rFonts w:hint="default" w:ascii="Times New Roman" w:hAnsi="Times New Roman" w:eastAsia="方正仿宋_GBK"/>
          <w:sz w:val="32"/>
          <w:szCs w:val="32"/>
          <w:shd w:val="clear" w:color="auto" w:fill="FFFFFF"/>
        </w:rPr>
        <w:t>2.11</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与2023年度相比，减少0.01万元，下降0.5%</w:t>
      </w:r>
      <w:r>
        <w:rPr>
          <w:rFonts w:ascii="方正仿宋_GBK" w:hAnsi="方正仿宋_GBK" w:eastAsia="方正仿宋_GBK" w:cs="方正仿宋_GBK"/>
          <w:sz w:val="32"/>
          <w:szCs w:val="32"/>
          <w:shd w:val="clear" w:color="auto" w:fill="FFFFFF"/>
        </w:rPr>
        <w:t>，主要原因是本年严格控制培训人次。</w:t>
      </w:r>
    </w:p>
    <w:p>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14"/>
        <w:autoSpaceDE w:val="0"/>
        <w:spacing w:line="560" w:lineRule="exact"/>
        <w:ind w:firstLine="640"/>
        <w:rPr>
          <w:rFonts w:ascii="楷体" w:hAnsi="楷体" w:eastAsia="楷体" w:cs="楷体"/>
          <w:b/>
          <w:bCs/>
          <w:sz w:val="32"/>
          <w:szCs w:val="32"/>
          <w:shd w:val="clear" w:color="auto" w:fill="FFFFFF"/>
        </w:rPr>
      </w:pPr>
      <w:r>
        <w:rPr>
          <w:rFonts w:ascii="方正仿宋_GBK" w:hAnsi="方正仿宋_GBK" w:eastAsia="方正仿宋_GBK" w:cs="方正仿宋_GBK"/>
          <w:sz w:val="32"/>
          <w:szCs w:val="32"/>
          <w:shd w:val="clear" w:color="auto" w:fill="FFFFFF"/>
        </w:rPr>
        <w:t>按照部门决算列报口径，</w:t>
      </w:r>
      <w:r>
        <w:rPr>
          <w:rFonts w:ascii="方正仿宋_GBK" w:hAnsi="方正仿宋_GBK" w:eastAsia="方正仿宋_GBK" w:cs="方正仿宋_GBK"/>
          <w:sz w:val="32"/>
          <w:szCs w:val="32"/>
        </w:rPr>
        <w:t>我单位不在机关运行经费统计范围之内。</w:t>
      </w:r>
    </w:p>
    <w:p>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日，本单位共有车辆</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9"/>
        <w:snapToGrid w:val="0"/>
        <w:spacing w:before="0" w:beforeAutospacing="0" w:after="0" w:afterAutospacing="0" w:line="560" w:lineRule="exact"/>
        <w:ind w:firstLine="640" w:firstLineChars="200"/>
        <w:jc w:val="both"/>
        <w:rPr>
          <w:rFonts w:hint="default" w:ascii="楷体" w:hAnsi="楷体" w:eastAsia="楷体" w:cs="楷体"/>
          <w:b/>
          <w:bCs/>
          <w:sz w:val="32"/>
          <w:szCs w:val="32"/>
          <w:shd w:val="clear" w:color="auto" w:fill="FFFFFF"/>
        </w:rPr>
      </w:pPr>
      <w:r>
        <w:rPr>
          <w:rFonts w:ascii="方正仿宋_GBK" w:hAnsi="方正仿宋_GBK" w:eastAsia="方正仿宋_GBK" w:cs="方正仿宋_GBK"/>
          <w:sz w:val="32"/>
          <w:szCs w:val="32"/>
          <w:shd w:val="clear" w:color="auto" w:fill="FFFFFF"/>
        </w:rPr>
        <w:t>2023年度我单位未发生政府采购事项，无相关经费支出。</w:t>
      </w:r>
    </w:p>
    <w:p>
      <w:pPr>
        <w:pStyle w:val="15"/>
        <w:spacing w:before="0" w:beforeAutospacing="0" w:after="0" w:afterAutospacing="0" w:line="596" w:lineRule="exact"/>
        <w:ind w:firstLine="643" w:firstLineChars="200"/>
        <w:rPr>
          <w:rStyle w:val="11"/>
          <w:rFonts w:ascii="黑体" w:hAnsi="黑体" w:eastAsia="黑体" w:cs="黑体"/>
          <w:sz w:val="32"/>
          <w:szCs w:val="32"/>
          <w:shd w:val="clear" w:color="auto" w:fill="FFFFFF"/>
        </w:rPr>
      </w:pPr>
      <w:r>
        <w:rPr>
          <w:rStyle w:val="11"/>
          <w:rFonts w:hint="eastAsia" w:ascii="黑体" w:hAnsi="黑体" w:eastAsia="黑体" w:cs="黑体"/>
          <w:sz w:val="32"/>
          <w:szCs w:val="32"/>
          <w:shd w:val="clear" w:color="auto" w:fill="FFFFFF"/>
        </w:rPr>
        <w:t>五、2024年度预算绩效管理情况说明</w:t>
      </w:r>
    </w:p>
    <w:p>
      <w:pPr>
        <w:pStyle w:val="15"/>
        <w:autoSpaceDE w:val="0"/>
        <w:spacing w:before="0" w:beforeAutospacing="0" w:after="0" w:afterAutospacing="0" w:line="596" w:lineRule="exact"/>
        <w:ind w:firstLine="643" w:firstLineChars="200"/>
        <w:rPr>
          <w:rFonts w:ascii="方正仿宋_GBK" w:hAnsi="方正仿宋_GBK" w:eastAsia="方正仿宋_GBK" w:cs="方正仿宋_GBK"/>
          <w:sz w:val="32"/>
          <w:szCs w:val="32"/>
          <w:shd w:val="clear" w:color="auto" w:fill="FFFFFF"/>
        </w:rPr>
      </w:pPr>
      <w:r>
        <w:rPr>
          <w:rFonts w:hint="eastAsia" w:ascii="楷体" w:hAnsi="楷体" w:eastAsia="楷体" w:cs="楷体"/>
          <w:b/>
          <w:bCs/>
          <w:sz w:val="32"/>
          <w:szCs w:val="32"/>
          <w:shd w:val="clear" w:color="auto" w:fill="FFFFFF"/>
        </w:rPr>
        <w:t>（一）单位自评情况</w:t>
      </w:r>
    </w:p>
    <w:p>
      <w:pPr>
        <w:spacing w:line="600"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1.根据预算绩效管理要求，本单位对“特困人员失能半失能护工费、特困人员医疗费、特困人员丧葬费、双路分院消防改造提升项目、特困失能集中照护机构服务设施提升项目、福利院驻村补贴、退役士兵再就业补助金、社区居家养老服务中心建设项目”</w:t>
      </w:r>
      <w:r>
        <w:rPr>
          <w:rFonts w:ascii="仿宋_GB2312" w:hAnsi="仿宋" w:eastAsia="仿宋_GB2312"/>
          <w:sz w:val="32"/>
          <w:szCs w:val="32"/>
        </w:rPr>
        <w:t>8</w:t>
      </w:r>
      <w:r>
        <w:rPr>
          <w:rFonts w:ascii="Times New Roman" w:hAnsi="Times New Roman" w:eastAsia="方正仿宋_GBK"/>
          <w:sz w:val="32"/>
          <w:szCs w:val="32"/>
        </w:rPr>
        <w:t>个项目开展了绩效自评，其中，以填报自评表形式开展自评七项，涉及资金289.32万元。</w:t>
      </w:r>
      <w:r>
        <w:rPr>
          <w:rFonts w:ascii="方正仿宋_GBK" w:eastAsia="方正仿宋_GBK"/>
          <w:sz w:val="32"/>
          <w:szCs w:val="32"/>
        </w:rPr>
        <w:t>未委托第三方开展绩效评价</w:t>
      </w:r>
      <w:r>
        <w:rPr>
          <w:rFonts w:ascii="Times New Roman" w:hAnsi="Times New Roman" w:eastAsia="方正仿宋_GBK"/>
          <w:sz w:val="32"/>
          <w:szCs w:val="32"/>
        </w:rPr>
        <w:t>。从评价情况来看，项目立项较为规范，绩效目标明确，预算编制合理，管理科学规范，资金到位及时，总体完成情况较好，有力保障了</w:t>
      </w:r>
      <w:r>
        <w:rPr>
          <w:rFonts w:ascii="Times New Roman" w:hAnsi="Times New Roman" w:eastAsia="方正仿宋_GBK"/>
          <w:sz w:val="32"/>
          <w:szCs w:val="32"/>
          <w:shd w:val="clear" w:color="auto" w:fill="FFFFFF"/>
        </w:rPr>
        <w:t>178</w:t>
      </w:r>
      <w:r>
        <w:rPr>
          <w:rFonts w:ascii="方正仿宋_GBK" w:hAnsi="仿宋" w:eastAsia="方正仿宋_GBK"/>
          <w:sz w:val="32"/>
          <w:szCs w:val="32"/>
        </w:rPr>
        <w:t>名失能半失能特困人员得到日常生活照料和生病护理，提升了他们的生存质量；</w:t>
      </w:r>
      <w:r>
        <w:rPr>
          <w:rFonts w:hint="default" w:ascii="Times New Roman" w:hAnsi="Times New Roman" w:eastAsia="方正仿宋_GBK"/>
          <w:sz w:val="32"/>
          <w:szCs w:val="32"/>
          <w:shd w:val="clear" w:color="auto" w:fill="FFFFFF"/>
        </w:rPr>
        <w:t>24</w:t>
      </w:r>
      <w:r>
        <w:rPr>
          <w:rFonts w:ascii="Times New Roman" w:hAnsi="Times New Roman" w:eastAsia="方正仿宋_GBK"/>
          <w:sz w:val="32"/>
          <w:szCs w:val="32"/>
          <w:shd w:val="clear" w:color="auto" w:fill="FFFFFF"/>
        </w:rPr>
        <w:t>2</w:t>
      </w:r>
      <w:r>
        <w:rPr>
          <w:rFonts w:ascii="方正仿宋_GBK" w:hAnsi="仿宋" w:eastAsia="方正仿宋_GBK"/>
          <w:sz w:val="32"/>
          <w:szCs w:val="32"/>
        </w:rPr>
        <w:t>名特困人员基本医疗得到保障，确保老有所医；</w:t>
      </w:r>
      <w:r>
        <w:rPr>
          <w:rFonts w:ascii="Times New Roman" w:hAnsi="Times New Roman" w:eastAsia="方正仿宋_GBK"/>
          <w:sz w:val="32"/>
          <w:szCs w:val="32"/>
          <w:shd w:val="clear" w:color="auto" w:fill="FFFFFF"/>
        </w:rPr>
        <w:t>30</w:t>
      </w:r>
      <w:r>
        <w:rPr>
          <w:rFonts w:ascii="方正仿宋_GBK" w:hAnsi="仿宋" w:eastAsia="方正仿宋_GBK"/>
          <w:sz w:val="32"/>
          <w:szCs w:val="32"/>
        </w:rPr>
        <w:t>名特困人员丧葬得到妥善处理；兑现</w:t>
      </w:r>
      <w:r>
        <w:rPr>
          <w:rFonts w:ascii="Times New Roman" w:hAnsi="Times New Roman" w:eastAsia="方正仿宋_GBK"/>
          <w:sz w:val="32"/>
          <w:szCs w:val="32"/>
          <w:shd w:val="clear" w:color="auto" w:fill="FFFFFF"/>
        </w:rPr>
        <w:t>3</w:t>
      </w:r>
      <w:r>
        <w:rPr>
          <w:rFonts w:ascii="方正仿宋_GBK" w:hAnsi="仿宋" w:eastAsia="方正仿宋_GBK"/>
          <w:sz w:val="32"/>
          <w:szCs w:val="32"/>
        </w:rPr>
        <w:t>名乡村振兴驻村人员工作补贴和</w:t>
      </w:r>
      <w:r>
        <w:rPr>
          <w:rFonts w:ascii="Times New Roman" w:hAnsi="Times New Roman" w:eastAsia="方正仿宋_GBK"/>
          <w:sz w:val="32"/>
          <w:szCs w:val="32"/>
          <w:shd w:val="clear" w:color="auto" w:fill="FFFFFF"/>
        </w:rPr>
        <w:t>2</w:t>
      </w:r>
      <w:r>
        <w:rPr>
          <w:rFonts w:ascii="方正仿宋_GBK" w:hAnsi="仿宋" w:eastAsia="方正仿宋_GBK"/>
          <w:sz w:val="32"/>
          <w:szCs w:val="32"/>
        </w:rPr>
        <w:t>名退役士兵再就业补助金，</w:t>
      </w:r>
      <w:r>
        <w:rPr>
          <w:rFonts w:ascii="Times New Roman" w:hAnsi="Times New Roman" w:eastAsia="方正仿宋_GBK"/>
          <w:sz w:val="32"/>
          <w:szCs w:val="32"/>
        </w:rPr>
        <w:t>七个项目基本达到了预期绩效目标，不断提升服务对象满意度，促进了社会和谐稳定。</w:t>
      </w:r>
    </w:p>
    <w:p>
      <w:pPr>
        <w:spacing w:line="560" w:lineRule="exact"/>
        <w:ind w:firstLine="640" w:firstLineChars="200"/>
        <w:rPr>
          <w:rFonts w:hint="eastAsia" w:ascii="方正仿宋_GBK" w:hAnsi="方正仿宋_GBK" w:eastAsia="方正仿宋_GBK" w:cs="方正仿宋_GBK"/>
          <w:b/>
          <w:bCs/>
          <w:sz w:val="32"/>
          <w:szCs w:val="32"/>
          <w:shd w:val="clear" w:color="auto" w:fill="FFFFFF"/>
          <w:lang w:eastAsia="zh-CN"/>
        </w:rPr>
      </w:pPr>
      <w:r>
        <w:rPr>
          <w:rFonts w:ascii="Times New Roman" w:hAnsi="Times New Roman" w:eastAsia="方正仿宋_GBK"/>
          <w:sz w:val="32"/>
          <w:szCs w:val="32"/>
        </w:rPr>
        <w:t>2.关于绩效自评结果的说明</w:t>
      </w:r>
      <w:r>
        <w:rPr>
          <w:rFonts w:ascii="方正仿宋_GBK" w:eastAsia="方正仿宋_GBK"/>
          <w:sz w:val="32"/>
          <w:szCs w:val="32"/>
        </w:rPr>
        <w:t>。绩效管理的经验不足，项目的部分成果无法用指标形式表示;在绩效考评指标的设计上，有待完善。</w:t>
      </w:r>
      <w:r>
        <w:rPr>
          <w:rFonts w:ascii="方正仿宋_GBK" w:eastAsia="方正仿宋_GBK" w:cs="黑体"/>
          <w:sz w:val="32"/>
          <w:szCs w:val="32"/>
        </w:rPr>
        <w:t>下一步改进将</w:t>
      </w:r>
      <w:r>
        <w:rPr>
          <w:rFonts w:ascii="方正仿宋_GBK" w:eastAsia="方正仿宋_GBK"/>
          <w:sz w:val="32"/>
          <w:szCs w:val="32"/>
        </w:rPr>
        <w:t>规范绩效管理方面需要细化，指标的设计需更加科学。</w:t>
      </w:r>
      <w:r>
        <w:rPr>
          <w:rFonts w:hint="eastAsia" w:ascii="方正仿宋_GBK" w:hAnsi="方正仿宋_GBK" w:eastAsia="方正仿宋_GBK" w:cs="方正仿宋_GBK"/>
          <w:i w:val="0"/>
          <w:iCs w:val="0"/>
          <w:caps w:val="0"/>
          <w:color w:val="171A1D"/>
          <w:spacing w:val="0"/>
          <w:sz w:val="32"/>
          <w:szCs w:val="32"/>
          <w:shd w:val="clear" w:fill="FFFFFF"/>
        </w:rPr>
        <w:t>绩效自评表见附件</w:t>
      </w:r>
      <w:r>
        <w:rPr>
          <w:rFonts w:hint="eastAsia" w:ascii="方正仿宋_GBK" w:hAnsi="方正仿宋_GBK" w:eastAsia="方正仿宋_GBK" w:cs="方正仿宋_GBK"/>
          <w:i w:val="0"/>
          <w:iCs w:val="0"/>
          <w:caps w:val="0"/>
          <w:color w:val="171A1D"/>
          <w:spacing w:val="0"/>
          <w:sz w:val="32"/>
          <w:szCs w:val="32"/>
          <w:shd w:val="clear" w:fill="FFFFFF"/>
          <w:lang w:eastAsia="zh-CN"/>
        </w:rPr>
        <w:t>。</w:t>
      </w:r>
    </w:p>
    <w:p>
      <w:pPr>
        <w:pStyle w:val="19"/>
        <w:numPr>
          <w:ilvl w:val="0"/>
          <w:numId w:val="2"/>
        </w:numPr>
        <w:autoSpaceDE w:val="0"/>
        <w:spacing w:line="596" w:lineRule="exact"/>
        <w:ind w:firstLine="643"/>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单位绩效评价情况</w:t>
      </w:r>
    </w:p>
    <w:p>
      <w:pPr>
        <w:pStyle w:val="14"/>
        <w:autoSpaceDE w:val="0"/>
        <w:spacing w:line="560" w:lineRule="exact"/>
        <w:ind w:firstLine="640"/>
        <w:rPr>
          <w:rFonts w:ascii="方正仿宋_GBK" w:hAnsi="楷体" w:eastAsia="方正仿宋_GBK" w:cs="楷体"/>
          <w:bCs/>
          <w:sz w:val="32"/>
          <w:szCs w:val="32"/>
          <w:shd w:val="clear" w:color="auto" w:fill="FFFFFF"/>
          <w:lang w:bidi="ar"/>
        </w:rPr>
      </w:pPr>
      <w:r>
        <w:rPr>
          <w:rFonts w:hint="eastAsia" w:ascii="方正仿宋_GBK" w:hAnsi="楷体" w:eastAsia="方正仿宋_GBK" w:cs="楷体"/>
          <w:bCs/>
          <w:sz w:val="32"/>
          <w:szCs w:val="32"/>
          <w:shd w:val="clear" w:color="auto" w:fill="FFFFFF"/>
          <w:lang w:bidi="ar"/>
        </w:rPr>
        <w:t>我单位未组织开展绩效评价。</w:t>
      </w:r>
    </w:p>
    <w:p>
      <w:pPr>
        <w:pStyle w:val="19"/>
        <w:numPr>
          <w:ilvl w:val="0"/>
          <w:numId w:val="2"/>
        </w:numPr>
        <w:autoSpaceDE w:val="0"/>
        <w:spacing w:line="596" w:lineRule="exact"/>
        <w:ind w:firstLine="643"/>
        <w:rPr>
          <w:rFonts w:hint="default" w:ascii="楷体" w:hAnsi="楷体" w:eastAsia="楷体" w:cs="楷体"/>
          <w:b/>
          <w:bCs/>
          <w:sz w:val="32"/>
          <w:szCs w:val="32"/>
          <w:shd w:val="clear" w:color="auto" w:fill="FFFFFF"/>
          <w:lang w:bidi="ar"/>
        </w:rPr>
      </w:pPr>
      <w:r>
        <w:rPr>
          <w:rFonts w:ascii="楷体" w:hAnsi="楷体" w:eastAsia="楷体" w:cs="楷体"/>
          <w:b/>
          <w:bCs/>
          <w:sz w:val="32"/>
          <w:szCs w:val="32"/>
          <w:shd w:val="clear" w:color="auto" w:fill="FFFFFF"/>
          <w:lang w:bidi="ar"/>
        </w:rPr>
        <w:t>财政绩效评价情况</w:t>
      </w:r>
    </w:p>
    <w:p>
      <w:pPr>
        <w:pStyle w:val="19"/>
        <w:autoSpaceDE w:val="0"/>
        <w:spacing w:line="596" w:lineRule="exact"/>
        <w:ind w:left="480" w:leftChars="200" w:firstLine="0" w:firstLineChars="0"/>
        <w:rPr>
          <w:rFonts w:hint="default" w:ascii="楷体" w:hAnsi="楷体" w:eastAsia="楷体" w:cs="楷体"/>
          <w:b/>
          <w:bCs/>
          <w:sz w:val="32"/>
          <w:szCs w:val="32"/>
          <w:shd w:val="clear" w:color="auto" w:fill="FFFFFF"/>
          <w:lang w:bidi="ar"/>
        </w:rPr>
      </w:pPr>
      <w:r>
        <w:rPr>
          <w:rFonts w:ascii="方正仿宋_GBK" w:hAnsi="楷体" w:eastAsia="方正仿宋_GBK" w:cs="楷体"/>
          <w:bCs/>
          <w:sz w:val="32"/>
          <w:szCs w:val="32"/>
          <w:shd w:val="clear" w:color="auto" w:fill="FFFFFF"/>
        </w:rPr>
        <w:t>市财政局未委托第三方对我单位开展绩效评价。</w:t>
      </w:r>
    </w:p>
    <w:p>
      <w:pPr>
        <w:pStyle w:val="15"/>
        <w:autoSpaceDE w:val="0"/>
        <w:spacing w:before="0" w:beforeAutospacing="0" w:after="0" w:afterAutospacing="0" w:line="596" w:lineRule="exact"/>
        <w:rPr>
          <w:rFonts w:ascii="方正仿宋_GBK" w:hAnsi="方正仿宋_GBK" w:eastAsia="方正仿宋_GBK" w:cs="方正仿宋_GBK"/>
          <w:sz w:val="32"/>
          <w:szCs w:val="32"/>
        </w:rPr>
      </w:pPr>
      <w:r>
        <w:rPr>
          <w:rStyle w:val="16"/>
          <w:rFonts w:hint="eastAsia" w:ascii="方正仿宋_GBK" w:hAnsi="方正仿宋_GBK" w:eastAsia="方正仿宋_GBK" w:cs="方正仿宋_GBK"/>
          <w:sz w:val="32"/>
          <w:szCs w:val="32"/>
          <w:shd w:val="clear" w:color="auto" w:fill="FFFFFF"/>
        </w:rPr>
        <w:t xml:space="preserve">   </w:t>
      </w:r>
      <w:r>
        <w:rPr>
          <w:rStyle w:val="11"/>
          <w:rFonts w:hint="eastAsia" w:ascii="黑体" w:hAnsi="黑体" w:eastAsia="黑体" w:cs="黑体"/>
          <w:sz w:val="32"/>
          <w:szCs w:val="32"/>
          <w:shd w:val="clear" w:color="auto" w:fill="FFFFFF"/>
        </w:rPr>
        <w:t xml:space="preserve"> 六、专业名词解释</w:t>
      </w:r>
    </w:p>
    <w:p>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w:t>
      </w:r>
      <w:bookmarkStart w:id="0" w:name="_GoBack"/>
      <w:r>
        <w:rPr>
          <w:rFonts w:hint="eastAsia" w:ascii="方正仿宋_GBK" w:hAnsi="方正仿宋_GBK" w:eastAsia="方正仿宋_GBK" w:cs="方正仿宋_GBK"/>
          <w:sz w:val="32"/>
          <w:szCs w:val="32"/>
          <w:shd w:val="clear" w:color="auto" w:fill="FFFFFF"/>
        </w:rPr>
        <w:t>部门</w:t>
      </w:r>
      <w:bookmarkEnd w:id="0"/>
      <w:r>
        <w:rPr>
          <w:rFonts w:hint="eastAsia" w:ascii="方正仿宋_GBK" w:hAnsi="方正仿宋_GBK" w:eastAsia="方正仿宋_GBK" w:cs="方正仿宋_GBK"/>
          <w:sz w:val="32"/>
          <w:szCs w:val="32"/>
          <w:shd w:val="clear" w:color="auto" w:fill="FFFFFF"/>
        </w:rPr>
        <w:t>取得的财政拨款，包括一般公共预算财政拨款和政府性基金预算财政拨款。</w:t>
      </w:r>
    </w:p>
    <w:p>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（五）使用非财政拨款结余：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（十二）“三公”经费：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（十四）工资福利支出：</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（十五）商品和服务支出：</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（十六）对个人和家庭的补助：</w:t>
      </w:r>
      <w:r>
        <w:rPr>
          <w:rFonts w:hint="eastAsia" w:ascii="方正仿宋_GBK" w:hAnsi="方正仿宋_GBK" w:eastAsia="方正仿宋_GBK" w:cs="方正仿宋_GBK"/>
          <w:sz w:val="32"/>
          <w:szCs w:val="32"/>
          <w:shd w:val="clear" w:color="auto" w:fill="FFFFFF"/>
        </w:rPr>
        <w:t>反映用于对个人和家庭的补助支出。</w:t>
      </w:r>
    </w:p>
    <w:p>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（十七）其他资本性支出：</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黑体" w:hAnsi="黑体" w:eastAsia="黑体" w:cs="黑体"/>
          <w:sz w:val="32"/>
          <w:szCs w:val="32"/>
          <w:shd w:val="clear" w:color="auto" w:fill="FFFFFF"/>
        </w:rPr>
        <w:t>七、决算公开联系方式及信息反馈渠道</w:t>
      </w:r>
    </w:p>
    <w:p>
      <w:pPr>
        <w:pStyle w:val="9"/>
        <w:snapToGrid w:val="0"/>
        <w:spacing w:before="0" w:beforeAutospacing="0" w:after="0" w:afterAutospacing="0" w:line="56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9"/>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val="en-US" w:eastAsia="zh-CN"/>
        </w:rPr>
        <w:t xml:space="preserve">蒋明杰  </w:t>
      </w:r>
      <w:r>
        <w:rPr>
          <w:rFonts w:ascii="方正仿宋_GBK" w:hAnsi="方正仿宋_GBK" w:eastAsia="方正仿宋_GBK" w:cs="方正仿宋_GBK"/>
          <w:sz w:val="32"/>
          <w:szCs w:val="32"/>
          <w:shd w:val="clear" w:color="auto" w:fill="FFFFFF"/>
        </w:rPr>
        <w:t xml:space="preserve"> 023-70600262</w:t>
      </w:r>
    </w:p>
    <w:p>
      <w:pPr>
        <w:pStyle w:val="14"/>
        <w:autoSpaceDE w:val="0"/>
        <w:ind w:firstLine="0" w:firstLineChars="0"/>
        <w:rPr>
          <w:rStyle w:val="11"/>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2"/>
        <w:tblpPr w:leftFromText="180" w:rightFromText="180" w:vertAnchor="text" w:horzAnchor="page" w:tblpX="1125" w:tblpY="76"/>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keepNext/>
              <w:keepLines/>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keepNext/>
              <w:keepLines/>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keepNext/>
              <w:keepLines/>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keepNext/>
              <w:keepLines/>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keepNext/>
              <w:keepLines/>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keepNext/>
              <w:keepLines/>
              <w:spacing w:line="280" w:lineRule="exact"/>
              <w:rPr>
                <w:rFonts w:hint="default" w:ascii="Arial" w:hAnsi="Arial" w:cs="Arial"/>
                <w:color w:val="000000"/>
                <w:sz w:val="22"/>
                <w:szCs w:val="22"/>
              </w:rPr>
            </w:pPr>
            <w:r>
              <w:rPr>
                <w:rFonts w:cs="宋体"/>
                <w:sz w:val="20"/>
                <w:szCs w:val="20"/>
              </w:rPr>
              <w:t>单位：</w:t>
            </w:r>
            <w:r>
              <w:rPr>
                <w:sz w:val="20"/>
              </w:rPr>
              <w:t>丰都县社会福利院</w:t>
            </w:r>
          </w:p>
        </w:tc>
        <w:tc>
          <w:tcPr>
            <w:tcW w:w="4044" w:type="dxa"/>
            <w:tcBorders>
              <w:top w:val="nil"/>
              <w:left w:val="nil"/>
              <w:bottom w:val="nil"/>
              <w:right w:val="nil"/>
            </w:tcBorders>
            <w:shd w:val="clear" w:color="auto" w:fill="auto"/>
            <w:tcMar>
              <w:top w:w="15" w:type="dxa"/>
              <w:left w:w="15" w:type="dxa"/>
              <w:right w:w="15" w:type="dxa"/>
            </w:tcMar>
            <w:vAlign w:val="bottom"/>
          </w:tcPr>
          <w:p>
            <w:pPr>
              <w:keepNext/>
              <w:keepLines/>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keepNext/>
              <w:keepLines/>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keepLines/>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keepLines/>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keepLines/>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keepLines/>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keepLines/>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919.06</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keepLines/>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keepLines/>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keepLines/>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74.86</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keepLines/>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keepLines/>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keepLines/>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keepLines/>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keepLines/>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keepLines/>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keepLines/>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keepLines/>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keepLines/>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299.57</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keepLines/>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keepLines/>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keepLines/>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keepLines/>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keepLines/>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keepLines/>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keepLines/>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keepLines/>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keepNext/>
              <w:keepLines/>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keepLines/>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keepLines/>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1,133.59</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keepLines/>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keepLines/>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keepLines/>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34.88</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keepLines/>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keepLines/>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keepLines/>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keepLines/>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keepLines/>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keepLines/>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keepLines/>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keepLines/>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keepLines/>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keepLines/>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keepLines/>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keepLines/>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keepLines/>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keepLines/>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keepLines/>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keepLines/>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keepLines/>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keepLines/>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keepLines/>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keepLines/>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keepLines/>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keepLines/>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keepLines/>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keepLines/>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keepLines/>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keepLines/>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keepLines/>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keepLines/>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keepLines/>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32.10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keepLines/>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keepLines/>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keepLines/>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keepLines/>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keepLines/>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keepLines/>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keepLines/>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keepLines/>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keepLines/>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keepLines/>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keepLines/>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keepLines/>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74.86</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keepLines/>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keepLines/>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keepLines/>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keepLines/>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keepLines/>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keepLines/>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keepLines/>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keepLines/>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keepLines/>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keepLines/>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1,293.50</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keepLines/>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keepLines/>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1,275.42</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keepLines/>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keepLines/>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keepLines/>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18.07</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keepLines/>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keepLines/>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keepLines/>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keepLines/>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1,293.50</w:t>
            </w:r>
            <w:r>
              <w:rPr>
                <w:rFonts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keepNext/>
              <w:keepLines/>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keepLines/>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1,293.50</w:t>
            </w:r>
            <w:r>
              <w:rPr>
                <w:rFonts w:ascii="Times New Roman" w:hAnsi="Times New Roman"/>
                <w:color w:val="000000"/>
                <w:sz w:val="20"/>
              </w:rPr>
              <w:t xml:space="preserve"> </w:t>
            </w:r>
          </w:p>
        </w:tc>
      </w:tr>
    </w:tbl>
    <w:p>
      <w:pPr>
        <w:keepNext/>
        <w:keepLines/>
        <w:widowControl w:val="0"/>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p>
    <w:p>
      <w:pPr>
        <w:pStyle w:val="2"/>
        <w:rPr>
          <w:rFonts w:hint="default"/>
        </w:rPr>
      </w:pPr>
    </w:p>
    <w:tbl>
      <w:tblPr>
        <w:tblStyle w:val="12"/>
        <w:tblW w:w="15503" w:type="dxa"/>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931" w:type="dxa"/>
            <w:gridSpan w:val="3"/>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sz w:val="20"/>
              </w:rPr>
              <w:t>丰都县社会福利院</w:t>
            </w:r>
          </w:p>
        </w:tc>
        <w:tc>
          <w:tcPr>
            <w:tcW w:w="145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5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593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5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3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9"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3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1,293.50</w:t>
            </w:r>
            <w:r>
              <w:rPr>
                <w:rFonts w:ascii="Times New Roman" w:hAnsi="Times New Roman"/>
                <w:b/>
                <w:color w:val="000000"/>
                <w:sz w:val="20"/>
              </w:rPr>
              <w:t xml:space="preserve"> </w:t>
            </w:r>
          </w:p>
        </w:tc>
        <w:tc>
          <w:tcPr>
            <w:tcW w:w="14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993.92</w:t>
            </w:r>
            <w:r>
              <w:rPr>
                <w:rFonts w:ascii="Times New Roman" w:hAnsi="Times New Roman"/>
                <w:b/>
                <w:color w:val="000000"/>
                <w:sz w:val="20"/>
              </w:rPr>
              <w:t xml:space="preserve"> </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299.57</w:t>
            </w:r>
            <w:r>
              <w:rPr>
                <w:rFonts w:ascii="Times New Roman" w:hAnsi="Times New Roman"/>
                <w:b/>
                <w:color w:val="000000"/>
                <w:sz w:val="20"/>
              </w:rPr>
              <w:t xml:space="preserve"> </w:t>
            </w:r>
          </w:p>
        </w:tc>
        <w:tc>
          <w:tcPr>
            <w:tcW w:w="14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1,151.66</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852.09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299.57</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121.76</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121.76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31.05</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31.05</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60.29</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60.29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30.41</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30.41</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1,013.68</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714.10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299.57</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社会福利事业单位</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837.08</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537.50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299.57</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其他社会福利支出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146.60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146.60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16.23</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16.23</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其他城市生活救助</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16.23</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16.23</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34.88</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34.88</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34.88</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34.88</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22.58</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22.58</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32.10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32.10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32.10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32.10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32.10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32.10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74.86</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74.86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74.86</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74.86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用于社会福利的彩票公益金支出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74.86</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74.86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2"/>
        <w:tblW w:w="15322" w:type="dxa"/>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73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丰都县社会福利院 </w:t>
            </w: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4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73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4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02"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1,275.42</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1,002.94</w:t>
            </w:r>
            <w:r>
              <w:rPr>
                <w:rFonts w:ascii="Times New Roman" w:hAnsi="Times New Roman"/>
                <w:b/>
                <w:color w:val="000000"/>
                <w:sz w:val="20"/>
              </w:rPr>
              <w:t xml:space="preserve"> </w:t>
            </w:r>
          </w:p>
        </w:tc>
        <w:tc>
          <w:tcPr>
            <w:tcW w:w="16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272.49</w:t>
            </w:r>
            <w:r>
              <w:rPr>
                <w:rFonts w:ascii="Times New Roman" w:hAnsi="Times New Roman"/>
                <w:b/>
                <w:color w:val="000000"/>
                <w:sz w:val="20"/>
              </w:rPr>
              <w:t xml:space="preserve"> </w:t>
            </w:r>
          </w:p>
        </w:tc>
        <w:tc>
          <w:tcPr>
            <w:tcW w:w="1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1,133.59</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935.96</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197.63</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121.76</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121.76</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31.05</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31.05</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60.29</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60.29</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30.41</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30.41</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995.61</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814.21</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181.40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社会福利事业单位</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819.01</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814.21</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其他社会福利支出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146.60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146.60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16.23</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16.23</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其他城市生活救助</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16.23</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16.23</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34.88</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34.88</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34.88</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34.88</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22.58</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22.58</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32.10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32.10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32.10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32.10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32.10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32.10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74.86</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74.86</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74.86</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74.86</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用于社会福利的彩票公益金支出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74.86</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74.86</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2"/>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丰都县社会福利院</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919.06</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74.86</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852.09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852.09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34.88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34.88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32.10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32.10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74.86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74.86</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993.92</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993.92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919.06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74.86</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993.92</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993.92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919.06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74.86</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2"/>
        <w:tblW w:w="15322" w:type="dxa"/>
        <w:tblInd w:w="0" w:type="dxa"/>
        <w:tblLayout w:type="fixed"/>
        <w:tblCellMar>
          <w:top w:w="0" w:type="dxa"/>
          <w:left w:w="0" w:type="dxa"/>
          <w:bottom w:w="0" w:type="dxa"/>
          <w:right w:w="0" w:type="dxa"/>
        </w:tblCellMar>
      </w:tblPr>
      <w:tblGrid>
        <w:gridCol w:w="1305"/>
        <w:gridCol w:w="4073"/>
        <w:gridCol w:w="3306"/>
        <w:gridCol w:w="3297"/>
        <w:gridCol w:w="3341"/>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丰都县社会福利院</w:t>
            </w: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919.06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721.44</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197.63</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852.09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654.46</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197.63</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121.76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121.76</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31.05</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31.05</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60.29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60.29</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30.41</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30.41</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714.10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532.70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181.40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社会福利事业单位</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537.50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532.70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其他社会福利支出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146.60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146.60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16.23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16.23</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其他城市生活救助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16.23</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16.23</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34.88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34.88</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34.88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34.88</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22.58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22.58</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12.30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12.30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32.10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32.10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32.10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32.10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32.10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32.10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2"/>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丰都县社会福利院</w:t>
            </w:r>
          </w:p>
        </w:tc>
        <w:tc>
          <w:tcPr>
            <w:tcW w:w="141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7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46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49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41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7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46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49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613.20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63.86</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3.68</w:t>
            </w: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139.23</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5.69</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43.00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3.68</w:t>
            </w: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0.88</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272.25</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7.01</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61.27</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10.37</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32.34</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8.71</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22.82</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9.31</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2.11</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32.10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3.12</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40.69</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2.05</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37.63</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1.65</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3.05</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5.86</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0.01</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8.14</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2.69</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1.33</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4.94</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653.89</w:t>
            </w:r>
            <w:r>
              <w:rPr>
                <w:rFonts w:ascii="Times New Roman" w:hAnsi="Times New Roman"/>
                <w:color w:val="000000"/>
                <w:sz w:val="18"/>
              </w:rPr>
              <w:t xml:space="preserve"> </w:t>
            </w:r>
          </w:p>
        </w:tc>
        <w:tc>
          <w:tcPr>
            <w:tcW w:w="8659"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67.55</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2"/>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丰都县社会福利院</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74.86</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74.86</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74.86</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74.86</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74.86</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74.86</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74.86</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74.86</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74.86</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2296002</w:t>
            </w: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用于社会福利的彩票公益金支出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74.86</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74.86</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74.86</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2"/>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丰都县社会福利院</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2"/>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Layout w:type="fixed"/>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5"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丰都县社会福利院</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2.69</w:t>
            </w: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2.69</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2.69</w:t>
            </w: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2.69</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2.69</w:t>
            </w: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2.69</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2.05</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2.11</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pStyle w:val="2"/>
                  <w:rPr>
                    <w:rFonts w:hint="default"/>
                  </w:rPr>
                </w:pPr>
                <w:r>
                  <w:rPr>
                    <w:rFonts w:hint="default"/>
                  </w:rPr>
                  <w:fldChar w:fldCharType="begin"/>
                </w:r>
                <w:r>
                  <w:instrText xml:space="preserve"> PAGE  \* MERGEFORMAT </w:instrText>
                </w:r>
                <w:r>
                  <w:rPr>
                    <w:rFonts w:hint="default"/>
                  </w:rPr>
                  <w:fldChar w:fldCharType="separate"/>
                </w:r>
                <w:r>
                  <w:rPr>
                    <w:rFonts w:hint="default"/>
                  </w:rPr>
                  <w:t>- 1 -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2"/>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3D2652"/>
    <w:multiLevelType w:val="singleLevel"/>
    <w:tmpl w:val="4C3D2652"/>
    <w:lvl w:ilvl="0" w:tentative="0">
      <w:start w:val="2"/>
      <w:numFmt w:val="chineseCounting"/>
      <w:suff w:val="nothing"/>
      <w:lvlText w:val="（%1）"/>
      <w:lvlJc w:val="left"/>
      <w:rPr>
        <w:rFonts w:hint="eastAsia"/>
      </w:rPr>
    </w:lvl>
  </w:abstractNum>
  <w:abstractNum w:abstractNumId="1">
    <w:nsid w:val="5491E207"/>
    <w:multiLevelType w:val="singleLevel"/>
    <w:tmpl w:val="5491E20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575E0"/>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67E0F"/>
    <w:rsid w:val="00AF2751"/>
    <w:rsid w:val="00B03CCD"/>
    <w:rsid w:val="00BE2B89"/>
    <w:rsid w:val="00BF0D89"/>
    <w:rsid w:val="00C10E9E"/>
    <w:rsid w:val="00C20C3E"/>
    <w:rsid w:val="00C5163E"/>
    <w:rsid w:val="00CF2ACF"/>
    <w:rsid w:val="00D03AAF"/>
    <w:rsid w:val="00D433DC"/>
    <w:rsid w:val="00DD0539"/>
    <w:rsid w:val="00E07662"/>
    <w:rsid w:val="00E134FF"/>
    <w:rsid w:val="00E300F6"/>
    <w:rsid w:val="00E368E9"/>
    <w:rsid w:val="00EE1E33"/>
    <w:rsid w:val="00F73F90"/>
    <w:rsid w:val="00FB4B3B"/>
    <w:rsid w:val="01474EBF"/>
    <w:rsid w:val="01F3521E"/>
    <w:rsid w:val="03B87EA0"/>
    <w:rsid w:val="03E3214F"/>
    <w:rsid w:val="044C50BA"/>
    <w:rsid w:val="04E30B60"/>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8078E1"/>
    <w:rsid w:val="1FBB35CD"/>
    <w:rsid w:val="1FCD26AF"/>
    <w:rsid w:val="20642787"/>
    <w:rsid w:val="21556F04"/>
    <w:rsid w:val="22403BD3"/>
    <w:rsid w:val="22AD3177"/>
    <w:rsid w:val="235417B6"/>
    <w:rsid w:val="24B92327"/>
    <w:rsid w:val="24C14514"/>
    <w:rsid w:val="2533755C"/>
    <w:rsid w:val="25764E75"/>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E097DCD"/>
    <w:rsid w:val="2FCA4B37"/>
    <w:rsid w:val="2FCB7AA6"/>
    <w:rsid w:val="2FE029D7"/>
    <w:rsid w:val="2FF06E00"/>
    <w:rsid w:val="30586FEC"/>
    <w:rsid w:val="30721BB2"/>
    <w:rsid w:val="315F0B22"/>
    <w:rsid w:val="31A15828"/>
    <w:rsid w:val="31D84415"/>
    <w:rsid w:val="32285F6F"/>
    <w:rsid w:val="32770556"/>
    <w:rsid w:val="329C0913"/>
    <w:rsid w:val="32AA0460"/>
    <w:rsid w:val="3337290D"/>
    <w:rsid w:val="33E31118"/>
    <w:rsid w:val="33EF7674"/>
    <w:rsid w:val="342D7BC6"/>
    <w:rsid w:val="34405A8E"/>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3FE82E4B"/>
    <w:rsid w:val="4004000C"/>
    <w:rsid w:val="40760DD1"/>
    <w:rsid w:val="40BD5482"/>
    <w:rsid w:val="411B6CE5"/>
    <w:rsid w:val="412070D7"/>
    <w:rsid w:val="41314E40"/>
    <w:rsid w:val="41982778"/>
    <w:rsid w:val="41A17745"/>
    <w:rsid w:val="41E0734B"/>
    <w:rsid w:val="426C1EA8"/>
    <w:rsid w:val="42736402"/>
    <w:rsid w:val="42E86A87"/>
    <w:rsid w:val="43307B09"/>
    <w:rsid w:val="439A3EB9"/>
    <w:rsid w:val="43BB152F"/>
    <w:rsid w:val="44C37687"/>
    <w:rsid w:val="452B0D12"/>
    <w:rsid w:val="45CB699A"/>
    <w:rsid w:val="46423C66"/>
    <w:rsid w:val="465B470D"/>
    <w:rsid w:val="469D6AD4"/>
    <w:rsid w:val="471E6C84"/>
    <w:rsid w:val="4748792B"/>
    <w:rsid w:val="475D719D"/>
    <w:rsid w:val="47674801"/>
    <w:rsid w:val="48225EF7"/>
    <w:rsid w:val="488F422B"/>
    <w:rsid w:val="48C73437"/>
    <w:rsid w:val="48E36915"/>
    <w:rsid w:val="48EB6572"/>
    <w:rsid w:val="492D3F8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2E6C93"/>
    <w:rsid w:val="554E5773"/>
    <w:rsid w:val="555829E0"/>
    <w:rsid w:val="555A3CBC"/>
    <w:rsid w:val="5582012B"/>
    <w:rsid w:val="558E4E05"/>
    <w:rsid w:val="55BE2E85"/>
    <w:rsid w:val="56530F5D"/>
    <w:rsid w:val="567700D3"/>
    <w:rsid w:val="56FF7E9E"/>
    <w:rsid w:val="578867FC"/>
    <w:rsid w:val="5842572D"/>
    <w:rsid w:val="5A3B59D6"/>
    <w:rsid w:val="5AD134D8"/>
    <w:rsid w:val="5BC5291A"/>
    <w:rsid w:val="5BF41F67"/>
    <w:rsid w:val="5C263CE4"/>
    <w:rsid w:val="5C5D2777"/>
    <w:rsid w:val="5CF66BF3"/>
    <w:rsid w:val="5D290C69"/>
    <w:rsid w:val="5DA80C2C"/>
    <w:rsid w:val="5F2D4A41"/>
    <w:rsid w:val="60C74F6C"/>
    <w:rsid w:val="61015958"/>
    <w:rsid w:val="61025A59"/>
    <w:rsid w:val="613D5BBC"/>
    <w:rsid w:val="61536C39"/>
    <w:rsid w:val="62944DD7"/>
    <w:rsid w:val="62A21B51"/>
    <w:rsid w:val="6319381F"/>
    <w:rsid w:val="63C25DC5"/>
    <w:rsid w:val="63C62057"/>
    <w:rsid w:val="642503DD"/>
    <w:rsid w:val="64571EF5"/>
    <w:rsid w:val="64FB113D"/>
    <w:rsid w:val="656152C6"/>
    <w:rsid w:val="6587477F"/>
    <w:rsid w:val="658C3A08"/>
    <w:rsid w:val="65C031CA"/>
    <w:rsid w:val="65CE6852"/>
    <w:rsid w:val="66267C04"/>
    <w:rsid w:val="663F505A"/>
    <w:rsid w:val="666C2D2F"/>
    <w:rsid w:val="66AF5D7C"/>
    <w:rsid w:val="66EE5541"/>
    <w:rsid w:val="67924660"/>
    <w:rsid w:val="680824EC"/>
    <w:rsid w:val="68407834"/>
    <w:rsid w:val="6883293E"/>
    <w:rsid w:val="688412AD"/>
    <w:rsid w:val="68EB1B71"/>
    <w:rsid w:val="694B6FC0"/>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B052BB"/>
    <w:rsid w:val="6FD926BF"/>
    <w:rsid w:val="6FE55E12"/>
    <w:rsid w:val="6FFB2E76"/>
    <w:rsid w:val="708F6F7F"/>
    <w:rsid w:val="70D94BD3"/>
    <w:rsid w:val="71574775"/>
    <w:rsid w:val="71C34D91"/>
    <w:rsid w:val="72DB435C"/>
    <w:rsid w:val="72E2613A"/>
    <w:rsid w:val="72F771F4"/>
    <w:rsid w:val="73934AD2"/>
    <w:rsid w:val="74CD3410"/>
    <w:rsid w:val="750837F0"/>
    <w:rsid w:val="754758CF"/>
    <w:rsid w:val="75595ECD"/>
    <w:rsid w:val="75D74466"/>
    <w:rsid w:val="75F636BB"/>
    <w:rsid w:val="764F62AB"/>
    <w:rsid w:val="765C45EC"/>
    <w:rsid w:val="768A7619"/>
    <w:rsid w:val="76BD23AB"/>
    <w:rsid w:val="772E1EBA"/>
    <w:rsid w:val="781926BC"/>
    <w:rsid w:val="796D60A4"/>
    <w:rsid w:val="79A031D5"/>
    <w:rsid w:val="79B47FDF"/>
    <w:rsid w:val="79E569A9"/>
    <w:rsid w:val="7A1525F7"/>
    <w:rsid w:val="7A8334C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Body Text Indent"/>
    <w:basedOn w:val="1"/>
    <w:next w:val="4"/>
    <w:unhideWhenUsed/>
    <w:qFormat/>
    <w:uiPriority w:val="99"/>
    <w:pPr>
      <w:spacing w:after="120"/>
      <w:ind w:left="420" w:leftChars="200"/>
    </w:pPr>
    <w:rPr>
      <w:rFonts w:cs="宋体"/>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8"/>
    <w:qFormat/>
    <w:uiPriority w:val="0"/>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footnote text"/>
    <w:basedOn w:val="1"/>
    <w:next w:val="4"/>
    <w:semiHidden/>
    <w:qFormat/>
    <w:uiPriority w:val="0"/>
    <w:pPr>
      <w:snapToGrid w:val="0"/>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character" w:styleId="11">
    <w:name w:val="Strong"/>
    <w:qFormat/>
    <w:uiPriority w:val="0"/>
    <w:rPr>
      <w:b/>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0"/>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字符"/>
    <w:basedOn w:val="10"/>
    <w:link w:val="5"/>
    <w:qFormat/>
    <w:uiPriority w:val="0"/>
    <w:rPr>
      <w:rFonts w:ascii="宋体" w:hAnsi="宋体"/>
      <w:sz w:val="18"/>
      <w:szCs w:val="18"/>
    </w:rPr>
  </w:style>
  <w:style w:type="paragraph" w:customStyle="1" w:styleId="19">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21</Pages>
  <Words>2505</Words>
  <Characters>2991</Characters>
  <Lines>103</Lines>
  <Paragraphs>29</Paragraphs>
  <TotalTime>26</TotalTime>
  <ScaleCrop>false</ScaleCrop>
  <LinksUpToDate>false</LinksUpToDate>
  <CharactersWithSpaces>2993</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2025-09-15T14:17:45Z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BB46EABDBB2749749395447164B066B3_12</vt:lpwstr>
  </property>
  <property fmtid="{D5CDD505-2E9C-101B-9397-08002B2CF9AE}" pid="4" name="KSOTemplateDocerSaveRecord">
    <vt:lpwstr>eyJoZGlkIjoiN2MxYTRiYzNlMzJlZmY2OWJmYjI3YzBjNTE5NjlhMjYiLCJ1c2VySWQiOiI1MjQxNzEzMDEifQ==</vt:lpwstr>
  </property>
</Properties>
</file>