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丰都县民政局（本级）</w:t>
      </w:r>
    </w:p>
    <w:p>
      <w:pPr>
        <w:pStyle w:val="10"/>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0"/>
        <w:spacing w:before="0" w:beforeAutospacing="0" w:after="0" w:afterAutospacing="0" w:line="596" w:lineRule="exact"/>
        <w:rPr>
          <w:rFonts w:hint="default"/>
          <w:sz w:val="27"/>
          <w:szCs w:val="27"/>
          <w:shd w:val="clear" w:color="auto" w:fill="FFFF00"/>
        </w:rPr>
      </w:pPr>
    </w:p>
    <w:p>
      <w:pPr>
        <w:pStyle w:val="10"/>
        <w:shd w:val="clear" w:color="auto" w:fill="FFFFFF"/>
        <w:spacing w:before="0" w:beforeAutospacing="0" w:after="0" w:afterAutospacing="0" w:line="596" w:lineRule="exact"/>
        <w:ind w:firstLine="640" w:firstLineChars="200"/>
        <w:rPr>
          <w:rStyle w:val="12"/>
          <w:rFonts w:hint="default" w:ascii="黑体" w:hAnsi="黑体" w:eastAsia="黑体" w:cs="黑体"/>
          <w:b w:val="0"/>
          <w:sz w:val="32"/>
          <w:szCs w:val="32"/>
          <w:shd w:val="clear" w:color="auto" w:fill="FFFFFF"/>
        </w:rPr>
      </w:pPr>
      <w:r>
        <w:rPr>
          <w:rStyle w:val="12"/>
          <w:rFonts w:ascii="黑体" w:hAnsi="黑体" w:eastAsia="黑体" w:cs="黑体"/>
          <w:b w:val="0"/>
          <w:sz w:val="32"/>
          <w:szCs w:val="32"/>
          <w:shd w:val="clear" w:color="auto" w:fill="FFFFFF"/>
        </w:rPr>
        <w:t>一、单位基本情况</w:t>
      </w:r>
    </w:p>
    <w:p>
      <w:pPr>
        <w:pStyle w:val="10"/>
        <w:shd w:val="clear" w:color="auto" w:fill="FFFFFF"/>
        <w:adjustRightInd w:val="0"/>
        <w:snapToGrid w:val="0"/>
        <w:spacing w:before="0" w:beforeAutospacing="0" w:after="0" w:afterAutospacing="0" w:line="560" w:lineRule="exact"/>
        <w:ind w:firstLine="640" w:firstLineChars="200"/>
        <w:rPr>
          <w:rFonts w:hint="default" w:ascii="方正仿宋_GBK" w:hAnsi="方正仿宋_GBK" w:eastAsia="方正仿宋_GBK" w:cs="方正仿宋_GBK"/>
          <w:b/>
          <w:sz w:val="32"/>
          <w:szCs w:val="32"/>
        </w:rPr>
      </w:pPr>
      <w:r>
        <w:rPr>
          <w:rStyle w:val="12"/>
          <w:rFonts w:ascii="楷体" w:hAnsi="楷体" w:eastAsia="楷体" w:cs="楷体"/>
          <w:b w:val="0"/>
          <w:sz w:val="32"/>
          <w:szCs w:val="32"/>
          <w:shd w:val="clear" w:color="auto" w:fill="FFFFFF"/>
        </w:rPr>
        <w:t>（一）职能职责</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1.贯彻执行国家和重庆市关于民政工作的方针、政策和法律、法规，研究提出民政事业发展规划，制定民政工作的近期改革与发展计划并负责组织实施。 </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2.负责全县社团组织和民办非企业单位的登记和年检；指导、监督各社会团体规范管理，在法律、法规范围内活动，查处社团组织的违法行为和未经登记而以社团名义开展活动的非法组织。</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3.统筹社会救助体系建设，落实社会救助政策、标准，负责城乡居民最低生活保障、特困人员救助供养、临时救助、生活无着流浪乞讨人员救助工作。</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4.拟订全县行政区划总体规划；负责乡、镇、村（居）委、村（居）民小组的设立、撤销、调整、更名和界线变更及政府驻地迁移的审核报批。 </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5.承办自然地理实体的地名、更名的审批，指导地名标志的设置和管理；负责全县标准地名图书资料的审核绘制。</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6.负责行政区域界线的勘定工作；指导边界争议的调处。</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7.指导实施全县婚姻管理政策，推进婚俗改革。</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8.组织实施殡葬管理政策、服务规范，推行火葬，改革土葬，推进殡葬改革。</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统筹推进、督促指导、监督管理养老服务工作，组织实施养老服务体系建设规划、政策、标准，负责拟订全县社会福利事业发展规划，指导、协调、管理社会福利企事业单位，组织农村敬老院建设和管理，承担老年人福利和特殊困难老年人救助工作。</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10.落实贫困残疾人生活补贴、重度残疾人护理补贴发放工作，实施经济困难高龄失能老人养老服务补贴政策，保障特殊困难群体的基本生活权益。</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11.组织实施儿童福利、孤弃儿童保障、儿童收养、儿童救助保护政策、标准，健全农村留守儿童关爱服务体系和困境儿童保障制度。</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12.指导实施促进慈善事业发展政策，指导社会捐助工作，组织福利彩票发行工作，管理和分配本级福利彩票公益金。</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13.负责局机关和所属单位的党的建设、宣传思想、安全监管、信访稳定和民政扶贫工作。 </w:t>
      </w:r>
    </w:p>
    <w:p>
      <w:pPr>
        <w:wordWrap w:val="0"/>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14.</w:t>
      </w:r>
      <w:r>
        <w:rPr>
          <w:rFonts w:eastAsia="方正仿宋_GBK"/>
          <w:snapToGrid w:val="0"/>
          <w:color w:val="000000"/>
          <w:sz w:val="32"/>
          <w:szCs w:val="32"/>
        </w:rPr>
        <w:t xml:space="preserve"> 组织拟订应对人口老龄化政策措施。</w:t>
      </w:r>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15.完成县委、县政府交办的其他任务。</w:t>
      </w:r>
    </w:p>
    <w:p>
      <w:pPr>
        <w:pStyle w:val="10"/>
        <w:shd w:val="clear" w:color="auto" w:fill="FFFFFF"/>
        <w:spacing w:before="0" w:beforeAutospacing="0" w:after="0" w:afterAutospacing="0" w:line="596" w:lineRule="exact"/>
        <w:ind w:firstLine="640" w:firstLineChars="200"/>
        <w:rPr>
          <w:rFonts w:hint="default" w:ascii="楷体" w:hAnsi="楷体" w:eastAsia="楷体" w:cs="楷体"/>
          <w:sz w:val="32"/>
          <w:szCs w:val="32"/>
        </w:rPr>
      </w:pPr>
      <w:r>
        <w:rPr>
          <w:rStyle w:val="12"/>
          <w:rFonts w:ascii="楷体" w:hAnsi="楷体" w:eastAsia="楷体" w:cs="楷体"/>
          <w:b w:val="0"/>
          <w:sz w:val="32"/>
          <w:szCs w:val="32"/>
          <w:shd w:val="clear" w:color="auto" w:fill="FFFFFF"/>
        </w:rPr>
        <w:t>（二）机构设置</w:t>
      </w:r>
    </w:p>
    <w:p>
      <w:pPr>
        <w:pStyle w:val="16"/>
        <w:topLinePunct/>
        <w:autoSpaceDE w:val="0"/>
        <w:adjustRightInd w:val="0"/>
        <w:snapToGrid w:val="0"/>
        <w:spacing w:before="0" w:beforeAutospacing="0" w:after="0" w:afterAutospacing="0" w:line="56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丰都县民政局下设6个内设机构：办公室、财务审计科、社会事务福利科、社会救助和儿童福利科、行政审批服务科（区划地名科）、老龄服务科（安全监督科）。</w:t>
      </w:r>
    </w:p>
    <w:p>
      <w:pPr>
        <w:pStyle w:val="16"/>
        <w:topLinePunct/>
        <w:autoSpaceDE w:val="0"/>
        <w:adjustRightInd w:val="0"/>
        <w:snapToGrid w:val="0"/>
        <w:spacing w:before="0" w:beforeAutospacing="0" w:after="0" w:afterAutospacing="0"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下属非独立核算参公事业单位3个：县救助管理站、县婚姻登记中心、县最低生活保障中心。</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仿宋_GB2312" w:hAnsi="仿宋" w:eastAsia="仿宋_GB2312"/>
          <w:sz w:val="32"/>
          <w:szCs w:val="32"/>
        </w:rPr>
        <w:t>在职人员：民政局机关12人</w:t>
      </w:r>
      <w:r>
        <w:rPr>
          <w:rFonts w:ascii="方正仿宋_GBK" w:hAnsi="方正仿宋_GBK" w:eastAsia="方正仿宋_GBK" w:cs="方正仿宋_GBK"/>
          <w:sz w:val="32"/>
          <w:szCs w:val="32"/>
          <w:shd w:val="clear" w:color="auto" w:fill="FFFFFF"/>
        </w:rPr>
        <w:t>、县救助管理站11人</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县婚姻登记中心4人、县最低生活保障中心4人。退休人员：民政局机关20人、县婚姻登记中心2人、县救助管理站2人。</w:t>
      </w:r>
    </w:p>
    <w:p>
      <w:pPr>
        <w:pStyle w:val="10"/>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60" w:lineRule="exact"/>
        <w:ind w:firstLine="640" w:firstLineChars="200"/>
        <w:textAlignment w:val="auto"/>
        <w:outlineLvl w:val="9"/>
        <w:rPr>
          <w:rStyle w:val="12"/>
          <w:rFonts w:hint="default" w:ascii="黑体" w:hAnsi="黑体" w:eastAsia="黑体" w:cs="黑体"/>
          <w:b w:val="0"/>
          <w:bCs/>
          <w:sz w:val="32"/>
          <w:szCs w:val="32"/>
          <w:shd w:val="clear" w:color="auto" w:fill="FFFFFF"/>
        </w:rPr>
      </w:pPr>
      <w:r>
        <w:rPr>
          <w:rStyle w:val="12"/>
          <w:rFonts w:ascii="黑体" w:hAnsi="黑体" w:eastAsia="黑体" w:cs="黑体"/>
          <w:b w:val="0"/>
          <w:bCs/>
          <w:sz w:val="32"/>
          <w:szCs w:val="32"/>
          <w:shd w:val="clear" w:color="auto" w:fill="FFFFFF"/>
        </w:rPr>
        <w:t>二、单位决算收支情况说明</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（一）收入支出决算总体情况说明</w:t>
      </w:r>
    </w:p>
    <w:p>
      <w:pPr>
        <w:pStyle w:val="10"/>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27355.56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收、支与2023年度相比，增加1865.65万元，增长</w:t>
      </w:r>
      <w:r>
        <w:rPr>
          <w:rFonts w:hint="default" w:ascii="方正仿宋_GBK" w:hAnsi="方正仿宋_GBK" w:eastAsia="方正仿宋_GBK" w:cs="方正仿宋_GBK"/>
          <w:sz w:val="32"/>
          <w:szCs w:val="32"/>
          <w:shd w:val="clear" w:color="auto" w:fill="FFFFFF"/>
        </w:rPr>
        <w:t>7.3%</w:t>
      </w:r>
      <w:r>
        <w:rPr>
          <w:rFonts w:ascii="方正仿宋_GBK" w:hAnsi="方正仿宋_GBK" w:eastAsia="方正仿宋_GBK" w:cs="方正仿宋_GBK"/>
          <w:sz w:val="32"/>
          <w:szCs w:val="32"/>
          <w:shd w:val="clear" w:color="auto" w:fill="FFFFFF"/>
        </w:rPr>
        <w:t>，主要原因是民政保障对象在逐年增加及保障标准在增长</w:t>
      </w:r>
      <w:r>
        <w:rPr>
          <w:rFonts w:hint="eastAsia" w:ascii="方正仿宋_GBK" w:hAnsi="方正仿宋_GBK" w:eastAsia="方正仿宋_GBK" w:cs="方正仿宋_GBK"/>
          <w:sz w:val="32"/>
          <w:szCs w:val="32"/>
          <w:shd w:val="clear" w:color="auto" w:fill="FFFFFF"/>
          <w:lang w:eastAsia="zh-CN"/>
        </w:rPr>
        <w:t>，相应的增加了低保、特困、临时救助等民生保障资金</w:t>
      </w:r>
      <w:r>
        <w:rPr>
          <w:rFonts w:ascii="方正仿宋_GBK" w:hAnsi="方正仿宋_GBK" w:eastAsia="方正仿宋_GBK" w:cs="方正仿宋_GBK"/>
          <w:sz w:val="32"/>
          <w:szCs w:val="32"/>
          <w:shd w:val="clear" w:color="auto" w:fill="FFFFFF"/>
        </w:rPr>
        <w:t>。</w:t>
      </w:r>
    </w:p>
    <w:p>
      <w:pPr>
        <w:pStyle w:val="10"/>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2"/>
          <w:rFonts w:ascii="Times New Roman" w:hAnsi="Times New Roman" w:eastAsia="方正仿宋_GBK"/>
          <w:sz w:val="32"/>
          <w:szCs w:val="32"/>
          <w:shd w:val="clear" w:color="auto" w:fill="FFFFFF"/>
        </w:rPr>
        <w:t>1</w:t>
      </w:r>
      <w:r>
        <w:rPr>
          <w:rStyle w:val="12"/>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27294.98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与2023年度相比，增加1937.48万元，增长7.6%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增加了</w:t>
      </w:r>
      <w:r>
        <w:rPr>
          <w:rFonts w:hint="eastAsia" w:ascii="仿宋_GB2312" w:hAnsi="仿宋" w:eastAsia="仿宋_GB2312"/>
          <w:sz w:val="32"/>
          <w:szCs w:val="32"/>
          <w:lang w:eastAsia="zh-CN"/>
        </w:rPr>
        <w:t>民生保障资金如低保、特困、临时救助</w:t>
      </w:r>
      <w:r>
        <w:rPr>
          <w:rFonts w:ascii="仿宋_GB2312" w:hAnsi="仿宋" w:eastAsia="仿宋_GB2312"/>
          <w:sz w:val="32"/>
          <w:szCs w:val="32"/>
        </w:rPr>
        <w:t>等。</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27294.98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60.58</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shd w:val="clear" w:color="auto" w:fill="FFFFFF"/>
        </w:rPr>
      </w:pPr>
      <w:r>
        <w:rPr>
          <w:rStyle w:val="12"/>
          <w:rFonts w:ascii="Times New Roman" w:hAnsi="Times New Roman" w:eastAsia="方正仿宋_GBK"/>
          <w:sz w:val="32"/>
          <w:szCs w:val="32"/>
          <w:shd w:val="clear" w:color="auto" w:fill="FFFFFF"/>
        </w:rPr>
        <w:t>2</w:t>
      </w:r>
      <w:r>
        <w:rPr>
          <w:rStyle w:val="12"/>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27355.56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与2023年度相比，增加1865.65万元，增长</w:t>
      </w:r>
      <w:r>
        <w:rPr>
          <w:rFonts w:hint="default" w:ascii="方正仿宋_GBK" w:hAnsi="方正仿宋_GBK" w:eastAsia="方正仿宋_GBK" w:cs="方正仿宋_GBK"/>
          <w:sz w:val="32"/>
          <w:szCs w:val="32"/>
          <w:shd w:val="clear" w:color="auto" w:fill="FFFFFF"/>
        </w:rPr>
        <w:t>7.3%</w:t>
      </w:r>
      <w:r>
        <w:rPr>
          <w:rFonts w:ascii="方正仿宋_GBK" w:hAnsi="方正仿宋_GBK" w:eastAsia="方正仿宋_GBK" w:cs="方正仿宋_GBK"/>
          <w:sz w:val="32"/>
          <w:szCs w:val="32"/>
          <w:shd w:val="clear" w:color="auto" w:fill="FFFFFF"/>
        </w:rPr>
        <w:t>，主要原因是民政保障对象</w:t>
      </w:r>
      <w:r>
        <w:rPr>
          <w:rFonts w:hint="eastAsia" w:ascii="方正仿宋_GBK" w:hAnsi="方正仿宋_GBK" w:eastAsia="方正仿宋_GBK" w:cs="方正仿宋_GBK"/>
          <w:sz w:val="32"/>
          <w:szCs w:val="32"/>
          <w:shd w:val="clear" w:color="auto" w:fill="FFFFFF"/>
          <w:lang w:eastAsia="zh-CN"/>
        </w:rPr>
        <w:t>的</w:t>
      </w:r>
      <w:r>
        <w:rPr>
          <w:rFonts w:ascii="方正仿宋_GBK" w:hAnsi="方正仿宋_GBK" w:eastAsia="方正仿宋_GBK" w:cs="方正仿宋_GBK"/>
          <w:sz w:val="32"/>
          <w:szCs w:val="32"/>
          <w:shd w:val="clear" w:color="auto" w:fill="FFFFFF"/>
        </w:rPr>
        <w:t>保障标准在增长</w:t>
      </w:r>
      <w:r>
        <w:rPr>
          <w:rFonts w:hint="eastAsia" w:ascii="方正仿宋_GBK" w:hAnsi="方正仿宋_GBK" w:eastAsia="方正仿宋_GBK" w:cs="方正仿宋_GBK"/>
          <w:sz w:val="32"/>
          <w:szCs w:val="32"/>
          <w:shd w:val="clear" w:color="auto" w:fill="FFFFFF"/>
          <w:lang w:eastAsia="zh-CN"/>
        </w:rPr>
        <w:t>，</w:t>
      </w:r>
      <w:r>
        <w:rPr>
          <w:rFonts w:hint="eastAsia" w:ascii="仿宋_GB2312" w:hAnsi="仿宋" w:eastAsia="仿宋_GB2312"/>
          <w:sz w:val="32"/>
          <w:szCs w:val="32"/>
          <w:lang w:eastAsia="zh-CN"/>
        </w:rPr>
        <w:t>低保、特困、临时救助等民生保障资金支出相应的增加了</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790.40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26565.15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97.1%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2"/>
          <w:rFonts w:ascii="Times New Roman" w:hAnsi="Times New Roman" w:eastAsia="方正仿宋_GBK"/>
          <w:sz w:val="32"/>
          <w:szCs w:val="32"/>
          <w:shd w:val="clear" w:color="auto" w:fill="FFFFFF"/>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（二）财政拨款收入支出决算总体情况说明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27355.56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方正仿宋_GBK" w:hAnsi="方正仿宋_GBK" w:eastAsia="方正仿宋_GBK" w:cs="方正仿宋_GBK"/>
          <w:sz w:val="32"/>
          <w:szCs w:val="32"/>
          <w:shd w:val="clear" w:color="auto" w:fill="FFFFFF"/>
        </w:rPr>
        <w:t>财政拨款收、支总计各增加1865.65万元，增长7.3%</w:t>
      </w:r>
      <w:r>
        <w:rPr>
          <w:rFonts w:ascii="方正仿宋_GBK" w:hAnsi="方正仿宋_GBK" w:eastAsia="方正仿宋_GBK" w:cs="方正仿宋_GBK"/>
          <w:sz w:val="32"/>
          <w:szCs w:val="32"/>
          <w:shd w:val="clear" w:color="auto" w:fill="FFFFFF"/>
        </w:rPr>
        <w:t>。主要原因是民政保障对象在逐年增加及保障标准在增长</w:t>
      </w:r>
      <w:r>
        <w:rPr>
          <w:rFonts w:hint="eastAsia" w:ascii="方正仿宋_GBK" w:hAnsi="方正仿宋_GBK" w:eastAsia="方正仿宋_GBK" w:cs="方正仿宋_GBK"/>
          <w:sz w:val="32"/>
          <w:szCs w:val="32"/>
          <w:shd w:val="clear" w:color="auto" w:fill="FFFFFF"/>
          <w:lang w:eastAsia="zh-CN"/>
        </w:rPr>
        <w:t>，相应的增加了低保、特困、临时救助等民生保障资金</w:t>
      </w:r>
      <w:r>
        <w:rPr>
          <w:rFonts w:ascii="方正仿宋_GBK" w:hAnsi="方正仿宋_GBK" w:eastAsia="方正仿宋_GBK" w:cs="方正仿宋_GBK"/>
          <w:sz w:val="32"/>
          <w:szCs w:val="32"/>
          <w:shd w:val="clear" w:color="auto" w:fill="FFFFFF"/>
        </w:rPr>
        <w:t>。</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（三）一般公共预算财政拨款收入支出决算情况说明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12"/>
          <w:rFonts w:hint="default" w:ascii="Times New Roman" w:hAnsi="Times New Roman" w:eastAsia="方正仿宋_GBK"/>
          <w:sz w:val="32"/>
          <w:szCs w:val="32"/>
          <w:shd w:val="clear" w:color="auto" w:fill="FFFFFF"/>
        </w:rPr>
        <w:t>1</w:t>
      </w:r>
      <w:r>
        <w:rPr>
          <w:rStyle w:val="12"/>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27147.54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与2023年度相比，增加1966.97万元，增长7.8%</w:t>
      </w:r>
      <w:r>
        <w:rPr>
          <w:rFonts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低保、特困、临时救助等民生保障资金收入增加</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较年初预算数增加509.77万元，增长1.9%</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是年度内增加上级资金。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60.58</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2</w:t>
      </w:r>
      <w:r>
        <w:rPr>
          <w:rStyle w:val="12"/>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27208.12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与2023年度相比，增加1895.60万元，增长7.5%</w:t>
      </w:r>
      <w:r>
        <w:rPr>
          <w:rFonts w:ascii="Times New Roman" w:hAnsi="Times New Roman" w:eastAsia="方正仿宋_GBK"/>
          <w:sz w:val="32"/>
          <w:szCs w:val="32"/>
          <w:shd w:val="clear" w:color="auto" w:fill="FFFFFF"/>
        </w:rPr>
        <w:t>。主要原因是民政保障对象</w:t>
      </w:r>
      <w:r>
        <w:rPr>
          <w:rFonts w:hint="eastAsia" w:ascii="Times New Roman" w:hAnsi="Times New Roman" w:eastAsia="方正仿宋_GBK"/>
          <w:sz w:val="32"/>
          <w:szCs w:val="32"/>
          <w:shd w:val="clear" w:color="auto" w:fill="FFFFFF"/>
          <w:lang w:eastAsia="zh-CN"/>
        </w:rPr>
        <w:t>的</w:t>
      </w:r>
      <w:r>
        <w:rPr>
          <w:rFonts w:ascii="Times New Roman" w:hAnsi="Times New Roman" w:eastAsia="方正仿宋_GBK"/>
          <w:sz w:val="32"/>
          <w:szCs w:val="32"/>
          <w:shd w:val="clear" w:color="auto" w:fill="FFFFFF"/>
        </w:rPr>
        <w:t>保障标准在增长</w:t>
      </w:r>
      <w:r>
        <w:rPr>
          <w:rFonts w:hint="eastAsia" w:ascii="Times New Roman" w:hAnsi="Times New Roman" w:eastAsia="方正仿宋_GBK"/>
          <w:sz w:val="32"/>
          <w:szCs w:val="32"/>
          <w:shd w:val="clear" w:color="auto" w:fill="FFFFFF"/>
          <w:lang w:eastAsia="zh-CN"/>
        </w:rPr>
        <w:t>，低保、特困、临时救助等民生保障资金支出相应的增加了</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较年初预算数增加570.35万元，增长2.1%</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rPr>
        <w:t>是增加了上级转移支付资金。</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27120.11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较年初预算数增加521.70万元，增长2.0%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低保、特困、临时救助等保障性资金支出增加</w:t>
      </w:r>
      <w:r>
        <w:rPr>
          <w:rFonts w:ascii="方正仿宋_GBK" w:hAnsi="方正仿宋_GBK"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43.62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较年初预算数增加23.08万元，增长112.4%</w:t>
      </w:r>
      <w:r>
        <w:rPr>
          <w:rFonts w:ascii="方正仿宋_GBK" w:hAnsi="方正仿宋_GBK" w:eastAsia="方正仿宋_GBK" w:cs="方正仿宋_GBK"/>
          <w:sz w:val="32"/>
          <w:szCs w:val="32"/>
          <w:shd w:val="clear" w:color="auto" w:fill="FFFFFF"/>
        </w:rPr>
        <w:t>，主要原因是人员增加，相应的增加了医疗保险等费用。</w:t>
      </w:r>
    </w:p>
    <w:p>
      <w:pPr>
        <w:keepNext w:val="0"/>
        <w:keepLines w:val="0"/>
        <w:pageBreakBefore w:val="0"/>
        <w:widowControl/>
        <w:kinsoku/>
        <w:wordWrap/>
        <w:overflowPunct/>
        <w:topLinePunct w:val="0"/>
        <w:autoSpaceDN/>
        <w:bidi w:val="0"/>
        <w:adjustRightInd w:val="0"/>
        <w:snapToGrid w:val="0"/>
        <w:spacing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44.39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较年初预算数增加25.57万元，增长135.9%</w:t>
      </w:r>
      <w:r>
        <w:rPr>
          <w:rFonts w:ascii="方正仿宋_GBK" w:hAnsi="方正仿宋_GBK" w:eastAsia="方正仿宋_GBK" w:cs="方正仿宋_GBK"/>
          <w:sz w:val="32"/>
          <w:szCs w:val="32"/>
          <w:shd w:val="clear" w:color="auto" w:fill="FFFFFF"/>
        </w:rPr>
        <w:t>，主要原因是人员增加，相应的增加了住房公积金等费用。</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Style w:val="12"/>
          <w:rFonts w:hint="default" w:ascii="Times New Roman" w:hAnsi="Times New Roman" w:eastAsia="方正仿宋_GBK"/>
          <w:sz w:val="32"/>
          <w:szCs w:val="32"/>
          <w:shd w:val="clear" w:color="auto" w:fill="FFFFFF"/>
        </w:rPr>
        <w:t>3</w:t>
      </w:r>
      <w:r>
        <w:rPr>
          <w:rStyle w:val="12"/>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（四）一般公共预算财政拨款基本支出决算情况说明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790.40</w:t>
      </w:r>
      <w:r>
        <w:rPr>
          <w:rFonts w:ascii="方正仿宋_GBK" w:hAnsi="方正仿宋_GBK" w:eastAsia="方正仿宋_GBK" w:cs="方正仿宋_GBK"/>
          <w:sz w:val="32"/>
          <w:szCs w:val="32"/>
          <w:shd w:val="clear" w:color="auto" w:fill="FFFFFF"/>
        </w:rPr>
        <w:t>万元。其中：</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656.89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与2023年度相比，减少2.65万元，下降0.4%</w:t>
      </w:r>
      <w:r>
        <w:rPr>
          <w:rFonts w:ascii="方正仿宋_GBK" w:hAnsi="方正仿宋_GBK" w:eastAsia="方正仿宋_GBK" w:cs="方正仿宋_GBK"/>
          <w:sz w:val="32"/>
          <w:szCs w:val="32"/>
          <w:shd w:val="clear" w:color="auto" w:fill="FFFFFF"/>
        </w:rPr>
        <w:t>，主要原因是2024年度有人员调动退休等。人员经费用途主要包括基本工资、津贴补贴等支出。</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133.52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与2023年度相比，增加34.20万元，增长34.4%</w:t>
      </w:r>
      <w:r>
        <w:rPr>
          <w:rFonts w:ascii="Times New Roman" w:hAnsi="Times New Roman" w:eastAsia="方正仿宋_GBK"/>
          <w:sz w:val="32"/>
          <w:szCs w:val="32"/>
          <w:shd w:val="clear" w:color="auto" w:fill="FFFFFF"/>
        </w:rPr>
        <w:t>，主要原因是人员变动后公用经费相应变动。</w:t>
      </w:r>
      <w:r>
        <w:rPr>
          <w:rFonts w:ascii="方正仿宋_GBK" w:hAnsi="方正仿宋_GBK" w:eastAsia="方正仿宋_GBK" w:cs="方正仿宋_GBK"/>
          <w:sz w:val="32"/>
          <w:szCs w:val="32"/>
          <w:shd w:val="clear" w:color="auto" w:fill="FFFFFF"/>
        </w:rPr>
        <w:t>公用经费用途主要包括办公费、邮电费、手续费等支出。</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（五）政府性基金预算收支决算情况说明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147.44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与2023年度相比，减少29.48万元，下降16.7%</w:t>
      </w:r>
      <w:r>
        <w:rPr>
          <w:rFonts w:ascii="Times New Roman" w:hAnsi="Times New Roman" w:eastAsia="方正仿宋_GBK"/>
          <w:sz w:val="32"/>
          <w:szCs w:val="32"/>
          <w:shd w:val="clear" w:color="auto" w:fill="FFFFFF"/>
        </w:rPr>
        <w:t>，主要原因是护理型床位采购项目资金为2023年一次性项目资金，2024年无该项目资金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147.44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与2023年度相比，减少29.94万元，下降16.9%</w:t>
      </w:r>
      <w:r>
        <w:rPr>
          <w:rFonts w:ascii="Times New Roman" w:hAnsi="Times New Roman" w:eastAsia="方正仿宋_GBK"/>
          <w:sz w:val="32"/>
          <w:szCs w:val="32"/>
          <w:shd w:val="clear" w:color="auto" w:fill="FFFFFF"/>
        </w:rPr>
        <w:t>，主要原因是护理型床位采购项目资金为2023年一次性项目资金，2024年无该项目资金</w:t>
      </w:r>
      <w:r>
        <w:rPr>
          <w:rFonts w:ascii="方正仿宋_GBK" w:hAnsi="方正仿宋_GBK" w:eastAsia="方正仿宋_GBK" w:cs="方正仿宋_GBK"/>
          <w:sz w:val="32"/>
          <w:szCs w:val="32"/>
          <w:shd w:val="clear" w:color="auto" w:fill="FFFFFF"/>
        </w:rPr>
        <w:t>。</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（六）国有资本经营预算财政拨款支出决算情况说明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pStyle w:val="10"/>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60" w:lineRule="exact"/>
        <w:ind w:firstLine="640" w:firstLineChars="200"/>
        <w:textAlignment w:val="auto"/>
        <w:outlineLvl w:val="9"/>
        <w:rPr>
          <w:rStyle w:val="12"/>
          <w:rFonts w:hint="default" w:ascii="黑体" w:hAnsi="黑体" w:eastAsia="黑体" w:cs="黑体"/>
          <w:b w:val="0"/>
          <w:bCs/>
          <w:sz w:val="32"/>
          <w:szCs w:val="32"/>
          <w:shd w:val="clear" w:color="auto" w:fill="FFFFFF"/>
        </w:rPr>
      </w:pPr>
      <w:r>
        <w:rPr>
          <w:rStyle w:val="12"/>
          <w:rFonts w:ascii="黑体" w:hAnsi="黑体" w:eastAsia="黑体" w:cs="黑体"/>
          <w:b w:val="0"/>
          <w:bCs/>
          <w:sz w:val="32"/>
          <w:szCs w:val="32"/>
          <w:shd w:val="clear" w:color="auto" w:fill="FFFFFF"/>
        </w:rPr>
        <w:t>三、财政拨款“三公”经费情况说明</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（一）“三公”经费支出总体情况说明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4.79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较年初预算数减少2.01万元，下降29.6%</w:t>
      </w:r>
      <w:r>
        <w:rPr>
          <w:rFonts w:ascii="方正仿宋_GBK" w:hAnsi="方正仿宋_GBK" w:eastAsia="方正仿宋_GBK" w:cs="方正仿宋_GBK"/>
          <w:sz w:val="32"/>
          <w:szCs w:val="32"/>
          <w:shd w:val="clear" w:color="auto" w:fill="FFFFFF"/>
        </w:rPr>
        <w:t>，主要原因是严格落实中央八项规定精神、严格落实厉行节约等。</w:t>
      </w:r>
      <w:r>
        <w:rPr>
          <w:rFonts w:hint="default" w:ascii="Times New Roman" w:hAnsi="Times New Roman" w:eastAsia="方正仿宋_GBK"/>
          <w:sz w:val="32"/>
          <w:szCs w:val="32"/>
          <w:shd w:val="clear" w:color="auto" w:fill="FFFFFF"/>
        </w:rPr>
        <w:t>较上年支出数减少24.65万元，下降83.7%</w:t>
      </w:r>
      <w:r>
        <w:rPr>
          <w:rFonts w:ascii="方正仿宋_GBK" w:hAnsi="方正仿宋_GBK" w:eastAsia="方正仿宋_GBK" w:cs="方正仿宋_GBK"/>
          <w:sz w:val="32"/>
          <w:szCs w:val="32"/>
          <w:shd w:val="clear" w:color="auto" w:fill="FFFFFF"/>
        </w:rPr>
        <w:t>，主要原因是2023年度有购置公务用车、2024年未购置公务用车。</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（二）“三公”经费分项支出情况</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ascii="Times New Roman" w:hAnsi="Times New Roman" w:eastAsia="方正仿宋_GBK"/>
          <w:sz w:val="32"/>
          <w:szCs w:val="32"/>
          <w:shd w:val="clear" w:color="auto" w:fill="FFFFFF"/>
        </w:rPr>
        <w:t>与</w:t>
      </w:r>
      <w:r>
        <w:rPr>
          <w:rFonts w:hint="default" w:ascii="Times New Roman" w:hAnsi="Times New Roman" w:eastAsia="方正仿宋_GBK"/>
          <w:sz w:val="32"/>
          <w:szCs w:val="32"/>
          <w:shd w:val="clear" w:color="auto" w:fill="FFFFFF"/>
        </w:rPr>
        <w:t>年初预算数</w:t>
      </w:r>
      <w:r>
        <w:rPr>
          <w:rFonts w:ascii="Times New Roman" w:hAnsi="Times New Roman" w:eastAsia="方正仿宋_GBK"/>
          <w:sz w:val="32"/>
          <w:szCs w:val="32"/>
          <w:shd w:val="clear" w:color="auto" w:fill="FFFFFF"/>
        </w:rPr>
        <w:t>持平</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较上年支出数减少25.50万元，下降100.0%</w:t>
      </w:r>
      <w:r>
        <w:rPr>
          <w:rFonts w:ascii="方正仿宋_GBK" w:hAnsi="方正仿宋_GBK" w:eastAsia="方正仿宋_GBK" w:cs="方正仿宋_GBK"/>
          <w:sz w:val="32"/>
          <w:szCs w:val="32"/>
          <w:shd w:val="clear" w:color="auto" w:fill="FFFFFF"/>
        </w:rPr>
        <w:t>，主要原因是2023年度有购置公务用车、2024年未购置公务用车。</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2.30</w:t>
      </w:r>
      <w:r>
        <w:rPr>
          <w:rFonts w:ascii="方正仿宋_GBK" w:hAnsi="方正仿宋_GBK" w:eastAsia="方正仿宋_GBK" w:cs="方正仿宋_GBK"/>
          <w:sz w:val="32"/>
          <w:szCs w:val="32"/>
          <w:shd w:val="clear" w:color="auto" w:fill="FFFFFF"/>
        </w:rPr>
        <w:t>万元，主要用于保障救助管理站流浪救助专用车辆的运行、维护等方面。费用支出</w:t>
      </w:r>
      <w:r>
        <w:rPr>
          <w:rFonts w:hint="default" w:ascii="Times New Roman" w:hAnsi="Times New Roman" w:eastAsia="方正仿宋_GBK"/>
          <w:sz w:val="32"/>
          <w:szCs w:val="32"/>
          <w:shd w:val="clear" w:color="auto" w:fill="FFFFFF"/>
        </w:rPr>
        <w:t>较年初预算数减少0.40万元，下降14.8%</w:t>
      </w:r>
      <w:r>
        <w:rPr>
          <w:rFonts w:ascii="方正仿宋_GBK" w:hAnsi="方正仿宋_GBK" w:eastAsia="方正仿宋_GBK" w:cs="方正仿宋_GBK"/>
          <w:sz w:val="32"/>
          <w:szCs w:val="32"/>
          <w:shd w:val="clear" w:color="auto" w:fill="FFFFFF"/>
        </w:rPr>
        <w:t>，主要原因是严格落实中央八项规定精神、严格落实厉行节约等，</w:t>
      </w:r>
      <w:r>
        <w:rPr>
          <w:rFonts w:hint="default" w:ascii="方正仿宋_GBK" w:hAnsi="方正仿宋_GBK" w:eastAsia="方正仿宋_GBK" w:cs="方正仿宋_GBK"/>
          <w:sz w:val="32"/>
          <w:szCs w:val="32"/>
          <w:shd w:val="clear" w:color="auto" w:fill="FFFFFF"/>
        </w:rPr>
        <w:t>较</w:t>
      </w:r>
      <w:r>
        <w:rPr>
          <w:rFonts w:hint="default" w:ascii="Times New Roman" w:hAnsi="Times New Roman" w:eastAsia="方正仿宋_GBK"/>
          <w:sz w:val="32"/>
          <w:szCs w:val="32"/>
          <w:shd w:val="clear" w:color="auto" w:fill="FFFFFF"/>
        </w:rPr>
        <w:t>上年支出数增加1.46万元，增长173.8%</w:t>
      </w:r>
      <w:r>
        <w:rPr>
          <w:rFonts w:ascii="方正仿宋_GBK" w:hAnsi="方正仿宋_GBK" w:eastAsia="方正仿宋_GBK" w:cs="方正仿宋_GBK"/>
          <w:sz w:val="32"/>
          <w:szCs w:val="32"/>
          <w:shd w:val="clear" w:color="auto" w:fill="FFFFFF"/>
        </w:rPr>
        <w:t>，主要原因</w:t>
      </w:r>
      <w:r>
        <w:rPr>
          <w:rFonts w:ascii="仿宋_GB2312" w:hAnsi="仿宋" w:eastAsia="仿宋_GB2312"/>
          <w:sz w:val="32"/>
          <w:szCs w:val="32"/>
        </w:rPr>
        <w:t>是2023年度原车辆再报废重新购置新车，运行费较少，2024年为新车正常运行。</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2.49</w:t>
      </w:r>
      <w:r>
        <w:rPr>
          <w:rFonts w:ascii="方正仿宋_GBK" w:hAnsi="方正仿宋_GBK" w:eastAsia="方正仿宋_GBK" w:cs="方正仿宋_GBK"/>
          <w:sz w:val="32"/>
          <w:szCs w:val="32"/>
          <w:shd w:val="clear" w:color="auto" w:fill="FFFFFF"/>
        </w:rPr>
        <w:t>万元，主要用于接待接待上级单位及其他区县来丰检查调研工作等。费用支出</w:t>
      </w:r>
      <w:r>
        <w:rPr>
          <w:rFonts w:hint="default" w:ascii="Times New Roman" w:hAnsi="Times New Roman" w:eastAsia="方正仿宋_GBK"/>
          <w:sz w:val="32"/>
          <w:szCs w:val="32"/>
          <w:shd w:val="clear" w:color="auto" w:fill="FFFFFF"/>
        </w:rPr>
        <w:t>较年初预算数减少1.61万元，下降39.3%</w:t>
      </w:r>
      <w:r>
        <w:rPr>
          <w:rFonts w:ascii="方正仿宋_GBK" w:hAnsi="方正仿宋_GBK" w:eastAsia="方正仿宋_GBK" w:cs="方正仿宋_GBK"/>
          <w:sz w:val="32"/>
          <w:szCs w:val="32"/>
          <w:shd w:val="clear" w:color="auto" w:fill="FFFFFF"/>
        </w:rPr>
        <w:t>，主要原因是严格落实中央八项规定精神、严格落实厉行节约等。</w:t>
      </w:r>
      <w:r>
        <w:rPr>
          <w:rFonts w:hint="default" w:ascii="方正仿宋_GBK" w:hAnsi="方正仿宋_GBK" w:eastAsia="方正仿宋_GBK" w:cs="方正仿宋_GBK"/>
          <w:sz w:val="32"/>
          <w:szCs w:val="32"/>
          <w:shd w:val="clear" w:color="auto" w:fill="FFFFFF"/>
        </w:rPr>
        <w:t>较</w:t>
      </w:r>
      <w:r>
        <w:rPr>
          <w:rFonts w:hint="default" w:ascii="Times New Roman" w:hAnsi="Times New Roman" w:eastAsia="方正仿宋_GBK"/>
          <w:sz w:val="32"/>
          <w:szCs w:val="32"/>
          <w:shd w:val="clear" w:color="auto" w:fill="FFFFFF"/>
        </w:rPr>
        <w:t>上年支出数减少0.61万元，下降19.7%</w:t>
      </w:r>
      <w:r>
        <w:rPr>
          <w:rFonts w:ascii="方正仿宋_GBK" w:hAnsi="方正仿宋_GBK" w:eastAsia="方正仿宋_GBK" w:cs="方正仿宋_GBK"/>
          <w:sz w:val="32"/>
          <w:szCs w:val="32"/>
          <w:shd w:val="clear" w:color="auto" w:fill="FFFFFF"/>
        </w:rPr>
        <w:t>，主要原因是其他区县来丰考察学习较上年减少。</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（三）“三公”经费实物量情况</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272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91.44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2.30</w:t>
      </w:r>
      <w:r>
        <w:rPr>
          <w:rFonts w:ascii="方正仿宋_GBK" w:hAnsi="方正仿宋_GBK" w:eastAsia="方正仿宋_GBK" w:cs="方正仿宋_GBK"/>
          <w:sz w:val="32"/>
          <w:szCs w:val="32"/>
          <w:shd w:val="clear" w:color="auto" w:fill="FFFFFF"/>
        </w:rPr>
        <w:t>万元。</w:t>
      </w:r>
    </w:p>
    <w:p>
      <w:pPr>
        <w:pStyle w:val="10"/>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60" w:lineRule="exact"/>
        <w:ind w:firstLine="640" w:firstLineChars="200"/>
        <w:textAlignment w:val="auto"/>
        <w:outlineLvl w:val="9"/>
        <w:rPr>
          <w:rStyle w:val="12"/>
          <w:rFonts w:hint="default" w:ascii="黑体" w:hAnsi="黑体" w:eastAsia="黑体" w:cs="黑体"/>
          <w:b w:val="0"/>
          <w:bCs/>
          <w:sz w:val="32"/>
          <w:szCs w:val="32"/>
          <w:shd w:val="clear" w:color="auto" w:fill="FFFFFF"/>
        </w:rPr>
      </w:pPr>
      <w:r>
        <w:rPr>
          <w:rStyle w:val="12"/>
          <w:rFonts w:ascii="黑体" w:hAnsi="黑体" w:eastAsia="黑体" w:cs="黑体"/>
          <w:b w:val="0"/>
          <w:bCs/>
          <w:sz w:val="32"/>
          <w:szCs w:val="32"/>
          <w:shd w:val="clear" w:color="auto" w:fill="FFFFFF"/>
        </w:rPr>
        <w:t>四、其他需要说明的事项</w:t>
      </w:r>
    </w:p>
    <w:p>
      <w:pPr>
        <w:pStyle w:val="10"/>
        <w:keepNext w:val="0"/>
        <w:keepLines w:val="0"/>
        <w:pageBreakBefore w:val="0"/>
        <w:widowControl/>
        <w:shd w:val="clear" w:color="auto" w:fill="FFFFFF"/>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楷体" w:hAnsi="楷体" w:eastAsia="楷体" w:cs="楷体"/>
          <w:bCs/>
          <w:sz w:val="32"/>
          <w:szCs w:val="32"/>
          <w:shd w:val="clear" w:color="auto" w:fill="FFFFFF"/>
        </w:rPr>
      </w:pPr>
      <w:r>
        <w:rPr>
          <w:rFonts w:ascii="楷体" w:hAnsi="楷体" w:eastAsia="楷体" w:cs="楷体"/>
          <w:bCs/>
          <w:sz w:val="32"/>
          <w:szCs w:val="32"/>
          <w:shd w:val="clear" w:color="auto" w:fill="FFFFFF"/>
        </w:rPr>
        <w:t>（一）财政拨款会议费、培训费和差旅费情况说明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20.89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与2023年度相比，减少0.90万元，下降4.1%</w:t>
      </w:r>
      <w:r>
        <w:rPr>
          <w:rFonts w:ascii="方正仿宋_GBK" w:hAnsi="方正仿宋_GBK" w:eastAsia="方正仿宋_GBK" w:cs="方正仿宋_GBK"/>
          <w:sz w:val="32"/>
          <w:szCs w:val="32"/>
          <w:shd w:val="clear" w:color="auto" w:fill="FFFFFF"/>
        </w:rPr>
        <w:t>，主要原因是严格执行各类财经纪律，严格审批出差次数、天数等。</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（二）机关运行经费情况说明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133.52</w:t>
      </w:r>
      <w:r>
        <w:rPr>
          <w:rFonts w:ascii="方正仿宋_GBK" w:hAnsi="方正仿宋_GBK" w:eastAsia="方正仿宋_GBK" w:cs="方正仿宋_GBK"/>
          <w:sz w:val="32"/>
          <w:szCs w:val="32"/>
          <w:shd w:val="clear" w:color="auto" w:fill="FFFFFF"/>
        </w:rPr>
        <w:t>万元，机关运行经费主要用于开支购买货物和服务等的各项公用经费，包括办公费及印刷费、邮电费、差旅费、会议费、福利费、日常维护费、一般设备购置费、办公用房水电费、办公用房物业管理费、公务用车运行维护费等。机关运行经费</w:t>
      </w:r>
      <w:r>
        <w:rPr>
          <w:rFonts w:hint="default" w:ascii="Times New Roman" w:hAnsi="Times New Roman" w:eastAsia="方正仿宋_GBK"/>
          <w:sz w:val="32"/>
          <w:szCs w:val="32"/>
          <w:shd w:val="clear" w:color="auto" w:fill="FFFFFF"/>
        </w:rPr>
        <w:t>较上年支出数增加34.20万元，增长34.4%</w:t>
      </w:r>
      <w:r>
        <w:rPr>
          <w:rFonts w:ascii="Times New Roman" w:hAnsi="Times New Roman" w:eastAsia="方正仿宋_GBK"/>
          <w:sz w:val="32"/>
          <w:szCs w:val="32"/>
          <w:shd w:val="clear" w:color="auto" w:fill="FFFFFF"/>
        </w:rPr>
        <w:t>，主要原因是人员变动后，增加了设备购置等办公经费</w:t>
      </w:r>
      <w:r>
        <w:rPr>
          <w:rFonts w:ascii="方正仿宋_GBK" w:hAnsi="方正仿宋_GBK" w:eastAsia="方正仿宋_GBK" w:cs="方正仿宋_GBK"/>
          <w:sz w:val="32"/>
          <w:szCs w:val="32"/>
          <w:shd w:val="clear" w:color="auto" w:fill="FFFFFF"/>
        </w:rPr>
        <w:t>。</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（三）国有资产占用情况说明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（四）政府采购支出情况说明</w:t>
      </w:r>
    </w:p>
    <w:p>
      <w:pPr>
        <w:pStyle w:val="10"/>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797.35</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5.35</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792.00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796.70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99.9%</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4.70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0.6 %</w:t>
      </w:r>
      <w:r>
        <w:rPr>
          <w:rFonts w:ascii="方正仿宋_GBK" w:hAnsi="方正仿宋_GBK" w:eastAsia="方正仿宋_GBK" w:cs="方正仿宋_GBK"/>
          <w:sz w:val="32"/>
          <w:szCs w:val="32"/>
          <w:shd w:val="clear" w:color="auto" w:fill="FFFFFF"/>
        </w:rPr>
        <w:t>。主要用于采购全县分散供养特困人员照料护理服务、采购电脑打印机等。</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textAlignment w:val="auto"/>
        <w:outlineLvl w:val="9"/>
        <w:rPr>
          <w:rStyle w:val="12"/>
          <w:rFonts w:ascii="黑体" w:hAnsi="黑体" w:eastAsia="黑体" w:cs="黑体"/>
          <w:b w:val="0"/>
          <w:bCs/>
          <w:sz w:val="32"/>
          <w:szCs w:val="32"/>
          <w:shd w:val="clear" w:color="auto" w:fill="FFFFFF"/>
        </w:rPr>
      </w:pPr>
      <w:r>
        <w:rPr>
          <w:rStyle w:val="12"/>
          <w:rFonts w:hint="eastAsia" w:ascii="黑体" w:hAnsi="黑体" w:eastAsia="黑体" w:cs="黑体"/>
          <w:b w:val="0"/>
          <w:bCs/>
          <w:sz w:val="32"/>
          <w:szCs w:val="32"/>
          <w:shd w:val="clear" w:color="auto" w:fill="FFFFFF"/>
        </w:rPr>
        <w:t>五、2024年度预算绩效管理情况说明</w:t>
      </w:r>
    </w:p>
    <w:p>
      <w:pPr>
        <w:pStyle w:val="1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60" w:lineRule="exact"/>
        <w:ind w:firstLine="640" w:firstLineChars="200"/>
        <w:textAlignment w:val="auto"/>
        <w:outlineLvl w:val="9"/>
        <w:rPr>
          <w:rFonts w:ascii="方正仿宋_GBK" w:hAnsi="方正仿宋_GBK" w:eastAsia="方正仿宋_GBK" w:cs="方正仿宋_GBK"/>
          <w:sz w:val="32"/>
          <w:szCs w:val="32"/>
          <w:shd w:val="clear" w:color="auto" w:fill="FFFFFF"/>
        </w:rPr>
      </w:pPr>
      <w:r>
        <w:rPr>
          <w:rFonts w:hint="eastAsia" w:ascii="楷体" w:hAnsi="楷体" w:eastAsia="楷体" w:cs="楷体"/>
          <w:sz w:val="32"/>
          <w:szCs w:val="32"/>
          <w:shd w:val="clear" w:color="auto" w:fill="FFFFFF"/>
        </w:rPr>
        <w:t>（一）单位自评情况</w:t>
      </w:r>
    </w:p>
    <w:p>
      <w:pPr>
        <w:pStyle w:val="1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60" w:lineRule="exact"/>
        <w:ind w:firstLine="640" w:firstLineChars="200"/>
        <w:textAlignment w:val="auto"/>
        <w:outlineLvl w:val="9"/>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37</w:t>
      </w:r>
      <w:r>
        <w:rPr>
          <w:rFonts w:hint="eastAsia" w:ascii="方正仿宋_GBK" w:hAnsi="方正仿宋_GBK" w:eastAsia="方正仿宋_GBK" w:cs="方正仿宋_GBK"/>
          <w:sz w:val="32"/>
          <w:szCs w:val="32"/>
          <w:shd w:val="clear" w:color="auto" w:fill="FFFFFF"/>
        </w:rPr>
        <w:t>个二级项目开展了绩效自评，涉及财政拨款项目支出资金2</w:t>
      </w:r>
      <w:r>
        <w:rPr>
          <w:rFonts w:hint="eastAsia" w:ascii="方正仿宋_GBK" w:hAnsi="方正仿宋_GBK" w:eastAsia="方正仿宋_GBK" w:cs="方正仿宋_GBK"/>
          <w:sz w:val="32"/>
          <w:szCs w:val="32"/>
          <w:shd w:val="clear" w:color="auto" w:fill="FFFFFF"/>
          <w:lang w:val="en-US" w:eastAsia="zh-CN"/>
        </w:rPr>
        <w:t>5657.55</w:t>
      </w:r>
      <w:bookmarkStart w:id="0" w:name="_GoBack"/>
      <w:bookmarkEnd w:id="0"/>
      <w:r>
        <w:rPr>
          <w:rFonts w:hint="eastAsia" w:ascii="方正仿宋_GBK" w:hAnsi="方正仿宋_GBK" w:eastAsia="方正仿宋_GBK" w:cs="方正仿宋_GBK"/>
          <w:sz w:val="32"/>
          <w:szCs w:val="32"/>
          <w:shd w:val="clear" w:color="auto" w:fill="FFFFFF"/>
        </w:rPr>
        <w:t>万元。绩效自评见附件。</w:t>
      </w:r>
    </w:p>
    <w:p>
      <w:pPr>
        <w:pStyle w:val="1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60" w:lineRule="exact"/>
        <w:ind w:firstLine="640" w:firstLineChars="200"/>
        <w:textAlignment w:val="auto"/>
        <w:outlineLvl w:val="9"/>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w:t>
      </w:r>
      <w:r>
        <w:rPr>
          <w:rFonts w:hint="eastAsia" w:ascii="楷体" w:hAnsi="楷体" w:eastAsia="楷体" w:cs="楷体"/>
          <w:sz w:val="32"/>
          <w:szCs w:val="32"/>
          <w:shd w:val="clear" w:color="auto" w:fill="FFFFFF"/>
          <w:lang w:eastAsia="zh-CN"/>
        </w:rPr>
        <w:t>单位</w:t>
      </w:r>
      <w:r>
        <w:rPr>
          <w:rFonts w:hint="eastAsia" w:ascii="楷体" w:hAnsi="楷体" w:eastAsia="楷体" w:cs="楷体"/>
          <w:sz w:val="32"/>
          <w:szCs w:val="32"/>
          <w:shd w:val="clear" w:color="auto" w:fill="FFFFFF"/>
        </w:rPr>
        <w:t>绩效评价情况</w:t>
      </w:r>
    </w:p>
    <w:p>
      <w:pPr>
        <w:pStyle w:val="20"/>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pPr>
        <w:pStyle w:val="20"/>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hint="default" w:ascii="方正仿宋_GBK" w:hAnsi="方正仿宋_GBK" w:eastAsia="方正仿宋_GBK" w:cs="方正仿宋_GBK"/>
          <w:sz w:val="32"/>
          <w:szCs w:val="32"/>
          <w:shd w:val="clear" w:color="auto" w:fill="FFFFFF"/>
        </w:rPr>
      </w:pPr>
      <w:r>
        <w:rPr>
          <w:rFonts w:ascii="楷体" w:hAnsi="楷体" w:eastAsia="楷体" w:cs="楷体"/>
          <w:sz w:val="32"/>
          <w:szCs w:val="32"/>
          <w:shd w:val="clear" w:color="auto" w:fill="FFFFFF"/>
        </w:rPr>
        <w:t>（三）财政绩效评价情况</w:t>
      </w:r>
    </w:p>
    <w:p>
      <w:pPr>
        <w:pStyle w:val="20"/>
        <w:keepNext w:val="0"/>
        <w:keepLines w:val="0"/>
        <w:pageBreakBefore w:val="0"/>
        <w:widowControl/>
        <w:kinsoku/>
        <w:wordWrap/>
        <w:overflowPunct/>
        <w:topLinePunct w:val="0"/>
        <w:autoSpaceDE w:val="0"/>
        <w:autoSpaceDN/>
        <w:bidi w:val="0"/>
        <w:adjustRightInd w:val="0"/>
        <w:snapToGrid w:val="0"/>
        <w:spacing w:line="560" w:lineRule="exact"/>
        <w:ind w:firstLine="640"/>
        <w:textAlignment w:val="auto"/>
        <w:outlineLvl w:val="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6"/>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60" w:lineRule="exact"/>
        <w:textAlignment w:val="auto"/>
        <w:outlineLvl w:val="9"/>
        <w:rPr>
          <w:rFonts w:ascii="方正仿宋_GBK" w:hAnsi="方正仿宋_GBK" w:eastAsia="方正仿宋_GBK" w:cs="方正仿宋_GBK"/>
          <w:bCs/>
          <w:sz w:val="32"/>
          <w:szCs w:val="32"/>
        </w:rPr>
      </w:pPr>
      <w:r>
        <w:rPr>
          <w:rStyle w:val="12"/>
          <w:rFonts w:hint="eastAsia" w:ascii="黑体" w:hAnsi="黑体" w:eastAsia="黑体" w:cs="黑体"/>
          <w:b w:val="0"/>
          <w:bCs/>
          <w:sz w:val="32"/>
          <w:szCs w:val="32"/>
          <w:shd w:val="clear" w:color="auto" w:fill="FFFFFF"/>
        </w:rPr>
        <w:t xml:space="preserve"> 六、专业名词解释</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3" w:firstLineChars="200"/>
        <w:textAlignment w:val="auto"/>
        <w:outlineLvl w:val="9"/>
        <w:rPr>
          <w:rFonts w:ascii="方正仿宋_GBK" w:hAnsi="方正仿宋_GBK" w:eastAsia="方正仿宋_GBK" w:cs="方正仿宋_GBK"/>
          <w:sz w:val="32"/>
          <w:szCs w:val="32"/>
        </w:rPr>
      </w:pPr>
      <w:r>
        <w:rPr>
          <w:rStyle w:val="12"/>
          <w:rFonts w:hint="eastAsia" w:ascii="黑体" w:hAnsi="黑体" w:eastAsia="黑体" w:cs="黑体"/>
          <w:sz w:val="32"/>
          <w:szCs w:val="32"/>
          <w:shd w:val="clear" w:color="auto" w:fill="FFFFFF"/>
        </w:rPr>
        <w:t>七、决算公开联系方式及信息反馈渠道</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6"/>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textAlignment w:val="auto"/>
        <w:outlineLvl w:val="9"/>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王小华   023-70605276</w:t>
      </w:r>
    </w:p>
    <w:p>
      <w:pPr>
        <w:pStyle w:val="15"/>
        <w:keepNext w:val="0"/>
        <w:keepLines w:val="0"/>
        <w:pageBreakBefore w:val="0"/>
        <w:widowControl/>
        <w:kinsoku/>
        <w:wordWrap/>
        <w:overflowPunct/>
        <w:topLinePunct w:val="0"/>
        <w:autoSpaceDE w:val="0"/>
        <w:autoSpaceDN/>
        <w:bidi w:val="0"/>
        <w:adjustRightInd w:val="0"/>
        <w:snapToGrid w:val="0"/>
        <w:spacing w:line="560" w:lineRule="exact"/>
        <w:ind w:firstLine="643"/>
        <w:jc w:val="both"/>
        <w:textAlignment w:val="auto"/>
        <w:outlineLvl w:val="9"/>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3"/>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丰都县民政局（本级）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27,147.54</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147.44</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27,120.11</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43.62</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44.39</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140.69</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27,294.98</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27,355.56</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60.58</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27,355.56</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27,355.56</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3"/>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丰都县民政局（本级）</w:t>
            </w:r>
          </w:p>
        </w:tc>
        <w:tc>
          <w:tcPr>
            <w:tcW w:w="144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27,294.98</w:t>
            </w:r>
          </w:p>
        </w:tc>
        <w:tc>
          <w:tcPr>
            <w:tcW w:w="1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27,294.98</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3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27,059.53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27,059.53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887.14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887.14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273.60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273.60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168.40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168.40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1,731.19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1,731.19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1,077.90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1,077.90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1,708.93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1,708.93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1,692.31</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1,692.31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14,267.30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14,267.30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3,780.92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3,780.92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10,486.37</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10,486.37</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1,429.29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1,429.29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1,416.70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1,416.70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5,147.69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5,147.69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1,262.25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1,262.25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3,885.44</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3,885.44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1,719.60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1,719.60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313.98</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313.98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1,405.62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1,405.62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15.32</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15.32</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140.69</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118.20</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118.20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p>
        </w:tc>
        <w:tc>
          <w:tcPr>
            <w:tcW w:w="1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3"/>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丰都县民政局（本级）</w:t>
            </w:r>
          </w:p>
        </w:tc>
        <w:tc>
          <w:tcPr>
            <w:tcW w:w="17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27,355.56</w:t>
            </w:r>
          </w:p>
        </w:tc>
        <w:tc>
          <w:tcPr>
            <w:tcW w:w="17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790.40</w:t>
            </w:r>
          </w:p>
        </w:tc>
        <w:tc>
          <w:tcPr>
            <w:tcW w:w="16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26,565.15</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27,120.11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702.40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26,417.71</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906.12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372.12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292.58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168.40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168.40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1,772.79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1,772.79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643.65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1,077.90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1,077.90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1,708.93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1,708.93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1,692.31</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1,692.31</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14,267.30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14,267.30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3,780.92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3,780.92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10,486.37</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10,486.37</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1,429.29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1,429.29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1,416.70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1,416.70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5,147.69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5,147.69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1,262.25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1,262.25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3,885.44</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3,885.44</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1,719.60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1,719.60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313.98</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313.98</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1,405.62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1,405.62</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15.32</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140.69</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140.69</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118.20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118.20</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13.73</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3"/>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丰都县民政局（本级）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27,147.54</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147.44</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27,120.11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27,120.11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140.69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140.69</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27,294.98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27,355.56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27,208.12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147.44</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60.58</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27,355.56</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27,355.56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27,208.12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147.44</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丰都县民政局（本级）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27,208.12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790.40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26,417.71</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27,120.11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702.40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26,417.71</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906.12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534.00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372.12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534.00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292.58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168.40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168.40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53.28</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25.51</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1,772.79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1,772.79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643.65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643.65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1,077.90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1,077.90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1,708.93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1,708.93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1,692.31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1,692.31</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16.63</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16.63</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14,267.30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14,267.30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3,780.92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3,780.92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10,486.37</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10,486.37</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1,429.29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1,429.29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1,416.70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1,416.70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5,147.69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5,147.69</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1,262.25</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1,262.25</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3,885.44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3,885.44</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1,719.60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1,719.60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313.98</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313.98</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1,405.62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1,405.62</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28.30</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28.30</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15.32</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44.39</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44.39</w:t>
            </w:r>
          </w:p>
        </w:tc>
        <w:tc>
          <w:tcPr>
            <w:tcW w:w="3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3"/>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丰都县民政局（本级）</w:t>
            </w: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563.19</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128.17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136.30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88.02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5.35</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166.17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55.60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44.39</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93.70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63.18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33.19</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21.30</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656.89</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133.52</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丰都县民政局（本级）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147.44</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147.44</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147.44</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140.69</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140.69</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140.69</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140.69</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140.69</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140.69</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118.20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118.20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118.20</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2296006</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13.73</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丰都县民政局（本级）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3"/>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丰都县民政局（本级）</w:t>
            </w:r>
          </w:p>
        </w:tc>
        <w:tc>
          <w:tcPr>
            <w:tcW w:w="23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133.52</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4.79</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133.52</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2.30</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2.30</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2.30</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2.30</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797.35</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5.35</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272</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792.00</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796.70</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4.70</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20.89</w:t>
            </w:r>
          </w:p>
        </w:tc>
        <w:tc>
          <w:tcPr>
            <w:tcW w:w="36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7"/>
                  <w:rPr>
                    <w:rFonts w:hint="default"/>
                  </w:rPr>
                </w:pPr>
                <w:r>
                  <w:rPr>
                    <w:rFonts w:hint="default"/>
                  </w:rPr>
                  <w:fldChar w:fldCharType="begin"/>
                </w:r>
                <w:r>
                  <w:instrText xml:space="preserve"> PAGE  \* MERGEFORMAT </w:instrText>
                </w:r>
                <w:r>
                  <w:rPr>
                    <w:rFonts w:hint="default"/>
                  </w:rPr>
                  <w:fldChar w:fldCharType="separate"/>
                </w:r>
                <w:r>
                  <w:rPr>
                    <w:rFonts w:hint="default"/>
                  </w:rPr>
                  <w:t>- 12 -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4384;mso-width-relative:page;mso-height-relative:page;" filled="f" stroked="f" coordsize="21600,21600" o:allowoverlap="f">
          <v:path/>
          <v:fill on="f" focussize="0,0"/>
          <v:stroke on="f" weight="0.5pt" joinstyle="miter"/>
          <v:imagedata o:title=""/>
          <o:lock v:ext="edit"/>
          <v:textbox inset="0mm,0mm,0mm,0mm" style="mso-fit-shape-to-text:t;">
            <w:txbxContent>
              <w:p>
                <w:pPr>
                  <w:pStyle w:val="7"/>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25 -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v:path/>
          <v:fill on="f" focussize="0,0"/>
          <v:stroke on="f" weight="0.5pt" joinstyle="miter"/>
          <v:imagedata o:title=""/>
          <o:lock v:ext="edit"/>
          <v:textbox inset="0mm,0mm,0mm,0mm">
            <w:txbxContent>
              <w:p>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52227"/>
    <w:rsid w:val="001D3BB7"/>
    <w:rsid w:val="002B254B"/>
    <w:rsid w:val="002F37E6"/>
    <w:rsid w:val="0034050A"/>
    <w:rsid w:val="004449AB"/>
    <w:rsid w:val="0044504F"/>
    <w:rsid w:val="00466C9B"/>
    <w:rsid w:val="00486CFC"/>
    <w:rsid w:val="00491DDD"/>
    <w:rsid w:val="00550ABE"/>
    <w:rsid w:val="005D7F6B"/>
    <w:rsid w:val="00623A85"/>
    <w:rsid w:val="006F23D8"/>
    <w:rsid w:val="00770383"/>
    <w:rsid w:val="007819D4"/>
    <w:rsid w:val="007B419D"/>
    <w:rsid w:val="007B7C4B"/>
    <w:rsid w:val="007D3D39"/>
    <w:rsid w:val="0095214A"/>
    <w:rsid w:val="00984C6A"/>
    <w:rsid w:val="0099217C"/>
    <w:rsid w:val="00994AF7"/>
    <w:rsid w:val="009B67B8"/>
    <w:rsid w:val="009C14C9"/>
    <w:rsid w:val="009D2B67"/>
    <w:rsid w:val="009D3A3C"/>
    <w:rsid w:val="009E1452"/>
    <w:rsid w:val="00A566F9"/>
    <w:rsid w:val="00AF2751"/>
    <w:rsid w:val="00B03CCD"/>
    <w:rsid w:val="00B96D40"/>
    <w:rsid w:val="00BE2B89"/>
    <w:rsid w:val="00BF0D89"/>
    <w:rsid w:val="00C10E9E"/>
    <w:rsid w:val="00C20C3E"/>
    <w:rsid w:val="00C5163E"/>
    <w:rsid w:val="00CF2ACF"/>
    <w:rsid w:val="00D03AAF"/>
    <w:rsid w:val="00DD0539"/>
    <w:rsid w:val="00E07662"/>
    <w:rsid w:val="00E368E9"/>
    <w:rsid w:val="00E41CB2"/>
    <w:rsid w:val="00E7342C"/>
    <w:rsid w:val="00EE1E33"/>
    <w:rsid w:val="00F73F90"/>
    <w:rsid w:val="00FB4B3B"/>
    <w:rsid w:val="01474EBF"/>
    <w:rsid w:val="01F3521E"/>
    <w:rsid w:val="03952BD9"/>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37E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61574C"/>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095F31"/>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D5325A"/>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59496E"/>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Document Map"/>
    <w:basedOn w:val="1"/>
    <w:link w:val="22"/>
    <w:qFormat/>
    <w:uiPriority w:val="0"/>
    <w:pPr>
      <w:widowControl w:val="0"/>
      <w:jc w:val="both"/>
    </w:pPr>
    <w:rPr>
      <w:rFonts w:hint="default" w:hAnsi="Times New Roman"/>
      <w:kern w:val="2"/>
      <w:sz w:val="18"/>
      <w:szCs w:val="18"/>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basedOn w:val="1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字符"/>
    <w:basedOn w:val="11"/>
    <w:link w:val="6"/>
    <w:qFormat/>
    <w:uiPriority w:val="0"/>
    <w:rPr>
      <w:rFonts w:ascii="宋体" w:hAnsi="宋体"/>
      <w:sz w:val="18"/>
      <w:szCs w:val="18"/>
    </w:rPr>
  </w:style>
  <w:style w:type="paragraph" w:customStyle="1" w:styleId="20">
    <w:name w:val="列出段落3"/>
    <w:basedOn w:val="1"/>
    <w:qFormat/>
    <w:uiPriority w:val="99"/>
    <w:pPr>
      <w:ind w:firstLine="420" w:firstLineChars="200"/>
    </w:pPr>
  </w:style>
  <w:style w:type="character" w:customStyle="1" w:styleId="21">
    <w:name w:val="文档结构图 Char"/>
    <w:uiPriority w:val="0"/>
    <w:rPr>
      <w:rFonts w:ascii="宋体"/>
      <w:kern w:val="2"/>
      <w:sz w:val="18"/>
      <w:szCs w:val="18"/>
    </w:rPr>
  </w:style>
  <w:style w:type="character" w:customStyle="1" w:styleId="22">
    <w:name w:val="文档结构图 字符"/>
    <w:basedOn w:val="11"/>
    <w:link w:val="5"/>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2806</Words>
  <Characters>15996</Characters>
  <Lines>133</Lines>
  <Paragraphs>37</Paragraphs>
  <TotalTime>5</TotalTime>
  <ScaleCrop>false</ScaleCrop>
  <LinksUpToDate>false</LinksUpToDate>
  <CharactersWithSpaces>18765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2025-09-16T01:52:09Z</cp:lastPrinted>
  <dcterms:modified xsi:type="dcterms:W3CDTF">2025-09-16T01:54:30Z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ies>
</file>