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丰都县老龄工作事务中心(本级）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120" w:beforeAutospacing="0"/>
        <w:rPr>
          <w:rStyle w:val="10"/>
          <w:rFonts w:hint="default" w:ascii="黑体" w:hAnsi="黑体" w:eastAsia="黑体" w:cs="黑体"/>
          <w:sz w:val="32"/>
          <w:szCs w:val="32"/>
          <w:shd w:val="clear" w:color="auto" w:fill="FFFFFF"/>
        </w:rPr>
      </w:pPr>
    </w:p>
    <w:p>
      <w:pPr>
        <w:pStyle w:val="6"/>
        <w:shd w:val="clear" w:color="auto" w:fill="FFFFFF"/>
        <w:spacing w:before="120" w:beforeAutospacing="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120" w:beforeAutospacing="0"/>
        <w:ind w:firstLine="642"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spacing w:before="120" w:beforeAutospacing="0"/>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宣传贯彻党和国家保障老年人合法权益的法律法规和方针政策；协助有关部门拟订并落实积极应对人口老龄化、老年人社会优待、宜居环境和社会参与的政策措施；协助有关部门开展老年人权益保障工作，老年人口状况、老龄事业发展的统计调查工作；开展人口老龄化国情宣传教育，大力弘扬孝亲敬老传统美德。</w:t>
      </w:r>
    </w:p>
    <w:p>
      <w:pPr>
        <w:pStyle w:val="6"/>
        <w:shd w:val="clear" w:color="auto" w:fill="FFFFFF"/>
        <w:spacing w:before="120" w:beforeAutospacing="0"/>
        <w:ind w:firstLine="642"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spacing w:before="120" w:line="610" w:lineRule="exact"/>
        <w:ind w:firstLine="640" w:firstLineChars="200"/>
        <w:rPr>
          <w:rFonts w:hint="default" w:ascii="Times New Roman" w:hAnsi="Times New Roman" w:eastAsia="方正仿宋_GBK"/>
          <w:color w:val="000000" w:themeColor="text1"/>
          <w:sz w:val="32"/>
          <w:szCs w:val="32"/>
          <w:lang w:val="zh-CN"/>
        </w:rPr>
      </w:pPr>
      <w:r>
        <w:rPr>
          <w:rFonts w:hint="default" w:ascii="Times New Roman" w:hAnsi="Times New Roman" w:eastAsia="方正仿宋_GBK"/>
          <w:color w:val="000000" w:themeColor="text1"/>
          <w:sz w:val="32"/>
          <w:szCs w:val="32"/>
          <w:lang w:val="zh-CN"/>
        </w:rPr>
        <w:t>丰都县老龄工作</w:t>
      </w:r>
      <w:r>
        <w:rPr>
          <w:rFonts w:hint="default" w:ascii="Times New Roman" w:hAnsi="Times New Roman" w:eastAsia="方正仿宋_GBK"/>
          <w:color w:val="000000" w:themeColor="text1"/>
          <w:sz w:val="32"/>
          <w:szCs w:val="32"/>
        </w:rPr>
        <w:t>事</w:t>
      </w:r>
      <w:r>
        <w:rPr>
          <w:rFonts w:hint="default" w:ascii="Times New Roman" w:hAnsi="Times New Roman" w:eastAsia="方正仿宋_GBK"/>
          <w:color w:val="000000" w:themeColor="text1"/>
          <w:sz w:val="32"/>
          <w:szCs w:val="32"/>
          <w:lang w:val="zh-CN"/>
        </w:rPr>
        <w:t>务中心</w:t>
      </w:r>
      <w:r>
        <w:rPr>
          <w:rFonts w:hint="default" w:ascii="Times New Roman" w:hAnsi="Times New Roman" w:eastAsia="方正仿宋_GBK"/>
          <w:color w:val="000000" w:themeColor="text1"/>
          <w:sz w:val="32"/>
          <w:szCs w:val="32"/>
        </w:rPr>
        <w:t>为丰都</w:t>
      </w:r>
      <w:r>
        <w:rPr>
          <w:rFonts w:hint="default" w:ascii="Times New Roman" w:hAnsi="Times New Roman" w:eastAsia="方正仿宋_GBK"/>
          <w:color w:val="000000" w:themeColor="text1"/>
          <w:sz w:val="32"/>
          <w:szCs w:val="32"/>
          <w:lang w:val="zh-CN"/>
        </w:rPr>
        <w:t>县</w:t>
      </w:r>
      <w:r>
        <w:rPr>
          <w:rFonts w:hint="default" w:ascii="Times New Roman" w:hAnsi="Times New Roman" w:eastAsia="方正仿宋_GBK"/>
          <w:color w:val="000000" w:themeColor="text1"/>
          <w:sz w:val="32"/>
          <w:szCs w:val="32"/>
        </w:rPr>
        <w:t>民政局</w:t>
      </w:r>
      <w:r>
        <w:rPr>
          <w:rFonts w:hint="default" w:ascii="Times New Roman" w:hAnsi="Times New Roman" w:eastAsia="方正仿宋_GBK"/>
          <w:color w:val="000000" w:themeColor="text1"/>
          <w:sz w:val="32"/>
          <w:szCs w:val="32"/>
          <w:lang w:val="zh-CN"/>
        </w:rPr>
        <w:t>所属的正科</w:t>
      </w:r>
      <w:r>
        <w:rPr>
          <w:rFonts w:hint="default" w:ascii="Times New Roman" w:hAnsi="Times New Roman" w:eastAsia="方正仿宋_GBK"/>
          <w:color w:val="000000" w:themeColor="text1"/>
          <w:sz w:val="32"/>
          <w:szCs w:val="32"/>
        </w:rPr>
        <w:t>级财政全额拨款公益</w:t>
      </w:r>
      <w:r>
        <w:rPr>
          <w:rFonts w:hint="default" w:ascii="Times New Roman" w:hAnsi="Times New Roman" w:eastAsia="方正仿宋_GBK"/>
          <w:color w:val="000000" w:themeColor="text1"/>
          <w:sz w:val="32"/>
          <w:szCs w:val="32"/>
          <w:lang w:val="zh-CN"/>
        </w:rPr>
        <w:t>一</w:t>
      </w:r>
      <w:r>
        <w:rPr>
          <w:rFonts w:hint="default" w:ascii="Times New Roman" w:hAnsi="Times New Roman" w:eastAsia="方正仿宋_GBK"/>
          <w:color w:val="000000" w:themeColor="text1"/>
          <w:sz w:val="32"/>
          <w:szCs w:val="32"/>
        </w:rPr>
        <w:t>类事业单位</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设3个内设机构</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核定全额事业编制8名</w:t>
      </w:r>
      <w:r>
        <w:rPr>
          <w:rFonts w:hint="default" w:ascii="Times New Roman" w:hAnsi="Times New Roman" w:eastAsia="方正仿宋_GBK"/>
          <w:color w:val="000000" w:themeColor="text1"/>
          <w:spacing w:val="-11"/>
          <w:sz w:val="32"/>
          <w:szCs w:val="32"/>
        </w:rPr>
        <w:t>。</w:t>
      </w:r>
    </w:p>
    <w:p>
      <w:pPr>
        <w:pStyle w:val="6"/>
        <w:shd w:val="clear" w:color="auto" w:fill="FFFFFF"/>
        <w:spacing w:before="120" w:before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120" w:beforeAutospacing="0"/>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2023年度收入总计232.56万元，支出总计</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万元。收支较上年决算数增加69.57万元，增长42.68%，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2023年度收入合计232.56万元，较上年决算数增加69.57万元，增长42.68%，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中心人员变动；二是2023年项目增加1个死亡抚恤金及丧葬费；三是工资福利等经费调标。其中：财政拨款收入</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中心人员变动；二是2023年项目增加1个死亡抚恤金及丧葬费；三是工资福利等经费调标。其中：基本支出</w:t>
      </w:r>
      <w:r>
        <w:rPr>
          <w:rFonts w:ascii="方正仿宋_GBK" w:hAnsi="方正仿宋_GBK" w:eastAsia="方正仿宋_GBK" w:cs="方正仿宋_GBK"/>
          <w:sz w:val="32"/>
          <w:szCs w:val="32"/>
        </w:rPr>
        <w:t>203.10</w:t>
      </w:r>
      <w:r>
        <w:rPr>
          <w:rFonts w:ascii="方正仿宋_GBK" w:hAnsi="方正仿宋_GBK" w:eastAsia="方正仿宋_GBK" w:cs="方正仿宋_GBK"/>
          <w:sz w:val="32"/>
          <w:szCs w:val="32"/>
          <w:shd w:val="clear" w:color="auto" w:fill="FFFFFF"/>
        </w:rPr>
        <w:t>万元，占87.33%；项目支出</w:t>
      </w:r>
      <w:r>
        <w:rPr>
          <w:rFonts w:ascii="方正仿宋_GBK" w:hAnsi="方正仿宋_GBK" w:eastAsia="方正仿宋_GBK" w:cs="方正仿宋_GBK"/>
          <w:sz w:val="32"/>
          <w:szCs w:val="32"/>
        </w:rPr>
        <w:t>29.46</w:t>
      </w:r>
      <w:r>
        <w:rPr>
          <w:rFonts w:ascii="方正仿宋_GBK" w:hAnsi="方正仿宋_GBK" w:eastAsia="方正仿宋_GBK" w:cs="方正仿宋_GBK"/>
          <w:sz w:val="32"/>
          <w:szCs w:val="32"/>
          <w:shd w:val="clear" w:color="auto" w:fill="FFFFFF"/>
        </w:rPr>
        <w:t>万元，占12.67%；经营支出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2023年度财政拨款收、支总计232.56万元。与2022年相比，财政拨款收、支总计各增加69.57万元，增长42.68%。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中心人员变动；二是2023年项目增加1个死亡抚恤金及丧葬费；三是工资福利等经费调标。较年初预算数增加45.85万元，增长24.56%。</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232.56</w:t>
      </w:r>
      <w:r>
        <w:rPr>
          <w:rFonts w:ascii="方正仿宋_GBK" w:hAnsi="方正仿宋_GBK" w:eastAsia="方正仿宋_GBK" w:cs="方正仿宋_GBK"/>
          <w:sz w:val="32"/>
          <w:szCs w:val="32"/>
          <w:shd w:val="clear" w:color="auto" w:fill="FFFFFF"/>
        </w:rPr>
        <w:t>万元，较上年决算数增加69.57万元，增长42.68%。</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中心人员变动；二是2023年项目增加1个死亡抚恤金及丧葬费；三是工资福利等经费调标。较年初预算数增加45.85万元，增长24.56%。</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中心人员变动；二是2023年项目增加1个死亡抚恤金及丧葬费；三是工资福利等经费调标。</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136.71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58.79</w:t>
      </w:r>
      <w:r>
        <w:rPr>
          <w:rFonts w:ascii="方正仿宋_GBK" w:hAnsi="方正仿宋_GBK" w:eastAsia="方正仿宋_GBK" w:cs="方正仿宋_GBK"/>
          <w:sz w:val="32"/>
          <w:szCs w:val="32"/>
          <w:shd w:val="clear" w:color="auto" w:fill="FFFFFF"/>
        </w:rPr>
        <w:t>%，较年初预算数增加13.87万元，增长11.29%，主要原因是2023年人员新增1人。</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78.12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33.59</w:t>
      </w:r>
      <w:r>
        <w:rPr>
          <w:rFonts w:ascii="方正仿宋_GBK" w:hAnsi="方正仿宋_GBK" w:eastAsia="方正仿宋_GBK" w:cs="方正仿宋_GBK"/>
          <w:sz w:val="32"/>
          <w:szCs w:val="32"/>
          <w:shd w:val="clear" w:color="auto" w:fill="FFFFFF"/>
        </w:rPr>
        <w:t>%，较年初预算数增加33.55万元，增长75.27%，主要原因是2023年项目增加1个死亡抚恤金及丧葬费。</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8.64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%，较年初预算数无增减，主要原因是预算合理，且后期无变动。</w:t>
      </w:r>
    </w:p>
    <w:p>
      <w:pPr>
        <w:spacing w:before="12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住房保障支出9.09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%，较年初预算数减少1.56万元，下降14.65%，主要原因是基数根据最新要求进行调整。</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pacing w:before="120"/>
        <w:rPr>
          <w:rFonts w:hint="default"/>
        </w:rPr>
      </w:pPr>
      <w:r>
        <w:rPr>
          <w:rFonts w:cs="宋体"/>
          <w:sz w:val="32"/>
          <w:szCs w:val="32"/>
          <w:shd w:val="clear" w:color="auto" w:fill="FFFFFF"/>
        </w:rPr>
        <w:t xml:space="preserve">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203.10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181.88</w:t>
      </w:r>
      <w:r>
        <w:rPr>
          <w:rFonts w:ascii="方正仿宋_GBK" w:hAnsi="方正仿宋_GBK" w:eastAsia="方正仿宋_GBK" w:cs="方正仿宋_GBK"/>
          <w:sz w:val="32"/>
          <w:szCs w:val="32"/>
          <w:shd w:val="clear" w:color="auto" w:fill="FFFFFF"/>
        </w:rPr>
        <w:t>万元，较上年决算数增加37.32万元，增长25.82%，</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新增</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人，二是新增</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笔抚恤金及丧葬费。人员经费用途主要包括</w:t>
      </w:r>
      <w:r>
        <w:rPr>
          <w:rFonts w:ascii="方正仿宋_GBK" w:eastAsia="方正仿宋_GBK"/>
          <w:color w:val="000000"/>
          <w:sz w:val="32"/>
          <w:szCs w:val="32"/>
          <w:shd w:val="clear" w:color="auto" w:fill="FFFFFF"/>
        </w:rPr>
        <w:t>基本工资、津贴补贴、奖金、社会保障缴费、其他工资福利支出、住房公积金、医疗费、生活补助等支出。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21.22</w:t>
      </w:r>
      <w:r>
        <w:rPr>
          <w:rFonts w:ascii="方正仿宋_GBK" w:hAnsi="方正仿宋_GBK" w:eastAsia="方正仿宋_GBK" w:cs="方正仿宋_GBK"/>
          <w:sz w:val="32"/>
          <w:szCs w:val="32"/>
          <w:shd w:val="clear" w:color="auto" w:fill="FFFFFF"/>
        </w:rPr>
        <w:t>万元，较上年决算数增加6.15万元，增长40.81%，</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color w:val="000000" w:themeColor="text1"/>
          <w:sz w:val="32"/>
          <w:szCs w:val="32"/>
          <w:shd w:val="clear" w:color="auto" w:fill="FFFFFF"/>
        </w:rPr>
        <w:t>新增1人；二是新增体检费预算。</w:t>
      </w:r>
      <w:r>
        <w:rPr>
          <w:rFonts w:ascii="方正仿宋_GBK" w:hAnsi="方正仿宋_GBK" w:eastAsia="方正仿宋_GBK" w:cs="方正仿宋_GBK"/>
          <w:sz w:val="32"/>
          <w:szCs w:val="32"/>
          <w:shd w:val="clear" w:color="auto" w:fill="FFFFFF"/>
        </w:rPr>
        <w:t>公用经费用途</w:t>
      </w:r>
      <w:r>
        <w:rPr>
          <w:rFonts w:ascii="方正仿宋_GBK" w:eastAsia="方正仿宋_GBK"/>
          <w:color w:val="000000"/>
          <w:sz w:val="32"/>
          <w:szCs w:val="32"/>
          <w:shd w:val="clear" w:color="auto" w:fill="FFFFFF"/>
        </w:rPr>
        <w:t>主要包括办公费、邮电费、差旅费、工会经费、其他交通补贴、公务接待费、培训费、福利费等支出。</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120" w:before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6"/>
        <w:spacing w:before="120"/>
        <w:ind w:firstLine="640" w:firstLineChars="200"/>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万元，较年初预算数减少2.00万元，下降100.00%，</w:t>
      </w:r>
      <w:r>
        <w:rPr>
          <w:rFonts w:hint="eastAsia" w:ascii="方正仿宋_GBK" w:eastAsia="方正仿宋_GBK"/>
          <w:color w:val="000000"/>
          <w:sz w:val="32"/>
          <w:szCs w:val="32"/>
          <w:shd w:val="clear" w:color="auto" w:fill="FFFFFF"/>
        </w:rPr>
        <w:t>主要原因是本单位2023年度未发生“三公”经费支出。</w:t>
      </w:r>
      <w:r>
        <w:rPr>
          <w:rFonts w:ascii="方正仿宋_GBK" w:hAnsi="方正仿宋_GBK" w:eastAsia="方正仿宋_GBK" w:cs="方正仿宋_GBK"/>
          <w:sz w:val="32"/>
          <w:szCs w:val="32"/>
          <w:shd w:val="clear" w:color="auto" w:fill="FFFFFF"/>
        </w:rPr>
        <w:t>较上年支出数无增减，主要原因是本单位厉行</w:t>
      </w:r>
      <w:r>
        <w:rPr>
          <w:rFonts w:hint="eastAsia" w:ascii="方正仿宋_GBK" w:hAnsi="方正仿宋_GBK" w:eastAsia="方正仿宋_GBK" w:cs="方正仿宋_GBK"/>
          <w:sz w:val="32"/>
          <w:szCs w:val="32"/>
          <w:shd w:val="clear" w:color="auto" w:fill="FFFFFF"/>
        </w:rPr>
        <w:t>中央八项规定</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2023年无“三公”经费支出。</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hd w:val="clear" w:color="auto" w:fill="FFFFFF"/>
        <w:spacing w:before="12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本单位</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年度未发生因公出国（境）费用，与年初预算数及上年决算数持平。</w:t>
      </w:r>
    </w:p>
    <w:p>
      <w:pPr>
        <w:pStyle w:val="6"/>
        <w:shd w:val="clear" w:color="auto" w:fill="FFFFFF"/>
        <w:spacing w:before="12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本单位</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年度未发生公务车购置费，与年初预算数及上年决算数持平。</w:t>
      </w:r>
    </w:p>
    <w:p>
      <w:pPr>
        <w:pStyle w:val="6"/>
        <w:shd w:val="clear" w:color="auto" w:fill="FFFFFF"/>
        <w:spacing w:before="120" w:beforeAutospacing="0" w:after="0" w:afterAutospacing="0" w:line="560" w:lineRule="exact"/>
        <w:ind w:firstLine="640" w:firstLineChars="200"/>
        <w:jc w:val="both"/>
        <w:rPr>
          <w:rFonts w:hint="default" w:ascii="Times New Roman" w:hAnsi="Times New Roman" w:eastAsia="方正仿宋_GBK"/>
          <w:color w:val="000000"/>
          <w:sz w:val="32"/>
          <w:szCs w:val="32"/>
          <w:shd w:val="clear" w:color="auto" w:fill="FFFFFF"/>
        </w:rPr>
      </w:pPr>
      <w:r>
        <w:rPr>
          <w:rFonts w:ascii="方正仿宋_GBK" w:hAnsi="Times New Roman" w:eastAsia="方正仿宋_GBK"/>
          <w:color w:val="000000"/>
          <w:sz w:val="32"/>
          <w:szCs w:val="32"/>
          <w:shd w:val="clear" w:color="auto" w:fill="FFFFFF"/>
        </w:rPr>
        <w:t>本单位</w:t>
      </w:r>
      <w:r>
        <w:rPr>
          <w:rFonts w:ascii="Times New Roman" w:hAnsi="Times New Roman" w:eastAsia="方正仿宋_GBK"/>
          <w:color w:val="000000"/>
          <w:sz w:val="32"/>
          <w:szCs w:val="32"/>
          <w:shd w:val="clear" w:color="auto" w:fill="FFFFFF"/>
        </w:rPr>
        <w:t>2023</w:t>
      </w:r>
      <w:r>
        <w:rPr>
          <w:rFonts w:ascii="方正仿宋_GBK" w:hAnsi="Times New Roman" w:eastAsia="方正仿宋_GBK"/>
          <w:color w:val="000000"/>
          <w:sz w:val="32"/>
          <w:szCs w:val="32"/>
          <w:shd w:val="clear" w:color="auto" w:fill="FFFFFF"/>
        </w:rPr>
        <w:t>年度未发生公务车维护费，与年初预算数及上年决算数持平。</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Times New Roman" w:eastAsia="方正仿宋_GBK"/>
          <w:color w:val="000000"/>
          <w:sz w:val="32"/>
          <w:szCs w:val="32"/>
          <w:shd w:val="clear" w:color="auto" w:fill="FFFFFF"/>
        </w:rPr>
        <w:t>未发生公务接待费</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费用支出较年初预算数减少2.00万元，下降100.00%，主要原因是</w:t>
      </w:r>
      <w:r>
        <w:rPr>
          <w:rFonts w:ascii="方正仿宋_GBK" w:eastAsia="方正仿宋_GBK"/>
          <w:color w:val="000000"/>
          <w:sz w:val="32"/>
          <w:szCs w:val="32"/>
          <w:shd w:val="clear" w:color="auto" w:fill="FFFFFF"/>
        </w:rPr>
        <w:t>本单位2023年度无公务接待。</w:t>
      </w:r>
      <w:r>
        <w:rPr>
          <w:rFonts w:ascii="方正仿宋_GBK" w:hAnsi="方正仿宋_GBK" w:eastAsia="方正仿宋_GBK" w:cs="方正仿宋_GBK"/>
          <w:sz w:val="32"/>
          <w:szCs w:val="32"/>
          <w:shd w:val="clear" w:color="auto" w:fill="FFFFFF"/>
        </w:rPr>
        <w:t>较上年支出数无增减，主要原因是本单位厉行中央八项规定，2023年无公务接待费支出。</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120" w:beforeAutospacing="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万元，较上年决算数增加1.00万元，增长100.00%，主要原因是2023年单位开“敬老文明号”相关会议。本年度培训费支出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万元，较上年决算数减少0.03万元，下降100.00%，主要原因是2023年没有发生需要单位支出培训费的培训。</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21.22</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color w:val="000000"/>
          <w:sz w:val="32"/>
          <w:szCs w:val="32"/>
          <w:shd w:val="clear" w:color="auto" w:fill="FFFFFF"/>
        </w:rPr>
        <w:t>办公费、邮电费、差旅费、工会经费、其他交通补贴、公务接待费、培训费、福利费等支出。</w:t>
      </w:r>
      <w:r>
        <w:rPr>
          <w:rFonts w:ascii="方正仿宋_GBK" w:hAnsi="方正仿宋_GBK" w:eastAsia="方正仿宋_GBK" w:cs="方正仿宋_GBK"/>
          <w:sz w:val="32"/>
          <w:szCs w:val="32"/>
          <w:shd w:val="clear" w:color="auto" w:fill="FFFFFF"/>
        </w:rPr>
        <w:t>机关运行经费较上年支出数增加6.15万元，增长40.81%，</w:t>
      </w:r>
      <w:r>
        <w:rPr>
          <w:rFonts w:hint="eastAsia" w:ascii="方正仿宋_GBK" w:hAnsi="方正仿宋_GBK" w:eastAsia="方正仿宋_GBK" w:cs="方正仿宋_GBK"/>
          <w:sz w:val="32"/>
          <w:szCs w:val="32"/>
          <w:shd w:val="clear" w:color="auto" w:fill="FFFFFF"/>
          <w:lang w:eastAsia="zh-CN"/>
        </w:rPr>
        <w:t>主要原因：一是</w:t>
      </w:r>
      <w:r>
        <w:rPr>
          <w:rFonts w:ascii="方正仿宋_GBK" w:hAnsi="方正仿宋_GBK" w:eastAsia="方正仿宋_GBK" w:cs="方正仿宋_GBK"/>
          <w:sz w:val="32"/>
          <w:szCs w:val="32"/>
          <w:shd w:val="clear" w:color="auto" w:fill="FFFFFF"/>
        </w:rPr>
        <w:t>新增一人；二是新增体检费预算。</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cs="宋体"/>
          <w:sz w:val="32"/>
          <w:szCs w:val="32"/>
          <w:shd w:val="clear" w:color="auto" w:fill="FFFFFF"/>
        </w:rPr>
        <w:t> </w:t>
      </w: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1"/>
        </w:numPr>
        <w:shd w:val="clear" w:color="auto" w:fill="FFFFFF"/>
        <w:spacing w:before="120" w:beforeAutospacing="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12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w:t>
      </w:r>
      <w:r>
        <w:rPr>
          <w:rFonts w:hint="eastAsia" w:ascii="方正仿宋_GBK" w:hAnsi="方正仿宋_GBK" w:eastAsia="方正仿宋_GBK" w:cs="方正仿宋_GBK"/>
          <w:sz w:val="32"/>
          <w:szCs w:val="32"/>
          <w:shd w:val="clear" w:color="auto" w:fill="FFFFFF"/>
          <w:lang w:eastAsia="zh-CN"/>
        </w:rPr>
        <w:t>二</w:t>
      </w:r>
      <w:bookmarkStart w:id="0" w:name="_GoBack"/>
      <w:bookmarkEnd w:id="0"/>
      <w:r>
        <w:rPr>
          <w:rFonts w:hint="eastAsia" w:ascii="方正仿宋_GBK" w:hAnsi="方正仿宋_GBK" w:eastAsia="方正仿宋_GBK" w:cs="方正仿宋_GBK"/>
          <w:sz w:val="32"/>
          <w:szCs w:val="32"/>
          <w:shd w:val="clear" w:color="auto" w:fill="FFFFFF"/>
        </w:rPr>
        <w:t>级项目开展了绩效自评，涉及财政拨款项目支出资金29.46万元。</w:t>
      </w:r>
    </w:p>
    <w:p>
      <w:pPr>
        <w:pStyle w:val="12"/>
        <w:autoSpaceDE w:val="0"/>
        <w:spacing w:before="12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重阳节活动经费2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pPr>
        <w:pStyle w:val="12"/>
        <w:autoSpaceDE w:val="0"/>
        <w:spacing w:before="120" w:beforeAutospacing="0" w:line="600" w:lineRule="exact"/>
        <w:rPr>
          <w:rFonts w:ascii="方正仿宋_GBK" w:hAnsi="方正仿宋_GBK" w:eastAsia="方正仿宋_GBK" w:cs="方正仿宋_GBK"/>
          <w:sz w:val="32"/>
          <w:szCs w:val="32"/>
          <w:highlight w:val="yellow"/>
          <w:shd w:val="clear" w:color="auto" w:fill="FFFFFF"/>
        </w:rPr>
      </w:pPr>
    </w:p>
    <w:tbl>
      <w:tblPr>
        <w:tblStyle w:val="7"/>
        <w:tblW w:w="11019" w:type="dxa"/>
        <w:jc w:val="center"/>
        <w:tblLayout w:type="autofit"/>
        <w:tblCellMar>
          <w:top w:w="0" w:type="dxa"/>
          <w:left w:w="108" w:type="dxa"/>
          <w:bottom w:w="0" w:type="dxa"/>
          <w:right w:w="108" w:type="dxa"/>
        </w:tblCellMar>
      </w:tblPr>
      <w:tblGrid>
        <w:gridCol w:w="1277"/>
        <w:gridCol w:w="616"/>
        <w:gridCol w:w="1060"/>
        <w:gridCol w:w="1236"/>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before="120" w:line="240" w:lineRule="atLeast"/>
              <w:rPr>
                <w:rFonts w:hint="default" w:cs="宋体"/>
                <w:color w:val="000000"/>
                <w:sz w:val="16"/>
                <w:szCs w:val="16"/>
              </w:rPr>
            </w:pPr>
            <w:r>
              <w:rPr>
                <w:rFonts w:cs="宋体"/>
                <w:color w:val="000000"/>
                <w:sz w:val="16"/>
                <w:szCs w:val="16"/>
              </w:rPr>
              <w:t>重阳节活动经费</w:t>
            </w:r>
          </w:p>
        </w:tc>
        <w:tc>
          <w:tcPr>
            <w:tcW w:w="992"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before="120" w:line="240" w:lineRule="atLeast"/>
              <w:rPr>
                <w:rFonts w:hint="default" w:cs="宋体"/>
                <w:color w:val="000000"/>
                <w:sz w:val="16"/>
                <w:szCs w:val="16"/>
              </w:rPr>
            </w:pPr>
            <w:r>
              <w:rPr>
                <w:rFonts w:hint="default" w:cs="宋体"/>
                <w:color w:val="000000"/>
                <w:sz w:val="16"/>
                <w:szCs w:val="16"/>
              </w:rPr>
              <w:t>50023022T000000142025</w:t>
            </w:r>
            <w:r>
              <w:rPr>
                <w:rFonts w:cs="宋体"/>
                <w:color w:val="000000"/>
                <w:sz w:val="16"/>
                <w:szCs w:val="16"/>
              </w:rPr>
              <w:t>　</w:t>
            </w:r>
          </w:p>
        </w:tc>
        <w:tc>
          <w:tcPr>
            <w:tcW w:w="1043"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spacing w:before="120"/>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405-丰都县老龄工作事务中心</w:t>
            </w:r>
          </w:p>
        </w:tc>
        <w:tc>
          <w:tcPr>
            <w:tcW w:w="992"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004-社保科</w:t>
            </w:r>
          </w:p>
        </w:tc>
        <w:tc>
          <w:tcPr>
            <w:tcW w:w="1043" w:type="dxa"/>
            <w:tcBorders>
              <w:top w:val="nil"/>
              <w:left w:val="nil"/>
              <w:bottom w:val="single" w:color="auto" w:sz="4" w:space="0"/>
              <w:right w:val="single" w:color="auto" w:sz="4" w:space="0"/>
            </w:tcBorders>
            <w:noWrap/>
            <w:vAlign w:val="center"/>
          </w:tcPr>
          <w:p>
            <w:pPr>
              <w:spacing w:before="120" w:line="240" w:lineRule="atLeast"/>
              <w:ind w:right="483"/>
              <w:jc w:val="center"/>
              <w:rPr>
                <w:rFonts w:hint="default" w:cs="宋体"/>
                <w:b/>
                <w:bCs/>
                <w:color w:val="000000"/>
                <w:sz w:val="16"/>
                <w:szCs w:val="16"/>
              </w:rPr>
            </w:pPr>
            <w:r>
              <w:rPr>
                <w:rFonts w:cs="宋体"/>
                <w:b/>
                <w:bCs/>
                <w:color w:val="000000"/>
                <w:sz w:val="16"/>
                <w:szCs w:val="16"/>
              </w:rPr>
              <w:t>部门</w:t>
            </w:r>
          </w:p>
          <w:p>
            <w:pPr>
              <w:spacing w:before="120"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李丹</w:t>
            </w:r>
          </w:p>
        </w:tc>
        <w:tc>
          <w:tcPr>
            <w:tcW w:w="992" w:type="dxa"/>
            <w:tcBorders>
              <w:top w:val="nil"/>
              <w:left w:val="nil"/>
              <w:bottom w:val="single" w:color="auto" w:sz="4" w:space="0"/>
              <w:right w:val="single" w:color="auto" w:sz="4" w:space="0"/>
            </w:tcBorders>
            <w:noWrap/>
            <w:vAlign w:val="center"/>
          </w:tcPr>
          <w:p>
            <w:pPr>
              <w:spacing w:before="120" w:line="240" w:lineRule="atLeast"/>
              <w:ind w:right="181"/>
              <w:jc w:val="center"/>
              <w:rPr>
                <w:rFonts w:hint="default" w:cs="宋体"/>
                <w:b/>
                <w:bCs/>
                <w:color w:val="000000"/>
                <w:sz w:val="16"/>
                <w:szCs w:val="16"/>
              </w:rPr>
            </w:pPr>
            <w:r>
              <w:rPr>
                <w:rFonts w:cs="宋体"/>
                <w:b/>
                <w:bCs/>
                <w:color w:val="000000"/>
                <w:sz w:val="16"/>
                <w:szCs w:val="16"/>
              </w:rPr>
              <w:t>联系</w:t>
            </w:r>
          </w:p>
          <w:p>
            <w:pPr>
              <w:spacing w:before="120"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70605858</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spacing w:before="120"/>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全年（调整）</w:t>
            </w:r>
          </w:p>
          <w:p>
            <w:pPr>
              <w:spacing w:before="120"/>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spacing w:before="120"/>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spacing w:before="120"/>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执行率</w:t>
            </w:r>
          </w:p>
          <w:p>
            <w:pPr>
              <w:spacing w:before="120"/>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执行率</w:t>
            </w:r>
          </w:p>
          <w:p>
            <w:pPr>
              <w:spacing w:before="120"/>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right="320" w:firstLine="160" w:firstLineChars="10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right="32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r>
              <w:rPr>
                <w:rFonts w:cs="宋体"/>
                <w:sz w:val="16"/>
                <w:szCs w:val="16"/>
              </w:rPr>
              <w:t>10</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right="320" w:firstLine="1040" w:firstLineChars="650"/>
              <w:jc w:val="center"/>
              <w:rPr>
                <w:rFonts w:hint="default" w:cs="宋体"/>
                <w:color w:val="000000"/>
                <w:sz w:val="16"/>
                <w:szCs w:val="16"/>
              </w:rPr>
            </w:pPr>
            <w:r>
              <w:rPr>
                <w:rFonts w:cs="宋体"/>
                <w:color w:val="000000"/>
                <w:sz w:val="16"/>
                <w:szCs w:val="16"/>
              </w:rPr>
              <w:t>9.6</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sz w:val="16"/>
                <w:szCs w:val="16"/>
              </w:rPr>
            </w:pP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大力弘扬孝亲敬老传统美德，落实好老年人优待政策，维护好老年人合法权益，发挥好老年人积极作用，让老年人共享改革发展成果、安享幸福晚年。</w:t>
            </w:r>
          </w:p>
        </w:tc>
        <w:tc>
          <w:tcPr>
            <w:tcW w:w="3648" w:type="dxa"/>
            <w:gridSpan w:val="4"/>
            <w:tcBorders>
              <w:top w:val="single" w:color="auto" w:sz="4" w:space="0"/>
              <w:left w:val="nil"/>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w:t>
            </w:r>
          </w:p>
        </w:tc>
        <w:tc>
          <w:tcPr>
            <w:tcW w:w="3685" w:type="dxa"/>
            <w:gridSpan w:val="4"/>
            <w:tcBorders>
              <w:top w:val="single" w:color="auto" w:sz="4" w:space="0"/>
              <w:left w:val="nil"/>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在敬老月开展“实施积极应对人口老龄化国家战略</w:t>
            </w:r>
            <w:r>
              <w:rPr>
                <w:rFonts w:hint="default" w:cs="宋体"/>
                <w:color w:val="000000"/>
                <w:sz w:val="16"/>
                <w:szCs w:val="16"/>
              </w:rPr>
              <w:t xml:space="preserve">  推进无障碍环境共建共享”为主题的敬老月大型宣传义诊服务活动；命名13家县级“敬老文明号”，大力弘扬孝亲敬老传统美德，让老年人共享改革发展成果、安享幸福晚年。</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b/>
                <w:bCs/>
                <w:color w:val="000000"/>
                <w:sz w:val="16"/>
                <w:szCs w:val="16"/>
              </w:rPr>
            </w:pPr>
            <w:r>
              <w:rPr>
                <w:rFonts w:cs="宋体"/>
                <w:b/>
                <w:bCs/>
                <w:color w:val="000000"/>
                <w:sz w:val="16"/>
                <w:szCs w:val="16"/>
              </w:rPr>
              <w:t>开展时间</w:t>
            </w:r>
          </w:p>
        </w:tc>
        <w:tc>
          <w:tcPr>
            <w:tcW w:w="567"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月　</w:t>
            </w:r>
          </w:p>
        </w:tc>
        <w:tc>
          <w:tcPr>
            <w:tcW w:w="850"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10</w:t>
            </w:r>
          </w:p>
        </w:tc>
        <w:tc>
          <w:tcPr>
            <w:tcW w:w="1034"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10</w:t>
            </w:r>
          </w:p>
        </w:tc>
        <w:tc>
          <w:tcPr>
            <w:tcW w:w="86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项目概算</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万元/年　</w:t>
            </w:r>
          </w:p>
        </w:tc>
        <w:tc>
          <w:tcPr>
            <w:tcW w:w="850"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　≤</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12</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6.15</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48.75</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预算调整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“敬老文明号”创建</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家/个/批　</w:t>
            </w:r>
          </w:p>
        </w:tc>
        <w:tc>
          <w:tcPr>
            <w:tcW w:w="850"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ind w:right="320"/>
              <w:jc w:val="center"/>
              <w:rPr>
                <w:rFonts w:hint="default" w:cs="宋体"/>
                <w:color w:val="000000"/>
                <w:sz w:val="16"/>
                <w:szCs w:val="16"/>
              </w:rPr>
            </w:pPr>
            <w:r>
              <w:rPr>
                <w:rFonts w:cs="宋体"/>
                <w:color w:val="000000"/>
                <w:sz w:val="16"/>
                <w:szCs w:val="16"/>
              </w:rPr>
              <w:t>有所增加</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年龄</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年　</w:t>
            </w:r>
          </w:p>
        </w:tc>
        <w:tc>
          <w:tcPr>
            <w:tcW w:w="850"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　</w:t>
            </w: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60</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60</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老年人满意度</w:t>
            </w:r>
          </w:p>
        </w:tc>
        <w:tc>
          <w:tcPr>
            <w:tcW w:w="567" w:type="dxa"/>
            <w:tcBorders>
              <w:top w:val="nil"/>
              <w:left w:val="nil"/>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　</w:t>
            </w:r>
            <w:r>
              <w:rPr>
                <w:rFonts w:cs="宋体"/>
                <w:b/>
                <w:bCs/>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80</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80</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否</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　</w:t>
            </w:r>
          </w:p>
        </w:tc>
      </w:tr>
    </w:tbl>
    <w:p>
      <w:pPr>
        <w:pStyle w:val="12"/>
        <w:autoSpaceDE w:val="0"/>
        <w:spacing w:before="12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120" w:beforeAutospacing="0" w:line="600" w:lineRule="exact"/>
        <w:ind w:firstLine="640" w:firstLineChars="200"/>
        <w:jc w:val="center"/>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死亡抚恤金及丧葬费</w:t>
      </w:r>
    </w:p>
    <w:p>
      <w:pPr>
        <w:pStyle w:val="12"/>
        <w:autoSpaceDE w:val="0"/>
        <w:spacing w:before="120" w:beforeAutospacing="0" w:line="600" w:lineRule="exact"/>
        <w:ind w:firstLine="640" w:firstLineChars="200"/>
        <w:jc w:val="center"/>
        <w:rPr>
          <w:rFonts w:ascii="Times New Roman" w:hAnsi="Times New Roman" w:eastAsia="方正仿宋_GBK"/>
          <w:b/>
          <w:bCs/>
          <w:sz w:val="32"/>
          <w:szCs w:val="32"/>
        </w:rPr>
      </w:pP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pPr>
        <w:pStyle w:val="12"/>
        <w:autoSpaceDE w:val="0"/>
        <w:spacing w:before="120" w:beforeAutospacing="0" w:line="600" w:lineRule="exact"/>
        <w:rPr>
          <w:rFonts w:ascii="方正仿宋_GBK" w:hAnsi="方正仿宋_GBK" w:eastAsia="方正仿宋_GBK" w:cs="方正仿宋_GBK"/>
          <w:sz w:val="32"/>
          <w:szCs w:val="32"/>
          <w:highlight w:val="yellow"/>
          <w:shd w:val="clear" w:color="auto" w:fill="FFFFFF"/>
        </w:rPr>
      </w:pPr>
    </w:p>
    <w:tbl>
      <w:tblPr>
        <w:tblStyle w:val="7"/>
        <w:tblW w:w="11019" w:type="dxa"/>
        <w:jc w:val="center"/>
        <w:tblLayout w:type="autofit"/>
        <w:tblCellMar>
          <w:top w:w="0" w:type="dxa"/>
          <w:left w:w="108" w:type="dxa"/>
          <w:bottom w:w="0" w:type="dxa"/>
          <w:right w:w="108" w:type="dxa"/>
        </w:tblCellMar>
      </w:tblPr>
      <w:tblGrid>
        <w:gridCol w:w="1277"/>
        <w:gridCol w:w="616"/>
        <w:gridCol w:w="850"/>
        <w:gridCol w:w="992"/>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000000"/>
                <w:sz w:val="36"/>
                <w:szCs w:val="40"/>
              </w:rPr>
            </w:pPr>
            <w:r>
              <w:rPr>
                <w:rFonts w:ascii="微软雅黑" w:hAnsi="微软雅黑" w:eastAsia="微软雅黑" w:cs="宋体"/>
                <w:b/>
                <w:bCs/>
                <w:color w:val="000000"/>
                <w:sz w:val="32"/>
                <w:szCs w:val="40"/>
              </w:rPr>
              <w:t>2023年度项目绩效自评表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spacing w:before="120" w:line="240" w:lineRule="atLeast"/>
              <w:rPr>
                <w:rFonts w:hint="default" w:cs="宋体"/>
                <w:color w:val="000000"/>
                <w:sz w:val="16"/>
                <w:szCs w:val="16"/>
              </w:rPr>
            </w:pPr>
            <w:r>
              <w:rPr>
                <w:rFonts w:cs="宋体"/>
                <w:color w:val="000000"/>
                <w:sz w:val="16"/>
                <w:szCs w:val="16"/>
              </w:rPr>
              <w:t>死亡抚恤金及丧葬费</w:t>
            </w:r>
          </w:p>
        </w:tc>
        <w:tc>
          <w:tcPr>
            <w:tcW w:w="992"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50023023T000003690451</w:t>
            </w:r>
          </w:p>
        </w:tc>
        <w:tc>
          <w:tcPr>
            <w:tcW w:w="1043"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100</w:t>
            </w:r>
          </w:p>
        </w:tc>
        <w:tc>
          <w:tcPr>
            <w:tcW w:w="992" w:type="dxa"/>
            <w:tcBorders>
              <w:top w:val="nil"/>
              <w:left w:val="nil"/>
              <w:bottom w:val="single" w:color="auto" w:sz="4" w:space="0"/>
              <w:right w:val="single" w:color="auto" w:sz="4" w:space="0"/>
            </w:tcBorders>
            <w:noWrap/>
            <w:vAlign w:val="center"/>
          </w:tcPr>
          <w:p>
            <w:pPr>
              <w:spacing w:before="120"/>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pPr>
              <w:spacing w:before="120" w:line="240" w:lineRule="atLeast"/>
              <w:rPr>
                <w:rFonts w:hint="default" w:cs="宋体"/>
                <w:color w:val="000000"/>
                <w:sz w:val="16"/>
                <w:szCs w:val="16"/>
              </w:rPr>
            </w:pPr>
            <w:r>
              <w:rPr>
                <w:rFonts w:hint="default" w:cs="宋体"/>
                <w:color w:val="000000"/>
                <w:sz w:val="16"/>
                <w:szCs w:val="16"/>
              </w:rPr>
              <w:t>405-丰都县老龄工作事务中心</w:t>
            </w:r>
          </w:p>
        </w:tc>
        <w:tc>
          <w:tcPr>
            <w:tcW w:w="992" w:type="dxa"/>
            <w:tcBorders>
              <w:top w:val="nil"/>
              <w:left w:val="nil"/>
              <w:bottom w:val="single" w:color="auto" w:sz="4" w:space="0"/>
              <w:right w:val="single" w:color="auto" w:sz="4" w:space="0"/>
            </w:tcBorders>
            <w:noWrap/>
            <w:vAlign w:val="center"/>
          </w:tcPr>
          <w:p>
            <w:pPr>
              <w:spacing w:before="120" w:line="240" w:lineRule="atLeast"/>
              <w:jc w:val="center"/>
              <w:rPr>
                <w:rFonts w:hint="default" w:cs="宋体"/>
                <w:b/>
                <w:bCs/>
                <w:color w:val="000000"/>
                <w:sz w:val="16"/>
                <w:szCs w:val="16"/>
              </w:rPr>
            </w:pPr>
            <w:r>
              <w:rPr>
                <w:rFonts w:cs="宋体"/>
                <w:b/>
                <w:bCs/>
                <w:color w:val="00000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w:t>
            </w:r>
            <w:r>
              <w:rPr>
                <w:rFonts w:hint="default" w:cs="宋体"/>
                <w:color w:val="000000"/>
                <w:sz w:val="16"/>
                <w:szCs w:val="16"/>
              </w:rPr>
              <w:t>004-社保科</w:t>
            </w:r>
          </w:p>
        </w:tc>
        <w:tc>
          <w:tcPr>
            <w:tcW w:w="1043" w:type="dxa"/>
            <w:tcBorders>
              <w:top w:val="nil"/>
              <w:left w:val="nil"/>
              <w:bottom w:val="single" w:color="auto" w:sz="4" w:space="0"/>
              <w:right w:val="single" w:color="auto" w:sz="4" w:space="0"/>
            </w:tcBorders>
            <w:noWrap/>
            <w:vAlign w:val="center"/>
          </w:tcPr>
          <w:p>
            <w:pPr>
              <w:spacing w:before="120" w:line="240" w:lineRule="atLeast"/>
              <w:ind w:right="483"/>
              <w:jc w:val="center"/>
              <w:rPr>
                <w:rFonts w:hint="default" w:cs="宋体"/>
                <w:b/>
                <w:bCs/>
                <w:color w:val="000000"/>
                <w:sz w:val="16"/>
                <w:szCs w:val="16"/>
              </w:rPr>
            </w:pPr>
            <w:r>
              <w:rPr>
                <w:rFonts w:cs="宋体"/>
                <w:b/>
                <w:bCs/>
                <w:color w:val="000000"/>
                <w:sz w:val="16"/>
                <w:szCs w:val="16"/>
              </w:rPr>
              <w:t>部门</w:t>
            </w:r>
          </w:p>
          <w:p>
            <w:pPr>
              <w:spacing w:before="120" w:line="240" w:lineRule="atLeast"/>
              <w:ind w:right="161"/>
              <w:jc w:val="center"/>
              <w:rPr>
                <w:rFonts w:hint="default" w:cs="宋体"/>
                <w:b/>
                <w:bCs/>
                <w:color w:val="000000"/>
                <w:sz w:val="16"/>
                <w:szCs w:val="16"/>
              </w:rPr>
            </w:pPr>
            <w:r>
              <w:rPr>
                <w:rFonts w:cs="宋体"/>
                <w:b/>
                <w:bCs/>
                <w:color w:val="00000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李丹</w:t>
            </w:r>
          </w:p>
        </w:tc>
        <w:tc>
          <w:tcPr>
            <w:tcW w:w="992" w:type="dxa"/>
            <w:tcBorders>
              <w:top w:val="nil"/>
              <w:left w:val="nil"/>
              <w:bottom w:val="single" w:color="auto" w:sz="4" w:space="0"/>
              <w:right w:val="single" w:color="auto" w:sz="4" w:space="0"/>
            </w:tcBorders>
            <w:noWrap/>
            <w:vAlign w:val="center"/>
          </w:tcPr>
          <w:p>
            <w:pPr>
              <w:spacing w:before="120" w:line="240" w:lineRule="atLeast"/>
              <w:ind w:right="181"/>
              <w:jc w:val="center"/>
              <w:rPr>
                <w:rFonts w:hint="default" w:cs="宋体"/>
                <w:b/>
                <w:bCs/>
                <w:color w:val="000000"/>
                <w:sz w:val="16"/>
                <w:szCs w:val="16"/>
              </w:rPr>
            </w:pPr>
            <w:r>
              <w:rPr>
                <w:rFonts w:cs="宋体"/>
                <w:b/>
                <w:bCs/>
                <w:color w:val="000000"/>
                <w:sz w:val="16"/>
                <w:szCs w:val="16"/>
              </w:rPr>
              <w:t>联系</w:t>
            </w:r>
          </w:p>
          <w:p>
            <w:pPr>
              <w:spacing w:before="120"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pPr>
              <w:spacing w:before="120" w:line="240" w:lineRule="atLeast"/>
              <w:ind w:firstLine="160" w:firstLineChars="100"/>
              <w:rPr>
                <w:rFonts w:hint="default" w:cs="宋体"/>
                <w:color w:val="000000"/>
                <w:sz w:val="16"/>
                <w:szCs w:val="16"/>
              </w:rPr>
            </w:pPr>
            <w:r>
              <w:rPr>
                <w:rFonts w:cs="宋体"/>
                <w:color w:val="000000"/>
                <w:sz w:val="16"/>
                <w:szCs w:val="16"/>
              </w:rPr>
              <w:t>　70605858</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spacing w:before="120"/>
              <w:jc w:val="center"/>
              <w:rPr>
                <w:rFonts w:hint="default" w:cs="宋体"/>
                <w:color w:val="000000"/>
                <w:sz w:val="16"/>
                <w:szCs w:val="16"/>
              </w:rPr>
            </w:pPr>
            <w:r>
              <w:rPr>
                <w:rFonts w:cs="宋体"/>
                <w:color w:val="00000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spacing w:before="120"/>
              <w:ind w:right="724"/>
              <w:jc w:val="center"/>
              <w:rPr>
                <w:rFonts w:hint="default" w:cs="宋体"/>
                <w:b/>
                <w:bCs/>
                <w:color w:val="000000"/>
                <w:sz w:val="16"/>
                <w:szCs w:val="16"/>
              </w:rPr>
            </w:pPr>
            <w:r>
              <w:rPr>
                <w:rFonts w:cs="宋体"/>
                <w:b/>
                <w:bCs/>
                <w:color w:val="00000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全年（调整）</w:t>
            </w:r>
          </w:p>
          <w:p>
            <w:pPr>
              <w:spacing w:before="120"/>
              <w:jc w:val="center"/>
              <w:rPr>
                <w:rFonts w:hint="default" w:cs="宋体"/>
                <w:b/>
                <w:bCs/>
                <w:color w:val="000000"/>
                <w:sz w:val="16"/>
                <w:szCs w:val="16"/>
              </w:rPr>
            </w:pPr>
            <w:r>
              <w:rPr>
                <w:rFonts w:cs="宋体"/>
                <w:b/>
                <w:bCs/>
                <w:color w:val="00000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spacing w:before="120"/>
              <w:ind w:right="161"/>
              <w:jc w:val="center"/>
              <w:rPr>
                <w:rFonts w:hint="default" w:cs="宋体"/>
                <w:b/>
                <w:bCs/>
                <w:color w:val="000000"/>
                <w:sz w:val="16"/>
                <w:szCs w:val="16"/>
              </w:rPr>
            </w:pPr>
            <w:r>
              <w:rPr>
                <w:rFonts w:cs="宋体"/>
                <w:b/>
                <w:bCs/>
                <w:color w:val="00000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spacing w:before="120"/>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执行率</w:t>
            </w:r>
          </w:p>
          <w:p>
            <w:pPr>
              <w:spacing w:before="120"/>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执行率</w:t>
            </w:r>
          </w:p>
          <w:p>
            <w:pPr>
              <w:spacing w:before="120"/>
              <w:jc w:val="center"/>
              <w:rPr>
                <w:rFonts w:hint="default" w:cs="宋体"/>
                <w:b/>
                <w:bCs/>
                <w:color w:val="000000"/>
                <w:sz w:val="16"/>
                <w:szCs w:val="16"/>
              </w:rPr>
            </w:pPr>
            <w:r>
              <w:rPr>
                <w:rFonts w:cs="宋体"/>
                <w:b/>
                <w:bCs/>
                <w:color w:val="00000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0　</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r>
              <w:rPr>
                <w:rFonts w:cs="宋体"/>
                <w:color w:val="00000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　</w:t>
            </w: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0</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100</w:t>
            </w: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10</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10</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0　</w:t>
            </w:r>
          </w:p>
        </w:tc>
        <w:tc>
          <w:tcPr>
            <w:tcW w:w="1896"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52"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hint="eastAsia" w:cs="宋体"/>
                <w:color w:val="000000"/>
                <w:sz w:val="16"/>
                <w:szCs w:val="16"/>
                <w:lang w:val="en-US" w:eastAsia="zh-CN"/>
              </w:rPr>
              <w:t>23.31</w:t>
            </w:r>
          </w:p>
        </w:tc>
        <w:tc>
          <w:tcPr>
            <w:tcW w:w="1791" w:type="dxa"/>
            <w:gridSpan w:val="2"/>
            <w:tcBorders>
              <w:top w:val="single" w:color="auto" w:sz="4" w:space="0"/>
              <w:left w:val="nil"/>
              <w:bottom w:val="single" w:color="auto" w:sz="4" w:space="0"/>
              <w:right w:val="single" w:color="auto" w:sz="4" w:space="0"/>
            </w:tcBorders>
            <w:noWrap/>
            <w:vAlign w:val="center"/>
          </w:tcPr>
          <w:p>
            <w:pPr>
              <w:spacing w:before="120"/>
              <w:ind w:firstLine="160" w:firstLineChars="100"/>
              <w:jc w:val="right"/>
              <w:rPr>
                <w:rFonts w:hint="default" w:cs="宋体"/>
                <w:color w:val="000000"/>
                <w:sz w:val="16"/>
                <w:szCs w:val="16"/>
              </w:rPr>
            </w:pPr>
            <w:r>
              <w:rPr>
                <w:rFonts w:cs="宋体"/>
                <w:color w:val="000000"/>
                <w:sz w:val="16"/>
                <w:szCs w:val="16"/>
              </w:rPr>
              <w:t>100　</w:t>
            </w:r>
          </w:p>
        </w:tc>
        <w:tc>
          <w:tcPr>
            <w:tcW w:w="90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　</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right"/>
              <w:rPr>
                <w:rFonts w:hint="default" w:cs="宋体"/>
                <w:sz w:val="16"/>
                <w:szCs w:val="16"/>
              </w:rPr>
            </w:pPr>
            <w:r>
              <w:rPr>
                <w:rFonts w:cs="宋体"/>
                <w:sz w:val="16"/>
                <w:szCs w:val="16"/>
              </w:rPr>
              <w:t>　</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w:t>
            </w:r>
          </w:p>
        </w:tc>
        <w:tc>
          <w:tcPr>
            <w:tcW w:w="3648" w:type="dxa"/>
            <w:gridSpan w:val="4"/>
            <w:tcBorders>
              <w:top w:val="single" w:color="auto" w:sz="4" w:space="0"/>
              <w:left w:val="nil"/>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及时足额发放死亡人员死亡抚恤及丧葬费</w:t>
            </w:r>
          </w:p>
        </w:tc>
        <w:tc>
          <w:tcPr>
            <w:tcW w:w="3685" w:type="dxa"/>
            <w:gridSpan w:val="4"/>
            <w:tcBorders>
              <w:top w:val="single" w:color="auto" w:sz="4" w:space="0"/>
              <w:left w:val="nil"/>
              <w:bottom w:val="single" w:color="auto" w:sz="4" w:space="0"/>
              <w:right w:val="single" w:color="auto" w:sz="4" w:space="0"/>
            </w:tcBorders>
            <w:noWrap/>
          </w:tcPr>
          <w:p>
            <w:pPr>
              <w:spacing w:before="120"/>
              <w:rPr>
                <w:rFonts w:hint="default" w:cs="宋体"/>
                <w:color w:val="000000"/>
                <w:sz w:val="16"/>
                <w:szCs w:val="16"/>
              </w:rPr>
            </w:pPr>
            <w:r>
              <w:rPr>
                <w:rFonts w:cs="宋体"/>
                <w:color w:val="000000"/>
                <w:sz w:val="16"/>
                <w:szCs w:val="16"/>
              </w:rPr>
              <w:t>　及时足额发放死亡人员死亡抚恤及丧葬费</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spacing w:before="120"/>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性质</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指标值</w:t>
            </w:r>
          </w:p>
        </w:tc>
        <w:tc>
          <w:tcPr>
            <w:tcW w:w="1034"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全年完成值</w:t>
            </w:r>
          </w:p>
        </w:tc>
        <w:tc>
          <w:tcPr>
            <w:tcW w:w="86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偏离度（%）</w:t>
            </w:r>
          </w:p>
        </w:tc>
        <w:tc>
          <w:tcPr>
            <w:tcW w:w="1043"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得分系数（%）</w:t>
            </w:r>
          </w:p>
        </w:tc>
        <w:tc>
          <w:tcPr>
            <w:tcW w:w="70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权重</w:t>
            </w:r>
          </w:p>
        </w:tc>
        <w:tc>
          <w:tcPr>
            <w:tcW w:w="79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指标</w:t>
            </w:r>
          </w:p>
          <w:p>
            <w:pPr>
              <w:spacing w:before="120"/>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rPr>
            </w:pPr>
            <w:r>
              <w:rPr>
                <w:rFonts w:cs="宋体"/>
                <w:b/>
                <w:bCs/>
                <w:color w:val="00000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一年内　</w:t>
            </w:r>
          </w:p>
        </w:tc>
        <w:tc>
          <w:tcPr>
            <w:tcW w:w="567"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元/个　</w:t>
            </w:r>
          </w:p>
        </w:tc>
        <w:tc>
          <w:tcPr>
            <w:tcW w:w="850"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定性　</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优　</w:t>
            </w:r>
          </w:p>
        </w:tc>
        <w:tc>
          <w:tcPr>
            <w:tcW w:w="1034"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1　</w:t>
            </w:r>
          </w:p>
        </w:tc>
        <w:tc>
          <w:tcPr>
            <w:tcW w:w="86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　0</w:t>
            </w:r>
          </w:p>
        </w:tc>
        <w:tc>
          <w:tcPr>
            <w:tcW w:w="1043"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100　</w:t>
            </w:r>
          </w:p>
        </w:tc>
        <w:tc>
          <w:tcPr>
            <w:tcW w:w="70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25　</w:t>
            </w:r>
          </w:p>
        </w:tc>
        <w:tc>
          <w:tcPr>
            <w:tcW w:w="799"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25　</w:t>
            </w:r>
          </w:p>
        </w:tc>
        <w:tc>
          <w:tcPr>
            <w:tcW w:w="992" w:type="dxa"/>
            <w:tcBorders>
              <w:top w:val="nil"/>
              <w:left w:val="nil"/>
              <w:bottom w:val="single" w:color="auto" w:sz="4" w:space="0"/>
              <w:right w:val="single" w:color="auto"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b/>
                <w:bCs/>
                <w:color w:val="000000"/>
                <w:sz w:val="16"/>
                <w:szCs w:val="16"/>
              </w:rPr>
            </w:pPr>
            <w:r>
              <w:rPr>
                <w:rFonts w:cs="宋体"/>
                <w:b/>
                <w:bCs/>
                <w:color w:val="00000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维护死亡人员尊严</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好</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抚慰死者家属</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tcPr>
          <w:p>
            <w:pPr>
              <w:spacing w:before="120"/>
              <w:jc w:val="center"/>
              <w:rPr>
                <w:rFonts w:hint="default"/>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好</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20</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家属满意度</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人</w:t>
            </w:r>
            <w:r>
              <w:rPr>
                <w:rFonts w:hint="default" w:cs="宋体"/>
                <w:color w:val="000000"/>
                <w:sz w:val="16"/>
                <w:szCs w:val="16"/>
              </w:rPr>
              <w:t>/户</w:t>
            </w:r>
            <w:r>
              <w:rPr>
                <w:rFonts w:cs="宋体"/>
                <w:color w:val="000000"/>
                <w:sz w:val="16"/>
                <w:szCs w:val="16"/>
              </w:rPr>
              <w:t>　</w:t>
            </w:r>
          </w:p>
        </w:tc>
        <w:tc>
          <w:tcPr>
            <w:tcW w:w="850"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90</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90</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spacing w:before="120"/>
              <w:rPr>
                <w:rFonts w:hint="default" w:cs="宋体"/>
                <w:color w:val="000000"/>
                <w:sz w:val="16"/>
                <w:szCs w:val="16"/>
              </w:rPr>
            </w:pPr>
            <w:r>
              <w:rPr>
                <w:rFonts w:cs="宋体"/>
                <w:color w:val="000000"/>
                <w:sz w:val="16"/>
                <w:szCs w:val="16"/>
              </w:rPr>
              <w:t>按照规定执行</w:t>
            </w:r>
          </w:p>
        </w:tc>
        <w:tc>
          <w:tcPr>
            <w:tcW w:w="567" w:type="dxa"/>
            <w:tcBorders>
              <w:top w:val="nil"/>
              <w:left w:val="nil"/>
              <w:bottom w:val="single" w:color="auto" w:sz="4" w:space="0"/>
              <w:right w:val="single" w:color="auto" w:sz="4" w:space="0"/>
            </w:tcBorders>
            <w:noWrap/>
            <w:vAlign w:val="center"/>
          </w:tcPr>
          <w:p>
            <w:pPr>
              <w:spacing w:before="120"/>
              <w:ind w:firstLine="160" w:firstLineChars="100"/>
              <w:rPr>
                <w:rFonts w:hint="default" w:cs="宋体"/>
                <w:color w:val="000000"/>
                <w:sz w:val="16"/>
                <w:szCs w:val="16"/>
              </w:rPr>
            </w:pPr>
            <w:r>
              <w:rPr>
                <w:rFonts w:cs="宋体"/>
                <w:color w:val="000000"/>
                <w:sz w:val="16"/>
                <w:szCs w:val="16"/>
              </w:rPr>
              <w:t>元/人　</w:t>
            </w:r>
          </w:p>
        </w:tc>
        <w:tc>
          <w:tcPr>
            <w:tcW w:w="850"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b/>
                <w:bCs/>
                <w:color w:val="000000"/>
                <w:sz w:val="16"/>
                <w:szCs w:val="16"/>
              </w:rPr>
              <w:t>定性</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优</w:t>
            </w:r>
          </w:p>
        </w:tc>
        <w:tc>
          <w:tcPr>
            <w:tcW w:w="1034"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w:t>
            </w:r>
          </w:p>
        </w:tc>
        <w:tc>
          <w:tcPr>
            <w:tcW w:w="86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0</w:t>
            </w:r>
          </w:p>
        </w:tc>
        <w:tc>
          <w:tcPr>
            <w:tcW w:w="1043"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100</w:t>
            </w:r>
          </w:p>
        </w:tc>
        <w:tc>
          <w:tcPr>
            <w:tcW w:w="70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15</w:t>
            </w:r>
          </w:p>
        </w:tc>
        <w:tc>
          <w:tcPr>
            <w:tcW w:w="799"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r>
              <w:rPr>
                <w:rFonts w:cs="宋体"/>
                <w:color w:val="000000"/>
                <w:sz w:val="16"/>
                <w:szCs w:val="16"/>
              </w:rPr>
              <w:t>15</w:t>
            </w:r>
          </w:p>
        </w:tc>
        <w:tc>
          <w:tcPr>
            <w:tcW w:w="992" w:type="dxa"/>
            <w:tcBorders>
              <w:top w:val="nil"/>
              <w:left w:val="nil"/>
              <w:bottom w:val="single" w:color="auto" w:sz="4" w:space="0"/>
              <w:right w:val="single" w:color="auto" w:sz="4" w:space="0"/>
            </w:tcBorders>
            <w:noWrap/>
            <w:vAlign w:val="center"/>
          </w:tcPr>
          <w:p>
            <w:pPr>
              <w:spacing w:before="120"/>
              <w:ind w:firstLine="160" w:firstLineChars="100"/>
              <w:jc w:val="center"/>
              <w:rPr>
                <w:rFonts w:hint="default" w:cs="宋体"/>
                <w:color w:val="000000"/>
                <w:sz w:val="16"/>
                <w:szCs w:val="16"/>
              </w:rPr>
            </w:pPr>
          </w:p>
        </w:tc>
        <w:tc>
          <w:tcPr>
            <w:tcW w:w="1894" w:type="dxa"/>
            <w:gridSpan w:val="2"/>
            <w:tcBorders>
              <w:top w:val="single" w:color="auto" w:sz="4" w:space="0"/>
              <w:left w:val="nil"/>
              <w:bottom w:val="single" w:color="auto" w:sz="4" w:space="0"/>
              <w:right w:val="single" w:color="000000" w:sz="4" w:space="0"/>
            </w:tcBorders>
            <w:noWrap/>
            <w:vAlign w:val="center"/>
          </w:tcPr>
          <w:p>
            <w:pPr>
              <w:spacing w:before="120"/>
              <w:jc w:val="center"/>
              <w:rPr>
                <w:rFonts w:hint="default" w:cs="宋体"/>
                <w:color w:val="000000"/>
                <w:sz w:val="16"/>
                <w:szCs w:val="16"/>
              </w:rPr>
            </w:pPr>
          </w:p>
        </w:tc>
      </w:tr>
    </w:tbl>
    <w:p>
      <w:pPr>
        <w:pStyle w:val="12"/>
        <w:autoSpaceDE w:val="0"/>
        <w:spacing w:before="12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spacing w:before="12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我单位对重阳节活动经费开展了绩效评价，涉及财政拨款项目资金6.15万元，评价得分100分，评价等次为优，绩效评价未发现问题；对死亡抚恤金及丧葬费开展了绩效评价，涉及财政拨款项目资金</w:t>
      </w:r>
      <w:r>
        <w:rPr>
          <w:rFonts w:hint="eastAsia" w:ascii="方正仿宋_GBK" w:hAnsi="方正仿宋_GBK" w:eastAsia="方正仿宋_GBK" w:cs="方正仿宋_GBK"/>
          <w:sz w:val="32"/>
          <w:szCs w:val="32"/>
          <w:shd w:val="clear" w:color="auto" w:fill="FFFFFF"/>
          <w:lang w:val="en-US" w:eastAsia="zh-CN"/>
        </w:rPr>
        <w:t>23.31</w:t>
      </w:r>
      <w:r>
        <w:rPr>
          <w:rFonts w:hint="eastAsia" w:ascii="方正仿宋_GBK" w:hAnsi="方正仿宋_GBK" w:eastAsia="方正仿宋_GBK" w:cs="方正仿宋_GBK"/>
          <w:sz w:val="32"/>
          <w:szCs w:val="32"/>
          <w:shd w:val="clear" w:color="auto" w:fill="FFFFFF"/>
        </w:rPr>
        <w:t>万元，评价得分100分，评价等次为优，绩效评价未发现问题。</w:t>
      </w:r>
    </w:p>
    <w:p>
      <w:pPr>
        <w:pStyle w:val="11"/>
        <w:autoSpaceDE w:val="0"/>
        <w:spacing w:before="12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spacing w:before="12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120" w:before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120" w:beforeAutospacing="0" w:after="0" w:afterAutospacing="0" w:line="600" w:lineRule="exact"/>
        <w:ind w:firstLine="629" w:firstLineChars="196"/>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12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120" w:beforeAutospacing="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12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xml:space="preserve">本单位决算公开信息反馈和联系方式：             </w:t>
      </w:r>
      <w:r>
        <w:rPr>
          <w:rFonts w:ascii="方正仿宋_GBK" w:hAnsi="方正仿宋_GBK" w:eastAsia="方正仿宋_GBK" w:cs="方正仿宋_GBK"/>
          <w:color w:val="000000" w:themeColor="text1"/>
          <w:sz w:val="32"/>
          <w:szCs w:val="32"/>
          <w:shd w:val="clear" w:color="auto" w:fill="FFFFFF"/>
        </w:rPr>
        <w:t>李丹   023-70706058。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重庆市丰都县老龄工作事务中心(本级）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136.71</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78.12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232.56</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重庆市丰都县老龄工作事务中心(本级）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重庆市丰都县老龄工作事务中心(本级）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29.46</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136.71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136.71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78.12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232.56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203.10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29.46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130.56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136.71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130.56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130.56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181.88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重庆市丰都县老龄工作事务中心(本级）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21.22</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21.22</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0FC6"/>
    <w:rsid w:val="00042E81"/>
    <w:rsid w:val="00050C0C"/>
    <w:rsid w:val="000767BC"/>
    <w:rsid w:val="000A7819"/>
    <w:rsid w:val="00165B54"/>
    <w:rsid w:val="00171867"/>
    <w:rsid w:val="0017456D"/>
    <w:rsid w:val="00175D2B"/>
    <w:rsid w:val="001808EC"/>
    <w:rsid w:val="001D3BB7"/>
    <w:rsid w:val="00245E63"/>
    <w:rsid w:val="002B254B"/>
    <w:rsid w:val="002C74E8"/>
    <w:rsid w:val="002D0B2D"/>
    <w:rsid w:val="002D4D83"/>
    <w:rsid w:val="002E4022"/>
    <w:rsid w:val="002E658C"/>
    <w:rsid w:val="002F2F0D"/>
    <w:rsid w:val="00325A61"/>
    <w:rsid w:val="003376BC"/>
    <w:rsid w:val="00353B2D"/>
    <w:rsid w:val="00380F0E"/>
    <w:rsid w:val="00381FA1"/>
    <w:rsid w:val="00393771"/>
    <w:rsid w:val="003D4158"/>
    <w:rsid w:val="0042260F"/>
    <w:rsid w:val="004258E9"/>
    <w:rsid w:val="00466C9B"/>
    <w:rsid w:val="00470950"/>
    <w:rsid w:val="00484AF4"/>
    <w:rsid w:val="004A1918"/>
    <w:rsid w:val="005006D0"/>
    <w:rsid w:val="00550ABE"/>
    <w:rsid w:val="005F2BF2"/>
    <w:rsid w:val="006351BF"/>
    <w:rsid w:val="00770383"/>
    <w:rsid w:val="007819D4"/>
    <w:rsid w:val="007B419D"/>
    <w:rsid w:val="007B696B"/>
    <w:rsid w:val="007B7116"/>
    <w:rsid w:val="007B7C4B"/>
    <w:rsid w:val="007C5D3E"/>
    <w:rsid w:val="007D119A"/>
    <w:rsid w:val="007D3D39"/>
    <w:rsid w:val="008421F4"/>
    <w:rsid w:val="008C123E"/>
    <w:rsid w:val="008D6162"/>
    <w:rsid w:val="008F03D5"/>
    <w:rsid w:val="008F646E"/>
    <w:rsid w:val="00914D3E"/>
    <w:rsid w:val="009565C6"/>
    <w:rsid w:val="00976A18"/>
    <w:rsid w:val="00994AF7"/>
    <w:rsid w:val="009B67B8"/>
    <w:rsid w:val="009D2B67"/>
    <w:rsid w:val="00A0198A"/>
    <w:rsid w:val="00A26E87"/>
    <w:rsid w:val="00A44698"/>
    <w:rsid w:val="00A566F9"/>
    <w:rsid w:val="00A81B58"/>
    <w:rsid w:val="00AB3713"/>
    <w:rsid w:val="00AF2751"/>
    <w:rsid w:val="00AF6800"/>
    <w:rsid w:val="00B03CCD"/>
    <w:rsid w:val="00B05A38"/>
    <w:rsid w:val="00B6501B"/>
    <w:rsid w:val="00BE2B89"/>
    <w:rsid w:val="00C10E9E"/>
    <w:rsid w:val="00C12D22"/>
    <w:rsid w:val="00C155FC"/>
    <w:rsid w:val="00C20C3E"/>
    <w:rsid w:val="00C55760"/>
    <w:rsid w:val="00D14337"/>
    <w:rsid w:val="00D47685"/>
    <w:rsid w:val="00D81063"/>
    <w:rsid w:val="00D96A04"/>
    <w:rsid w:val="00DD0E58"/>
    <w:rsid w:val="00DD691D"/>
    <w:rsid w:val="00DE7E32"/>
    <w:rsid w:val="00DF590A"/>
    <w:rsid w:val="00E05E1C"/>
    <w:rsid w:val="00E37B91"/>
    <w:rsid w:val="00EB0E61"/>
    <w:rsid w:val="00EE11B5"/>
    <w:rsid w:val="00EF1ADE"/>
    <w:rsid w:val="00F258D6"/>
    <w:rsid w:val="00F25995"/>
    <w:rsid w:val="00F30D02"/>
    <w:rsid w:val="00F54907"/>
    <w:rsid w:val="00F66A49"/>
    <w:rsid w:val="00F73F90"/>
    <w:rsid w:val="00FC09F2"/>
    <w:rsid w:val="00FD0185"/>
    <w:rsid w:val="00FE19D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DB9E0E"/>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9E5A2"/>
    <w:rsid w:val="1FBB35CD"/>
    <w:rsid w:val="1FBE27D1"/>
    <w:rsid w:val="1FCD26AF"/>
    <w:rsid w:val="20642787"/>
    <w:rsid w:val="21556F04"/>
    <w:rsid w:val="22403BD3"/>
    <w:rsid w:val="24B92327"/>
    <w:rsid w:val="24C14514"/>
    <w:rsid w:val="24FCEC4E"/>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B26CB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7E91F5"/>
    <w:rsid w:val="3C566AD6"/>
    <w:rsid w:val="3C594871"/>
    <w:rsid w:val="3C6A5B02"/>
    <w:rsid w:val="3D2757A1"/>
    <w:rsid w:val="3D3D4FC4"/>
    <w:rsid w:val="3DDF3AB1"/>
    <w:rsid w:val="3E1D0952"/>
    <w:rsid w:val="3E42660A"/>
    <w:rsid w:val="3E7555B1"/>
    <w:rsid w:val="3E787ED9"/>
    <w:rsid w:val="3EFFBAA3"/>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7C6F72"/>
    <w:rsid w:val="4DAC4ACA"/>
    <w:rsid w:val="4DBE01D2"/>
    <w:rsid w:val="4EEDB629"/>
    <w:rsid w:val="4F0C6BA3"/>
    <w:rsid w:val="4F186D58"/>
    <w:rsid w:val="4FA7FAC9"/>
    <w:rsid w:val="4FFF4BD8"/>
    <w:rsid w:val="50F06B6E"/>
    <w:rsid w:val="51D21804"/>
    <w:rsid w:val="51FCF25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6FDC00"/>
    <w:rsid w:val="578867FC"/>
    <w:rsid w:val="5842572D"/>
    <w:rsid w:val="5A3B59D6"/>
    <w:rsid w:val="5AD134D8"/>
    <w:rsid w:val="5C263CE4"/>
    <w:rsid w:val="5C5D2777"/>
    <w:rsid w:val="5CF66BF3"/>
    <w:rsid w:val="5D290C69"/>
    <w:rsid w:val="5F2D4A41"/>
    <w:rsid w:val="5FFF6BD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F5DE8B"/>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BC2DC8"/>
    <w:rsid w:val="6FD9CFA4"/>
    <w:rsid w:val="6FE55E12"/>
    <w:rsid w:val="6FE95CB2"/>
    <w:rsid w:val="6FFB2E76"/>
    <w:rsid w:val="708F6F7F"/>
    <w:rsid w:val="70D94BD3"/>
    <w:rsid w:val="71C34D91"/>
    <w:rsid w:val="72DB435C"/>
    <w:rsid w:val="72E2613A"/>
    <w:rsid w:val="72F771F4"/>
    <w:rsid w:val="73934AD2"/>
    <w:rsid w:val="750837F0"/>
    <w:rsid w:val="754758CF"/>
    <w:rsid w:val="75B31EAD"/>
    <w:rsid w:val="75DECC93"/>
    <w:rsid w:val="764F62AB"/>
    <w:rsid w:val="765C45EC"/>
    <w:rsid w:val="768A7619"/>
    <w:rsid w:val="76B806C7"/>
    <w:rsid w:val="772E1EBA"/>
    <w:rsid w:val="776E1522"/>
    <w:rsid w:val="77E75FB5"/>
    <w:rsid w:val="77FFCF55"/>
    <w:rsid w:val="781926BC"/>
    <w:rsid w:val="78EC7597"/>
    <w:rsid w:val="796D60A4"/>
    <w:rsid w:val="79A031D5"/>
    <w:rsid w:val="7A1525F7"/>
    <w:rsid w:val="7B420052"/>
    <w:rsid w:val="7BD06A28"/>
    <w:rsid w:val="7BFF9914"/>
    <w:rsid w:val="7C3A7C0B"/>
    <w:rsid w:val="7C5248E4"/>
    <w:rsid w:val="7C566698"/>
    <w:rsid w:val="7C5866A3"/>
    <w:rsid w:val="7D7406BB"/>
    <w:rsid w:val="7DE94331"/>
    <w:rsid w:val="7E8F96F3"/>
    <w:rsid w:val="7F446A19"/>
    <w:rsid w:val="7F7452B9"/>
    <w:rsid w:val="7FDB60B7"/>
    <w:rsid w:val="7FFBA0EB"/>
    <w:rsid w:val="A3F21BC5"/>
    <w:rsid w:val="BF7AB4B3"/>
    <w:rsid w:val="CFF78D1D"/>
    <w:rsid w:val="EE8F77DF"/>
    <w:rsid w:val="EFBE641A"/>
    <w:rsid w:val="EFCFBCF6"/>
    <w:rsid w:val="F23EEBCD"/>
    <w:rsid w:val="F3FD9FFA"/>
    <w:rsid w:val="F53FFAF6"/>
    <w:rsid w:val="F6FF924F"/>
    <w:rsid w:val="FAF2B2B4"/>
    <w:rsid w:val="FD36FA90"/>
    <w:rsid w:val="FEEB370C"/>
    <w:rsid w:val="FF77A39D"/>
    <w:rsid w:val="FFBB273A"/>
    <w:rsid w:val="FFFD82A6"/>
    <w:rsid w:val="FFFF6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2038</Words>
  <Characters>11622</Characters>
  <Lines>96</Lines>
  <Paragraphs>27</Paragraphs>
  <TotalTime>0</TotalTime>
  <ScaleCrop>false</ScaleCrop>
  <LinksUpToDate>false</LinksUpToDate>
  <CharactersWithSpaces>13633</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2024-07-14T02:00:00Z</dcterms:created>
  <dc:creator>Administrator</dc:creator>
  <cp:lastModifiedBy>changcheng</cp:lastModifiedBy>
  <cp:lastPrinted>2024-09-25T18:44:00Z</cp:lastPrinted>
  <dcterms:modified xsi:type="dcterms:W3CDTF">2024-09-26T14:53:56Z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BB46EABDBB2749749395447164B066B3_12</vt:lpwstr>
  </property>
</Properties>
</file>