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丰都县殡仪馆</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8"/>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pPr>
        <w:pStyle w:val="6"/>
        <w:shd w:val="clear" w:color="auto" w:fill="FFFFFF"/>
        <w:ind w:firstLine="420"/>
        <w:rPr>
          <w:rFonts w:hint="default" w:ascii="方正仿宋_GBK" w:hAnsi="Times New Roman" w:eastAsia="方正仿宋_GBK"/>
          <w:sz w:val="32"/>
          <w:szCs w:val="32"/>
        </w:rPr>
      </w:pPr>
      <w:r>
        <w:rPr>
          <w:rFonts w:ascii="方正仿宋_GBK" w:hAnsi="Times New Roman" w:eastAsia="方正仿宋_GBK"/>
          <w:sz w:val="32"/>
          <w:szCs w:val="32"/>
        </w:rPr>
        <w:t>殡仪馆负责为丧家提供殡仪服务场所及设施；负责殡葬用品和祭品的销售；负责遗体运输、存放、整容化妆、悼念、火化以及骨灰寄存等项殡葬业务。</w:t>
      </w:r>
    </w:p>
    <w:p>
      <w:pPr>
        <w:pStyle w:val="6"/>
        <w:shd w:val="clear" w:color="auto" w:fill="FFFFFF"/>
        <w:ind w:firstLine="420"/>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pPr>
        <w:snapToGrid w:val="0"/>
        <w:spacing w:line="560" w:lineRule="exact"/>
        <w:ind w:firstLine="640" w:firstLineChars="200"/>
        <w:rPr>
          <w:rFonts w:hint="default" w:ascii="方正仿宋_GBK" w:hAnsi="Times New Roman" w:eastAsia="方正仿宋_GBK"/>
          <w:sz w:val="32"/>
          <w:szCs w:val="32"/>
        </w:rPr>
      </w:pPr>
      <w:r>
        <w:rPr>
          <w:rFonts w:ascii="方正仿宋_GBK" w:hAnsi="Times New Roman" w:eastAsia="方正仿宋_GBK"/>
          <w:sz w:val="32"/>
          <w:szCs w:val="32"/>
        </w:rPr>
        <w:t>殡仪馆设置办公室、火化车间、治丧服务部、业务接待部、驾驶组、餐饮部、后勤保障部7个内设机构。</w:t>
      </w:r>
    </w:p>
    <w:p>
      <w:pPr>
        <w:pStyle w:val="6"/>
        <w:shd w:val="clear" w:color="auto" w:fill="FFFFFF"/>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2023年度收入总计1226.55万元，支出总计</w:t>
      </w:r>
      <w:r>
        <w:rPr>
          <w:rFonts w:ascii="方正仿宋_GBK" w:hAnsi="方正仿宋_GBK" w:eastAsia="方正仿宋_GBK" w:cs="方正仿宋_GBK"/>
          <w:sz w:val="32"/>
          <w:szCs w:val="32"/>
        </w:rPr>
        <w:t>1226.55</w:t>
      </w:r>
      <w:r>
        <w:rPr>
          <w:rFonts w:ascii="方正仿宋_GBK" w:hAnsi="方正仿宋_GBK" w:eastAsia="方正仿宋_GBK" w:cs="方正仿宋_GBK"/>
          <w:sz w:val="32"/>
          <w:szCs w:val="32"/>
          <w:shd w:val="clear" w:color="auto" w:fill="FFFFFF"/>
        </w:rPr>
        <w:t>万元。收支较上年决算数增加698.03万元，增长132.07%，主要原因是殡仪馆政策性增资、调资晋级、借款收入增加、公益性骨灰堂项目增加。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2023年度收入合计1169.79万元，较上年决算数增加641.58万元，增长121.46%，主要原因是殡仪馆借款收入增加、公益性骨灰堂项目增加。其中：财政拨款收入</w:t>
      </w:r>
      <w:r>
        <w:rPr>
          <w:rFonts w:ascii="方正仿宋_GBK" w:hAnsi="方正仿宋_GBK" w:eastAsia="方正仿宋_GBK" w:cs="方正仿宋_GBK"/>
          <w:sz w:val="32"/>
          <w:szCs w:val="32"/>
        </w:rPr>
        <w:t>1136.43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97.15</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1.36</w:t>
      </w:r>
      <w:r>
        <w:rPr>
          <w:rFonts w:ascii="方正仿宋_GBK" w:hAnsi="方正仿宋_GBK" w:eastAsia="方正仿宋_GBK" w:cs="方正仿宋_GBK"/>
          <w:sz w:val="32"/>
          <w:szCs w:val="32"/>
          <w:shd w:val="clear" w:color="auto" w:fill="FFFFFF"/>
        </w:rPr>
        <w:t>万元，占0.12%；经营收入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32.00</w:t>
      </w:r>
      <w:r>
        <w:rPr>
          <w:rFonts w:ascii="方正仿宋_GBK" w:hAnsi="方正仿宋_GBK" w:eastAsia="方正仿宋_GBK" w:cs="方正仿宋_GBK"/>
          <w:sz w:val="32"/>
          <w:szCs w:val="32"/>
          <w:shd w:val="clear" w:color="auto" w:fill="FFFFFF"/>
        </w:rPr>
        <w:t>万元，占2.74%。此外，使用非财政拨款结余和专用结余</w:t>
      </w:r>
      <w:r>
        <w:rPr>
          <w:rFonts w:ascii="方正仿宋_GBK" w:hAnsi="方正仿宋_GBK" w:eastAsia="方正仿宋_GBK" w:cs="方正仿宋_GBK"/>
          <w:sz w:val="32"/>
          <w:szCs w:val="32"/>
        </w:rPr>
        <w:t>0.24</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56.52</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1226.55</w:t>
      </w:r>
      <w:r>
        <w:rPr>
          <w:rFonts w:ascii="方正仿宋_GBK" w:hAnsi="方正仿宋_GBK" w:eastAsia="方正仿宋_GBK" w:cs="方正仿宋_GBK"/>
          <w:sz w:val="32"/>
          <w:szCs w:val="32"/>
          <w:shd w:val="clear" w:color="auto" w:fill="FFFFFF"/>
        </w:rPr>
        <w:t>万元，较上年决算数增加698.03万元，增长132.07%，主要原因是殡仪馆政策性增资、调资晋级、借款收入增加、公益性骨灰堂项目增加。其中：基本支出</w:t>
      </w:r>
      <w:r>
        <w:rPr>
          <w:rFonts w:ascii="方正仿宋_GBK" w:hAnsi="方正仿宋_GBK" w:eastAsia="方正仿宋_GBK" w:cs="方正仿宋_GBK"/>
          <w:sz w:val="32"/>
          <w:szCs w:val="32"/>
        </w:rPr>
        <w:t>234.96</w:t>
      </w:r>
      <w:r>
        <w:rPr>
          <w:rFonts w:ascii="方正仿宋_GBK" w:hAnsi="方正仿宋_GBK" w:eastAsia="方正仿宋_GBK" w:cs="方正仿宋_GBK"/>
          <w:sz w:val="32"/>
          <w:szCs w:val="32"/>
          <w:shd w:val="clear" w:color="auto" w:fill="FFFFFF"/>
        </w:rPr>
        <w:t>万元，占19.16%；项目支出</w:t>
      </w:r>
      <w:r>
        <w:rPr>
          <w:rFonts w:ascii="方正仿宋_GBK" w:hAnsi="方正仿宋_GBK" w:eastAsia="方正仿宋_GBK" w:cs="方正仿宋_GBK"/>
          <w:sz w:val="32"/>
          <w:szCs w:val="32"/>
        </w:rPr>
        <w:t>991.59</w:t>
      </w:r>
      <w:r>
        <w:rPr>
          <w:rFonts w:ascii="方正仿宋_GBK" w:hAnsi="方正仿宋_GBK" w:eastAsia="方正仿宋_GBK" w:cs="方正仿宋_GBK"/>
          <w:sz w:val="32"/>
          <w:szCs w:val="32"/>
          <w:shd w:val="clear" w:color="auto" w:fill="FFFFFF"/>
        </w:rPr>
        <w:t>万元，占80.84%；经营支出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eastAsia="方正仿宋_GBK" w:cs="宋体"/>
          <w:sz w:val="32"/>
          <w:szCs w:val="32"/>
        </w:rPr>
      </w:pPr>
      <w:r>
        <w:rPr>
          <w:rStyle w:val="8"/>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w:t>
      </w:r>
      <w:r>
        <w:rPr>
          <w:rFonts w:ascii="方正仿宋_GBK" w:eastAsia="方正仿宋_GBK" w:cs="宋体"/>
          <w:sz w:val="32"/>
          <w:szCs w:val="32"/>
        </w:rPr>
        <w:t>上年决算持平。</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2023年度财政拨款收、支总计1192.95万元。与2022年相比，财政拨款收、支总计各增加687.37万元，增长135.96%。主要原因是政策性增资、调资晋级、借款收入增加、公益性骨灰堂项目增加。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1136.43</w:t>
      </w:r>
      <w:r>
        <w:rPr>
          <w:rFonts w:ascii="方正仿宋_GBK" w:hAnsi="方正仿宋_GBK" w:eastAsia="方正仿宋_GBK" w:cs="方正仿宋_GBK"/>
          <w:sz w:val="32"/>
          <w:szCs w:val="32"/>
          <w:shd w:val="clear" w:color="auto" w:fill="FFFFFF"/>
        </w:rPr>
        <w:t>万元，较上年决算数增加768.50万元，增长208.87%。主要原因是政策性增资、调资晋级、借款收入增加、公益性骨灰堂项目增加。较年初预算数增加755.16万元，增长198.06%。主要原因是本年借款收入增加、公益性骨灰堂项目增加费。此外，年初财政拨款结转和结余</w:t>
      </w:r>
      <w:r>
        <w:rPr>
          <w:rFonts w:ascii="方正仿宋_GBK" w:hAnsi="方正仿宋_GBK" w:eastAsia="方正仿宋_GBK" w:cs="方正仿宋_GBK"/>
          <w:sz w:val="32"/>
          <w:szCs w:val="32"/>
        </w:rPr>
        <w:t>56.52</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803" w:firstLineChars="25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1192.95</w:t>
      </w:r>
      <w:r>
        <w:rPr>
          <w:rFonts w:ascii="方正仿宋_GBK" w:hAnsi="方正仿宋_GBK" w:eastAsia="方正仿宋_GBK" w:cs="方正仿宋_GBK"/>
          <w:sz w:val="32"/>
          <w:szCs w:val="32"/>
          <w:shd w:val="clear" w:color="auto" w:fill="FFFFFF"/>
        </w:rPr>
        <w:t>万元，较上年决算数增加825.02万元，增长224.23%。主要原因是殡仪馆政策性增资、调资晋级、借款收入增加、公益性骨灰堂项目增加。较年初预算数增加811.68万元，增长212.89%。主要原因是殡仪馆政策性增资、调资晋级、借款收入增加、公益性骨灰堂项目增加。</w:t>
      </w:r>
    </w:p>
    <w:p>
      <w:pPr>
        <w:pStyle w:val="6"/>
        <w:snapToGrid w:val="0"/>
        <w:spacing w:before="0" w:beforeAutospacing="0" w:after="0" w:afterAutospacing="0" w:line="600" w:lineRule="exact"/>
        <w:ind w:firstLine="803" w:firstLineChars="25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rPr>
        <w:t>与上年决算数持平</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8"/>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（1）社会保障与就业支出</w:t>
      </w:r>
      <w:r>
        <w:rPr>
          <w:rFonts w:ascii="方正仿宋_GBK" w:hAnsi="方正仿宋_GBK" w:eastAsia="方正仿宋_GBK" w:cs="方正仿宋_GBK"/>
          <w:sz w:val="32"/>
          <w:szCs w:val="32"/>
        </w:rPr>
        <w:t>1178.46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98.79</w:t>
      </w:r>
      <w:r>
        <w:rPr>
          <w:rFonts w:ascii="方正仿宋_GBK" w:hAnsi="方正仿宋_GBK" w:eastAsia="方正仿宋_GBK" w:cs="方正仿宋_GBK"/>
          <w:sz w:val="32"/>
          <w:szCs w:val="32"/>
          <w:shd w:val="clear" w:color="auto" w:fill="FFFFFF"/>
        </w:rPr>
        <w:t>%，较年初预算数增加814.51万元，增长223.80%，主要原因是政策性增资、公用经费增加、借款收入增加、公益性骨灰堂项目增加。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（2）卫生健康支出</w:t>
      </w:r>
      <w:r>
        <w:rPr>
          <w:rFonts w:ascii="方正仿宋_GBK" w:hAnsi="方正仿宋_GBK" w:eastAsia="方正仿宋_GBK" w:cs="方正仿宋_GBK"/>
          <w:sz w:val="32"/>
          <w:szCs w:val="32"/>
        </w:rPr>
        <w:t>10.19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0.85</w:t>
      </w:r>
      <w:r>
        <w:rPr>
          <w:rFonts w:ascii="方正仿宋_GBK" w:hAnsi="方正仿宋_GBK" w:eastAsia="方正仿宋_GBK" w:cs="方正仿宋_GBK"/>
          <w:sz w:val="32"/>
          <w:szCs w:val="32"/>
          <w:shd w:val="clear" w:color="auto" w:fill="FFFFFF"/>
        </w:rPr>
        <w:t>%，较年初预算数无增减，主要原因是较年初预算数较持平。</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rPr>
        <w:t>住房保障支出4.30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0.36</w:t>
      </w:r>
      <w:r>
        <w:rPr>
          <w:rFonts w:ascii="方正仿宋_GBK" w:hAnsi="方正仿宋_GBK" w:eastAsia="方正仿宋_GBK" w:cs="方正仿宋_GBK"/>
          <w:sz w:val="32"/>
          <w:szCs w:val="32"/>
          <w:shd w:val="clear" w:color="auto" w:fill="FFFFFF"/>
        </w:rPr>
        <w:t>%，较年初预算数减少2.82万元，下降39.61%，主要原因是本年清理2021-2022年公积金多缴部分，在缴纳2023年公积金中补扣。</w:t>
      </w:r>
    </w:p>
    <w:p>
      <w:pPr>
        <w:pStyle w:val="6"/>
        <w:shd w:val="clear" w:color="auto" w:fill="FFFFFF"/>
        <w:ind w:firstLine="482" w:firstLineChars="15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（四）一般公共预算财政拨款基本支出决算情况说明</w:t>
      </w:r>
    </w:p>
    <w:p>
      <w:pPr>
        <w:snapToGrid w:val="0"/>
        <w:spacing w:line="520" w:lineRule="exact"/>
        <w:ind w:firstLine="960" w:firstLineChars="3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201.36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175.96</w:t>
      </w:r>
      <w:r>
        <w:rPr>
          <w:rFonts w:ascii="方正仿宋_GBK" w:hAnsi="方正仿宋_GBK" w:eastAsia="方正仿宋_GBK" w:cs="方正仿宋_GBK"/>
          <w:sz w:val="32"/>
          <w:szCs w:val="32"/>
          <w:shd w:val="clear" w:color="auto" w:fill="FFFFFF"/>
        </w:rPr>
        <w:t>万元，较上年决算数增加6.03万元，增长3.55%，</w:t>
      </w:r>
      <w:r>
        <w:rPr>
          <w:rFonts w:ascii="方正仿宋_GBK" w:eastAsia="方正仿宋_GBK"/>
          <w:sz w:val="32"/>
          <w:szCs w:val="32"/>
        </w:rPr>
        <w:t>主要原因是政策性增资和调资晋级</w:t>
      </w:r>
      <w:r>
        <w:rPr>
          <w:rFonts w:ascii="方正仿宋_GBK" w:hAnsi="Times New Roman" w:eastAsia="方正仿宋_GBK"/>
          <w:sz w:val="32"/>
          <w:szCs w:val="32"/>
        </w:rPr>
        <w:t>。人员经费用途主要包括</w:t>
      </w:r>
      <w:r>
        <w:rPr>
          <w:rFonts w:ascii="方正仿宋_GBK" w:hAnsi="Times New Roman" w:eastAsia="方正仿宋_GBK"/>
          <w:color w:val="000000"/>
          <w:sz w:val="32"/>
          <w:szCs w:val="32"/>
        </w:rPr>
        <w:t>基本工资、津贴补贴、伙食补助费、绩效工资、社会保障缴费、住房公积金等支出</w:t>
      </w:r>
      <w:r>
        <w:rPr>
          <w:rFonts w:ascii="方正仿宋_GBK" w:hAnsi="Times New Roman" w:eastAsia="方正仿宋_GBK"/>
          <w:sz w:val="32"/>
          <w:szCs w:val="32"/>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25.40</w:t>
      </w:r>
      <w:r>
        <w:rPr>
          <w:rFonts w:ascii="方正仿宋_GBK" w:hAnsi="方正仿宋_GBK" w:eastAsia="方正仿宋_GBK" w:cs="方正仿宋_GBK"/>
          <w:sz w:val="32"/>
          <w:szCs w:val="32"/>
          <w:shd w:val="clear" w:color="auto" w:fill="FFFFFF"/>
        </w:rPr>
        <w:t>万元，较上年决算数增加2.41万元，增长10.48%，</w:t>
      </w:r>
      <w:r>
        <w:rPr>
          <w:rFonts w:ascii="方正仿宋_GBK" w:hAnsi="Times New Roman" w:eastAsia="方正仿宋_GBK"/>
          <w:sz w:val="32"/>
          <w:szCs w:val="32"/>
        </w:rPr>
        <w:t>主要原因是</w:t>
      </w:r>
      <w:r>
        <w:rPr>
          <w:rFonts w:ascii="方正仿宋_GBK" w:hAnsi="方正仿宋_GBK" w:eastAsia="方正仿宋_GBK" w:cs="方正仿宋_GBK"/>
          <w:sz w:val="32"/>
          <w:szCs w:val="32"/>
          <w:shd w:val="clear" w:color="auto" w:fill="FFFFFF"/>
        </w:rPr>
        <w:t>殡仪车辆维护维修费增加。</w:t>
      </w:r>
      <w:r>
        <w:rPr>
          <w:rFonts w:ascii="方正仿宋_GBK" w:hAnsi="Times New Roman" w:eastAsia="方正仿宋_GBK"/>
          <w:color w:val="000000"/>
          <w:sz w:val="32"/>
          <w:szCs w:val="32"/>
        </w:rPr>
        <w:t>公用经费用途主要包括办公费、咨询费、水电费、邮电费、手续费、差旅费、维修费、会议费、培训费、公务接待费、劳务费、工会经费、福利费、公务用车运行维护费、其他交通费及其他商品和服务等支出。</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万元，较上年决算数减少137.66万元，下降100.00%，主要原因是本单位2023年无政府性基金预算拨款。本年支出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万元，较上年决算数减少137.66万元，下降100.00%，主要原因是本单位2023年无政府性基金预算拨款收支。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hd w:val="clear" w:color="auto" w:fill="FFFFFF"/>
        <w:ind w:firstLine="480" w:firstLineChars="150"/>
        <w:rPr>
          <w:rFonts w:hint="default" w:ascii="方正仿宋_GBK" w:hAnsi="楷体" w:eastAsia="方正仿宋_GBK" w:cs="楷体"/>
          <w:bCs/>
          <w:sz w:val="32"/>
          <w:szCs w:val="32"/>
          <w:shd w:val="clear" w:color="auto" w:fill="FFFFFF"/>
        </w:rPr>
      </w:pPr>
      <w:r>
        <w:rPr>
          <w:rFonts w:ascii="Times New Roman" w:hAnsi="Times New Roman" w:eastAsia="方正仿宋_GBK"/>
          <w:bCs/>
          <w:kern w:val="2"/>
          <w:sz w:val="32"/>
          <w:szCs w:val="32"/>
        </w:rPr>
        <w:t>本单位2023年度无</w:t>
      </w:r>
      <w:r>
        <w:rPr>
          <w:rFonts w:ascii="方正仿宋_GBK" w:hAnsi="楷体" w:eastAsia="方正仿宋_GBK" w:cs="楷体"/>
          <w:bCs/>
          <w:sz w:val="32"/>
          <w:szCs w:val="32"/>
          <w:shd w:val="clear" w:color="auto" w:fill="FFFFFF"/>
        </w:rPr>
        <w:t>国有资本经营预算财政拨款支出。</w:t>
      </w:r>
    </w:p>
    <w:p>
      <w:pPr>
        <w:pStyle w:val="6"/>
        <w:shd w:val="clear" w:color="auto" w:fill="FFFFFF"/>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17.72</w:t>
      </w:r>
      <w:r>
        <w:rPr>
          <w:rFonts w:ascii="方正仿宋_GBK" w:hAnsi="方正仿宋_GBK" w:eastAsia="方正仿宋_GBK" w:cs="方正仿宋_GBK"/>
          <w:sz w:val="32"/>
          <w:szCs w:val="32"/>
          <w:shd w:val="clear" w:color="auto" w:fill="FFFFFF"/>
        </w:rPr>
        <w:t>万元，较年初预算数增加14.52万元，增长453.75%，主要原因是本年殡仪车辆维护维修费增加，较上年支出数增加8.98万元，增长102.75%，主要原因是本年殡仪车辆维护维修费增加。</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（二）“三公”经费分项支出情况</w:t>
      </w:r>
    </w:p>
    <w:p>
      <w:pPr>
        <w:spacing w:line="560" w:lineRule="exact"/>
        <w:ind w:firstLine="640" w:firstLineChars="200"/>
        <w:rPr>
          <w:rFonts w:hint="default" w:ascii="方正仿宋_GBK" w:eastAsia="方正仿宋_GBK"/>
          <w:color w:val="000000"/>
          <w:sz w:val="32"/>
          <w:szCs w:val="32"/>
        </w:rPr>
      </w:pPr>
      <w:r>
        <w:rPr>
          <w:rFonts w:ascii="方正仿宋_GBK" w:eastAsia="方正仿宋_GBK"/>
          <w:color w:val="000000"/>
          <w:sz w:val="32"/>
          <w:szCs w:val="32"/>
        </w:rPr>
        <w:t>1. 本单位2023年度未发生因公出国（境）费用支出，与年初预算数及上年决算数持平。</w:t>
      </w:r>
    </w:p>
    <w:p>
      <w:pPr>
        <w:spacing w:line="560" w:lineRule="exact"/>
        <w:ind w:firstLine="640" w:firstLineChars="200"/>
        <w:rPr>
          <w:rFonts w:hint="default" w:ascii="方正仿宋_GBK" w:eastAsia="方正仿宋_GBK"/>
          <w:color w:val="000000"/>
          <w:sz w:val="32"/>
          <w:szCs w:val="32"/>
        </w:rPr>
      </w:pPr>
      <w:r>
        <w:rPr>
          <w:rFonts w:ascii="方正仿宋_GBK" w:eastAsia="方正仿宋_GBK"/>
          <w:color w:val="000000"/>
          <w:sz w:val="32"/>
          <w:szCs w:val="32"/>
        </w:rPr>
        <w:t>2. 本单位2023年度未发生公务车购置费用支出，与年初预算数及上年决算数持平。</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3.公务车运行维护费</w:t>
      </w:r>
      <w:r>
        <w:rPr>
          <w:rFonts w:ascii="方正仿宋_GBK" w:hAnsi="方正仿宋_GBK" w:eastAsia="方正仿宋_GBK" w:cs="方正仿宋_GBK"/>
          <w:sz w:val="32"/>
          <w:szCs w:val="32"/>
        </w:rPr>
        <w:t>17.53</w:t>
      </w:r>
      <w:r>
        <w:rPr>
          <w:rFonts w:ascii="方正仿宋_GBK" w:hAnsi="方正仿宋_GBK" w:eastAsia="方正仿宋_GBK" w:cs="方正仿宋_GBK"/>
          <w:sz w:val="32"/>
          <w:szCs w:val="32"/>
          <w:shd w:val="clear" w:color="auto" w:fill="FFFFFF"/>
        </w:rPr>
        <w:t>万元，</w:t>
      </w:r>
      <w:r>
        <w:rPr>
          <w:rFonts w:ascii="方正仿宋_GBK" w:hAnsi="Times New Roman" w:eastAsia="方正仿宋_GBK"/>
          <w:color w:val="000000"/>
          <w:sz w:val="32"/>
          <w:szCs w:val="32"/>
        </w:rPr>
        <w:t>主要用于车辆加油、维修保养、路桥费及保险费，以保障单位公务应急用车。</w:t>
      </w:r>
      <w:r>
        <w:rPr>
          <w:rFonts w:ascii="方正仿宋_GBK" w:hAnsi="方正仿宋_GBK" w:eastAsia="方正仿宋_GBK" w:cs="方正仿宋_GBK"/>
          <w:sz w:val="32"/>
          <w:szCs w:val="32"/>
          <w:shd w:val="clear" w:color="auto" w:fill="FFFFFF"/>
        </w:rPr>
        <w:t>费用支出较年初预算数增加14.53万元，增长484.33%，主要原因是本年殡仪车辆维护维修费增加。较上年支出数增加8.79万元，增长100.57%，主要原因是本年殡仪车辆维护维修费增加。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4.公务接待费</w:t>
      </w:r>
      <w:r>
        <w:rPr>
          <w:rFonts w:ascii="方正仿宋_GBK" w:hAnsi="方正仿宋_GBK" w:eastAsia="方正仿宋_GBK" w:cs="方正仿宋_GBK"/>
          <w:sz w:val="32"/>
          <w:szCs w:val="32"/>
        </w:rPr>
        <w:t>0.19</w:t>
      </w:r>
      <w:r>
        <w:rPr>
          <w:rFonts w:ascii="方正仿宋_GBK" w:hAnsi="方正仿宋_GBK" w:eastAsia="方正仿宋_GBK" w:cs="方正仿宋_GBK"/>
          <w:sz w:val="32"/>
          <w:szCs w:val="32"/>
          <w:shd w:val="clear" w:color="auto" w:fill="FFFFFF"/>
        </w:rPr>
        <w:t>万元，主要用于接待重庆市殡葬协会及其他区县殡仪馆莅临本单位检查工作，费用支出较年初预算数减少0.01万元，下降5.00%，主要原因是</w:t>
      </w:r>
      <w:r>
        <w:rPr>
          <w:rFonts w:ascii="方正仿宋_GBK" w:eastAsia="方正仿宋_GBK"/>
          <w:sz w:val="32"/>
          <w:szCs w:val="32"/>
        </w:rPr>
        <w:t>本年严格控制公务接待费</w:t>
      </w:r>
      <w:r>
        <w:rPr>
          <w:rFonts w:ascii="Times New Roman" w:hAnsi="Times New Roman" w:eastAsia="方正仿宋_GBK"/>
          <w:sz w:val="32"/>
          <w:szCs w:val="32"/>
        </w:rPr>
        <w:t>。</w:t>
      </w:r>
      <w:r>
        <w:rPr>
          <w:rFonts w:ascii="方正仿宋_GBK" w:hAnsi="方正仿宋_GBK" w:eastAsia="方正仿宋_GBK" w:cs="方正仿宋_GBK"/>
          <w:sz w:val="32"/>
          <w:szCs w:val="32"/>
          <w:shd w:val="clear" w:color="auto" w:fill="FFFFFF"/>
        </w:rPr>
        <w:t>较上年支出数增加0.19万元，增长100.00%，主要原因是接待重庆市殡葬协会及其他区县殡仪馆莅临本单位检查工作费用。</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12</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156.67</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4.38</w:t>
      </w:r>
      <w:r>
        <w:rPr>
          <w:rFonts w:ascii="方正仿宋_GBK" w:hAnsi="方正仿宋_GBK" w:eastAsia="方正仿宋_GBK" w:cs="方正仿宋_GBK"/>
          <w:sz w:val="32"/>
          <w:szCs w:val="32"/>
          <w:shd w:val="clear" w:color="auto" w:fill="FFFFFF"/>
        </w:rPr>
        <w:t>万元。</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万元，较上年决算数无增减，主要原因是本年无会议费。本年度培训费支出</w:t>
      </w:r>
      <w:r>
        <w:rPr>
          <w:rFonts w:ascii="方正仿宋_GBK" w:hAnsi="方正仿宋_GBK" w:eastAsia="方正仿宋_GBK" w:cs="方正仿宋_GBK"/>
          <w:sz w:val="32"/>
          <w:szCs w:val="32"/>
        </w:rPr>
        <w:t>0.68</w:t>
      </w:r>
      <w:r>
        <w:rPr>
          <w:rFonts w:ascii="方正仿宋_GBK" w:hAnsi="方正仿宋_GBK" w:eastAsia="方正仿宋_GBK" w:cs="方正仿宋_GBK"/>
          <w:sz w:val="32"/>
          <w:szCs w:val="32"/>
          <w:shd w:val="clear" w:color="auto" w:fill="FFFFFF"/>
        </w:rPr>
        <w:t>万元，较上年决算数增加0.59万元，增长655.56%，主要原因是本单位职工参加重庆殡葬技能培训费。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1"/>
        <w:autoSpaceDE w:val="0"/>
        <w:spacing w:line="560" w:lineRule="exact"/>
        <w:ind w:firstLine="640"/>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rPr>
        <w:t>按照部门决算列报口径，</w:t>
      </w:r>
      <w:r>
        <w:rPr>
          <w:rFonts w:ascii="方正仿宋_GBK" w:hAnsi="方正仿宋_GBK" w:eastAsia="方正仿宋_GBK" w:cs="方正仿宋_GBK"/>
          <w:sz w:val="32"/>
          <w:szCs w:val="32"/>
        </w:rPr>
        <w:t>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辆、主要领导干部用车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辆。单价100万元（含）以上专用设备（不含车辆）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numPr>
          <w:ilvl w:val="0"/>
          <w:numId w:val="1"/>
        </w:numPr>
        <w:autoSpaceDE w:val="0"/>
        <w:ind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政府采购支出情况说明</w:t>
      </w:r>
    </w:p>
    <w:p>
      <w:pPr>
        <w:pStyle w:val="6"/>
        <w:snapToGrid w:val="0"/>
        <w:spacing w:before="0" w:beforeAutospacing="0" w:after="0" w:afterAutospacing="0" w:line="560" w:lineRule="exact"/>
        <w:ind w:firstLine="320" w:firstLineChars="1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pPr>
        <w:pStyle w:val="6"/>
        <w:shd w:val="clear" w:color="auto" w:fill="FFFFFF"/>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五、预算绩效管理情况说明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spacing w:line="600" w:lineRule="exact"/>
        <w:ind w:firstLine="640" w:firstLineChars="200"/>
        <w:rPr>
          <w:rFonts w:hint="default"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根据预算绩效管理要求，我单</w:t>
      </w:r>
      <w:bookmarkStart w:id="0" w:name="_GoBack"/>
      <w:bookmarkEnd w:id="0"/>
      <w:r>
        <w:rPr>
          <w:rFonts w:ascii="方正仿宋_GBK" w:hAnsi="方正仿宋_GBK" w:eastAsia="方正仿宋_GBK" w:cs="方正仿宋_GBK"/>
          <w:sz w:val="32"/>
          <w:szCs w:val="32"/>
          <w:shd w:val="clear" w:color="auto" w:fill="FFFFFF"/>
        </w:rPr>
        <w:t>位对</w:t>
      </w:r>
      <w:r>
        <w:rPr>
          <w:rFonts w:hint="eastAsia" w:ascii="方正仿宋_GBK" w:hAnsi="方正仿宋_GBK" w:eastAsia="方正仿宋_GBK" w:cs="方正仿宋_GBK"/>
          <w:sz w:val="32"/>
          <w:szCs w:val="32"/>
          <w:shd w:val="clear" w:color="auto" w:fill="FFFFFF"/>
          <w:lang w:val="en-US" w:eastAsia="zh-CN"/>
        </w:rPr>
        <w:t>9</w:t>
      </w:r>
      <w:r>
        <w:rPr>
          <w:rFonts w:ascii="方正仿宋_GBK" w:hAnsi="方正仿宋_GBK" w:eastAsia="方正仿宋_GBK" w:cs="方正仿宋_GBK"/>
          <w:sz w:val="32"/>
          <w:szCs w:val="32"/>
          <w:shd w:val="clear" w:color="auto" w:fill="FFFFFF"/>
        </w:rPr>
        <w:t>个二级项目开展了绩效自评，涉及财政拨款项目支出资金991.59</w:t>
      </w:r>
      <w:r>
        <w:rPr>
          <w:rFonts w:ascii="Times New Roman" w:hAnsi="Times New Roman" w:eastAsia="方正仿宋_GBK"/>
          <w:sz w:val="32"/>
          <w:szCs w:val="32"/>
        </w:rPr>
        <w:t>万元。</w:t>
      </w:r>
    </w:p>
    <w:p>
      <w:pPr>
        <w:spacing w:line="560" w:lineRule="exact"/>
        <w:ind w:firstLine="640" w:firstLineChars="200"/>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rPr>
        <w:t>2023</w:t>
      </w:r>
      <w:r>
        <w:rPr>
          <w:rFonts w:ascii="Times New Roman" w:hAnsi="Times New Roman" w:eastAsia="方正仿宋_GBK"/>
          <w:sz w:val="32"/>
          <w:szCs w:val="32"/>
        </w:rPr>
        <w:t>年度绩效自评表见附件</w:t>
      </w:r>
    </w:p>
    <w:p>
      <w:pPr>
        <w:pStyle w:val="12"/>
        <w:autoSpaceDE w:val="0"/>
        <w:spacing w:before="0" w:beforeAutospacing="0" w:line="600"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spacing w:line="56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spacing w:line="56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市财政局未委托第三方对我单位开展绩效评价。</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联系人：李娟华              电话：023-70613355</w:t>
      </w:r>
      <w:r>
        <w:rPr>
          <w:rFonts w:hint="default" w:ascii="方正仿宋_GBK" w:hAnsi="方正仿宋_GBK" w:eastAsia="方正仿宋_GBK" w:cs="方正仿宋_GBK"/>
          <w:sz w:val="32"/>
          <w:szCs w:val="32"/>
          <w:shd w:val="clear" w:color="auto" w:fill="FFFFFF"/>
        </w:rPr>
        <w:t xml:space="preserve"> </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sectPr>
          <w:headerReference r:id="rId3" w:type="default"/>
          <w:footerReference r:id="rId4" w:type="default"/>
          <w:pgSz w:w="11907" w:h="16839"/>
          <w:pgMar w:top="454" w:right="567" w:bottom="1037" w:left="567" w:header="0" w:footer="283" w:gutter="0"/>
          <w:pgNumType w:fmt="numberInDash"/>
          <w:cols w:space="720" w:num="1"/>
          <w:docGrid w:type="lines" w:linePitch="326" w:charSpace="0"/>
        </w:sectPr>
      </w:pPr>
      <w:r>
        <w:rPr>
          <w:rFonts w:hint="default" w:ascii="方正仿宋_GBK" w:hAnsi="方正仿宋_GBK" w:eastAsia="方正仿宋_GBK" w:cs="方正仿宋_GBK"/>
          <w:sz w:val="32"/>
          <w:szCs w:val="32"/>
          <w:shd w:val="clear" w:color="auto" w:fill="FFFFFF"/>
        </w:rPr>
        <w:br w:type="page"/>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重庆市丰都县殡仪馆</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1,136.43</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1.36</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32.00</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1,212.05</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10.19</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4.30</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1,169.79</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1,226.55</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0.24</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56.52</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1,226.55</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1,226.55</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p>
    <w:tbl>
      <w:tblPr>
        <w:tblStyle w:val="9"/>
        <w:tblW w:w="15378" w:type="dxa"/>
        <w:tblInd w:w="0" w:type="dxa"/>
        <w:tblLayout w:type="fixed"/>
        <w:tblCellMar>
          <w:top w:w="0" w:type="dxa"/>
          <w:left w:w="0" w:type="dxa"/>
          <w:bottom w:w="0" w:type="dxa"/>
          <w:right w:w="0" w:type="dxa"/>
        </w:tblCellMar>
      </w:tblPr>
      <w:tblGrid>
        <w:gridCol w:w="1139"/>
        <w:gridCol w:w="3734"/>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重庆市丰都县殡仪馆</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13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734"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13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734"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13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734"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13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734"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1,169.79</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1,136.43</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1.36</w:t>
            </w: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32.00</w:t>
            </w:r>
            <w:r>
              <w:rPr>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1,155.30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1,121.93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w:t>
            </w:r>
            <w:r>
              <w:rPr>
                <w:b/>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32.00</w:t>
            </w:r>
            <w:r>
              <w:rPr>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30.86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30.86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900.26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866.89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1.36</w:t>
            </w:r>
            <w:r>
              <w:rPr>
                <w:b/>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32.00</w:t>
            </w:r>
            <w:r>
              <w:rPr>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2081004</w:t>
            </w:r>
          </w:p>
        </w:tc>
        <w:tc>
          <w:tcPr>
            <w:tcW w:w="3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殡葬</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900.26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866.89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1.36</w:t>
            </w: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32.00</w:t>
            </w: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204.13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204.13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204.13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204.13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3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7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319"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重庆市丰都县殡仪馆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1,226.55</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234.96</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991.59</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1,212.05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220.46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991.59</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50.91</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9.40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163"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30.86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30.86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938.19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169.55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768.64</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147"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殡葬</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938.19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169.55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768.64</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222.95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222.95</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222.95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222.95</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197"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114"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4.30</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157"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重庆市丰都县殡仪馆</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1,136.43</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1,178.46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1,178.46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1,136.43</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1,192.95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1,192.95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56.52</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56.52</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1,192.95</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1,192.95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1,192.95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重庆市丰都县殡仪馆</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1,192.95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201.36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991.59</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1,178.46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186.86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991.59</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50.91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50.91</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9.40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10.65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10.65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30.86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30.86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904.59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135.95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768.64</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殡葬</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904.59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135.95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768.64</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222.95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222.95</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222.95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222.95</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重庆市丰都县殡仪馆</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139.43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23.40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29.16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76.80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36.53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33.53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175.96</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25.40</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重庆市丰都县殡仪馆</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重庆市丰都县殡仪馆</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重庆市丰都县殡仪馆</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17.72</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17.72</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17.53</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17.53</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4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17.53</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17.53</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0.19</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0.19</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0.19</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0.68</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7 -</w:t>
                </w:r>
                <w:r>
                  <w:rPr>
                    <w:rFonts w:hint="default"/>
                  </w:rPr>
                  <w:fldChar w:fldCharType="end"/>
                </w:r>
                <w:r>
                  <w:t xml:space="preserve"> </w:t>
                </w:r>
              </w:p>
            </w:txbxContent>
          </v:textbox>
        </v:shape>
      </w:pict>
    </w:r>
    <w:r>
      <w:rPr>
        <w:rFonts w:hint="default"/>
      </w:rPr>
      <w:pict>
        <v:shape id="_x0000_s4098" o:spid="_x0000_s4098"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A772D"/>
    <w:multiLevelType w:val="multilevel"/>
    <w:tmpl w:val="2E0A772D"/>
    <w:lvl w:ilvl="0" w:tentative="0">
      <w:start w:val="4"/>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hideSpellingErrors/>
  <w:hideGrammaticalError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C457D"/>
    <w:rsid w:val="000C58DC"/>
    <w:rsid w:val="001520F9"/>
    <w:rsid w:val="0019029F"/>
    <w:rsid w:val="001A16DC"/>
    <w:rsid w:val="001D3BB7"/>
    <w:rsid w:val="00215D92"/>
    <w:rsid w:val="00217599"/>
    <w:rsid w:val="002B254B"/>
    <w:rsid w:val="002B696B"/>
    <w:rsid w:val="002F1ED7"/>
    <w:rsid w:val="0040062D"/>
    <w:rsid w:val="00430906"/>
    <w:rsid w:val="0045782A"/>
    <w:rsid w:val="00466C9B"/>
    <w:rsid w:val="0047553F"/>
    <w:rsid w:val="00550ABE"/>
    <w:rsid w:val="005E38CE"/>
    <w:rsid w:val="005F4982"/>
    <w:rsid w:val="00673FC1"/>
    <w:rsid w:val="007367C6"/>
    <w:rsid w:val="00770383"/>
    <w:rsid w:val="007819D4"/>
    <w:rsid w:val="007B419D"/>
    <w:rsid w:val="007B7C4B"/>
    <w:rsid w:val="007D3D39"/>
    <w:rsid w:val="00820AAC"/>
    <w:rsid w:val="009355D3"/>
    <w:rsid w:val="009532B1"/>
    <w:rsid w:val="00991560"/>
    <w:rsid w:val="00994AF7"/>
    <w:rsid w:val="009A26CA"/>
    <w:rsid w:val="009B67B8"/>
    <w:rsid w:val="009D2B67"/>
    <w:rsid w:val="00A44D94"/>
    <w:rsid w:val="00A566F9"/>
    <w:rsid w:val="00AA7CBF"/>
    <w:rsid w:val="00AB19BD"/>
    <w:rsid w:val="00AF2751"/>
    <w:rsid w:val="00B03CCD"/>
    <w:rsid w:val="00B61578"/>
    <w:rsid w:val="00BE2B89"/>
    <w:rsid w:val="00BE3D0C"/>
    <w:rsid w:val="00BE4619"/>
    <w:rsid w:val="00C10E9E"/>
    <w:rsid w:val="00C20C3E"/>
    <w:rsid w:val="00C27761"/>
    <w:rsid w:val="00CB126D"/>
    <w:rsid w:val="00CB177A"/>
    <w:rsid w:val="00CD1305"/>
    <w:rsid w:val="00CE3651"/>
    <w:rsid w:val="00D4354E"/>
    <w:rsid w:val="00D43670"/>
    <w:rsid w:val="00DA1B33"/>
    <w:rsid w:val="00E17764"/>
    <w:rsid w:val="00E419C0"/>
    <w:rsid w:val="00E42338"/>
    <w:rsid w:val="00E90ED5"/>
    <w:rsid w:val="00E92E6B"/>
    <w:rsid w:val="00F14321"/>
    <w:rsid w:val="00F34E35"/>
    <w:rsid w:val="00F557A2"/>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0B129F"/>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7F7C06"/>
    <w:rsid w:val="21556F04"/>
    <w:rsid w:val="22403BD3"/>
    <w:rsid w:val="239159C4"/>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BB640C2"/>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5C5501"/>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5053D4"/>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800456"/>
    <w:rsid w:val="42E86A87"/>
    <w:rsid w:val="43307B09"/>
    <w:rsid w:val="439A3EB9"/>
    <w:rsid w:val="43BB152F"/>
    <w:rsid w:val="44C37687"/>
    <w:rsid w:val="45CB699A"/>
    <w:rsid w:val="465B470D"/>
    <w:rsid w:val="469D6AD4"/>
    <w:rsid w:val="46E63ED8"/>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3D4704"/>
    <w:rsid w:val="4D860743"/>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9B23B2F"/>
    <w:rsid w:val="5A3B59D6"/>
    <w:rsid w:val="5AD134D8"/>
    <w:rsid w:val="5C263CE4"/>
    <w:rsid w:val="5C5D2777"/>
    <w:rsid w:val="5CF66BF3"/>
    <w:rsid w:val="5D290C69"/>
    <w:rsid w:val="5D7F7F5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AB675A5"/>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8364B99"/>
    <w:rsid w:val="796D60A4"/>
    <w:rsid w:val="79A031D5"/>
    <w:rsid w:val="7A1525F7"/>
    <w:rsid w:val="7AEE6B0D"/>
    <w:rsid w:val="7B420052"/>
    <w:rsid w:val="7BD06A28"/>
    <w:rsid w:val="7C3A7C0B"/>
    <w:rsid w:val="7C5248E4"/>
    <w:rsid w:val="7C566698"/>
    <w:rsid w:val="7C5866A3"/>
    <w:rsid w:val="7D7406BB"/>
    <w:rsid w:val="7DE94331"/>
    <w:rsid w:val="7E1B76D0"/>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1896</Words>
  <Characters>10810</Characters>
  <Lines>90</Lines>
  <Paragraphs>25</Paragraphs>
  <TotalTime>36</TotalTime>
  <ScaleCrop>false</ScaleCrop>
  <LinksUpToDate>false</LinksUpToDate>
  <CharactersWithSpaces>12681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2024-09-23T02:20:00Z</dcterms:created>
  <dc:creator>Administrator</dc:creator>
  <cp:lastModifiedBy>Administrator</cp:lastModifiedBy>
  <cp:lastPrinted>2024-09-25T09:54:00Z</cp:lastPrinted>
  <dcterms:modified xsi:type="dcterms:W3CDTF">2024-09-30T01:34:00Z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BB46EABDBB2749749395447164B066B3_12</vt:lpwstr>
  </property>
</Properties>
</file>