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before="0" w:beforeAutospacing="0" w:after="0" w:afterAutospacing="0" w:line="560" w:lineRule="exact"/>
        <w:ind w:firstLine="720" w:firstLineChars="20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丰都县民政局（本级）</w:t>
      </w:r>
    </w:p>
    <w:p>
      <w:pPr>
        <w:pStyle w:val="6"/>
        <w:adjustRightInd w:val="0"/>
        <w:snapToGrid w:val="0"/>
        <w:spacing w:before="0" w:beforeAutospacing="0" w:after="0" w:afterAutospacing="0" w:line="560" w:lineRule="exact"/>
        <w:ind w:firstLine="2520" w:firstLineChars="700"/>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adjustRightInd w:val="0"/>
        <w:snapToGrid w:val="0"/>
        <w:spacing w:before="0" w:beforeAutospacing="0" w:after="0" w:afterAutospacing="0" w:line="560" w:lineRule="exact"/>
        <w:ind w:firstLine="640" w:firstLineChars="200"/>
        <w:rPr>
          <w:rFonts w:hint="default" w:ascii="黑体" w:hAnsi="黑体" w:eastAsia="黑体" w:cs="黑体"/>
          <w:b/>
          <w:sz w:val="32"/>
          <w:szCs w:val="32"/>
        </w:rPr>
      </w:pPr>
      <w:r>
        <w:rPr>
          <w:rStyle w:val="8"/>
          <w:rFonts w:ascii="黑体" w:hAnsi="黑体" w:eastAsia="黑体" w:cs="黑体"/>
          <w:b w:val="0"/>
          <w:sz w:val="32"/>
          <w:szCs w:val="32"/>
          <w:shd w:val="clear" w:color="auto" w:fill="FFFFFF"/>
        </w:rPr>
        <w:t>一、单位基本情况</w:t>
      </w:r>
    </w:p>
    <w:p>
      <w:pPr>
        <w:pStyle w:val="6"/>
        <w:shd w:val="clear" w:color="auto" w:fill="FFFFFF"/>
        <w:adjustRightInd w:val="0"/>
        <w:snapToGrid w:val="0"/>
        <w:spacing w:before="0" w:beforeAutospacing="0" w:after="0" w:afterAutospacing="0" w:line="560" w:lineRule="exact"/>
        <w:ind w:firstLine="640" w:firstLineChars="200"/>
        <w:rPr>
          <w:rFonts w:hint="default" w:ascii="方正仿宋_GBK" w:hAnsi="方正仿宋_GBK" w:eastAsia="方正仿宋_GBK" w:cs="方正仿宋_GBK"/>
          <w:b/>
          <w:sz w:val="32"/>
          <w:szCs w:val="32"/>
        </w:rPr>
      </w:pPr>
      <w:r>
        <w:rPr>
          <w:rStyle w:val="8"/>
          <w:rFonts w:ascii="楷体" w:hAnsi="楷体" w:eastAsia="楷体" w:cs="楷体"/>
          <w:b w:val="0"/>
          <w:sz w:val="32"/>
          <w:szCs w:val="32"/>
          <w:shd w:val="clear" w:color="auto" w:fill="FFFFFF"/>
        </w:rPr>
        <w:t>（一）职能职责</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1.贯彻执行国家和重庆市关于民政工作的方针、政策和法律、法规，研究提出民政事业发展规划，制定民政工作的近期改革与发展计划并负责组织实施。 </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2.负责全县社团组织和民办非企业单位的登记和年检；指导、监督各社会团体规范管理，在法律、法规范围内活动，查处社团组织的违法行为和未经登记而以社团名义开展活动的非法组织。</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3.统筹社会救助体系建设，落实社会救助政策、标准，负责城乡居民最低生活保障、特困人员救助供养、临时救助、生活无着流浪乞讨人员救助工作。</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4.研究提出加强和改进全县基层政权建设的意见和建议；指导乡镇（街道）、村民委员会推动政（村）务公开和民主政治建设；指导城镇居民委员会建设。 </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5.制定社区建设规划和社会服务管理办法及促进发展的政策措施，推动社区建设。 </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6.拟订全县行政区划总体规划；负责乡、镇、村（居）委、村（居）民小组的设立、撤销、调整、更名和界线变更及政府驻地迁移的审核报批。 </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7.承办自然地理实体的地名、更名的审批，指导地名标志的设置和管理；负责全县标准地名图书资料的审核绘制。</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8.负责行政区域界线的勘定工作；指导边界争议的调处。</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9.指导实施全县婚姻管理政策，推进婚俗改革。</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10.组织实施殡葬管理政策、服务规范，推行火葬，改革土葬，推进殡葬改革。</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11.统筹推进、督促指导、监督管理养老服务工作，组织实施养老服务体系建设规划、政策、标准，负责拟订全县社会福利事业发展规划，指导、协调、管理社会福利企事业单位，组织农村敬老院建设和管理，承担老年人福利和特殊困难老年人救助工作。</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12.落实贫困残疾人生活补贴、重度残疾人护理补贴发放工作，实施经济困难高龄失能老人养老服务补贴政策，保障特殊困难群体的基本生活权益。</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13.组织实施儿童福利、孤弃儿童保障、儿童收养、儿童救助保护政策、标准，健全农村留守儿童关爱服务体系和困境儿童保障制度。</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14.指导实施促进慈善事业发展政策，指导社会捐助工作，组织福利彩票发行工作，管理和分配本级福利彩票公益金。</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15.组织实施社会工作、志愿服务政策和标准，会同有关部门推进社会工作人才队伍建设和志愿者队伍建设。</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 xml:space="preserve">16.负责局机关和所属单位的党的建设、宣传思想、安全监管、信访稳定和民政扶贫工作。 </w:t>
      </w:r>
    </w:p>
    <w:p>
      <w:pPr>
        <w:topLinePunct/>
        <w:autoSpaceDE w:val="0"/>
        <w:adjustRightInd w:val="0"/>
        <w:snapToGrid w:val="0"/>
        <w:spacing w:line="56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17.完成县委、县政府交办的其他任务。</w:t>
      </w:r>
    </w:p>
    <w:p>
      <w:pPr>
        <w:pStyle w:val="6"/>
        <w:shd w:val="clear" w:color="auto" w:fill="FFFFFF"/>
        <w:adjustRightInd w:val="0"/>
        <w:snapToGrid w:val="0"/>
        <w:spacing w:before="0" w:beforeAutospacing="0" w:after="0" w:afterAutospacing="0" w:line="560" w:lineRule="exact"/>
        <w:ind w:firstLine="640" w:firstLineChars="200"/>
        <w:rPr>
          <w:rFonts w:hint="default" w:ascii="楷体" w:hAnsi="楷体" w:eastAsia="楷体" w:cs="楷体"/>
          <w:b/>
          <w:sz w:val="32"/>
          <w:szCs w:val="32"/>
        </w:rPr>
      </w:pPr>
      <w:r>
        <w:rPr>
          <w:rStyle w:val="8"/>
          <w:rFonts w:ascii="楷体" w:hAnsi="楷体" w:eastAsia="楷体" w:cs="楷体"/>
          <w:b w:val="0"/>
          <w:sz w:val="32"/>
          <w:szCs w:val="32"/>
          <w:shd w:val="clear" w:color="auto" w:fill="FFFFFF"/>
        </w:rPr>
        <w:t>（二）机构设置</w:t>
      </w:r>
    </w:p>
    <w:p>
      <w:pPr>
        <w:pStyle w:val="12"/>
        <w:topLinePunct/>
        <w:autoSpaceDE w:val="0"/>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丰都县民政局设下列6个内设机构：办公室、财务审计科、社会事务福利科（安全监督科）、社会救助科、基层政权社工科、行政审批服务科。</w:t>
      </w:r>
    </w:p>
    <w:p>
      <w:pPr>
        <w:pStyle w:val="12"/>
        <w:topLinePunct/>
        <w:autoSpaceDE w:val="0"/>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下属非独立核算参公事业单位3个：县婚姻登记中心、县最低生活保障中心、县救助管理站。</w:t>
      </w:r>
    </w:p>
    <w:p>
      <w:pPr>
        <w:pStyle w:val="6"/>
        <w:shd w:val="clear" w:color="auto" w:fill="FFFFFF"/>
        <w:adjustRightInd w:val="0"/>
        <w:snapToGrid w:val="0"/>
        <w:spacing w:before="0" w:beforeAutospacing="0" w:after="0" w:afterAutospacing="0" w:line="560" w:lineRule="exact"/>
        <w:ind w:firstLine="640" w:firstLineChars="200"/>
        <w:rPr>
          <w:rFonts w:hint="default" w:ascii="方正仿宋_GBK" w:hAnsi="方正仿宋_GBK" w:eastAsia="方正仿宋_GBK" w:cs="方正仿宋_GBK"/>
          <w:sz w:val="32"/>
          <w:szCs w:val="32"/>
          <w:shd w:val="clear" w:color="auto" w:fill="FFFFFF"/>
        </w:rPr>
      </w:pPr>
      <w:r>
        <w:rPr>
          <w:rFonts w:ascii="仿宋_GB2312" w:hAnsi="仿宋" w:eastAsia="仿宋_GB2312"/>
          <w:sz w:val="32"/>
          <w:szCs w:val="32"/>
        </w:rPr>
        <w:t>在职人员：民政局机关10人、</w:t>
      </w:r>
      <w:r>
        <w:rPr>
          <w:rFonts w:ascii="方正仿宋_GBK" w:hAnsi="方正仿宋_GBK" w:eastAsia="方正仿宋_GBK" w:cs="方正仿宋_GBK"/>
          <w:sz w:val="32"/>
          <w:szCs w:val="32"/>
          <w:shd w:val="clear" w:color="auto" w:fill="FFFFFF"/>
        </w:rPr>
        <w:t>县婚姻登记中心2人、县最低生活保障中心4人、县救助管理站11人。退休人员：民政局机关21人、县婚姻登记中心2人、县救助管理站2人。</w:t>
      </w:r>
    </w:p>
    <w:p>
      <w:pPr>
        <w:pStyle w:val="6"/>
        <w:shd w:val="clear" w:color="auto" w:fill="FFFFFF"/>
        <w:adjustRightInd w:val="0"/>
        <w:snapToGrid w:val="0"/>
        <w:spacing w:before="0" w:beforeAutospacing="0" w:after="0" w:afterAutospacing="0" w:line="560" w:lineRule="exact"/>
        <w:ind w:firstLine="640" w:firstLineChars="200"/>
        <w:rPr>
          <w:rStyle w:val="8"/>
          <w:rFonts w:hint="default" w:ascii="黑体" w:hAnsi="黑体" w:eastAsia="黑体" w:cs="黑体"/>
          <w:b w:val="0"/>
          <w:sz w:val="32"/>
          <w:szCs w:val="32"/>
          <w:shd w:val="clear" w:color="auto" w:fill="FFFFFF"/>
        </w:rPr>
      </w:pPr>
      <w:r>
        <w:rPr>
          <w:rStyle w:val="8"/>
          <w:rFonts w:ascii="黑体" w:hAnsi="黑体" w:eastAsia="黑体" w:cs="黑体"/>
          <w:b w:val="0"/>
          <w:sz w:val="32"/>
          <w:szCs w:val="32"/>
          <w:shd w:val="clear" w:color="auto" w:fill="FFFFFF"/>
        </w:rPr>
        <w:t>二、单位决算情况说明</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（一）收入支出决算总体情况说明</w:t>
      </w:r>
    </w:p>
    <w:p>
      <w:pPr>
        <w:pStyle w:val="6"/>
        <w:shd w:val="clear" w:color="auto" w:fill="FFFFFF"/>
        <w:adjustRightInd w:val="0"/>
        <w:snapToGrid w:val="0"/>
        <w:spacing w:before="0" w:beforeAutospacing="0" w:after="0" w:afterAutospacing="0" w:line="560" w:lineRule="exact"/>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2023年度收入总计25489.91万元，支出总计25489.91万元。收支较上年决算数增加2170.53万元，增长9.31%，主要原因是民政保障对象在逐年增加及保障标准在增长等。</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25357.50万元，较上年决算数增加2038.12万元，增长8.74%，主要原因是民政保障对象在逐年增加及保障标准在增长等。其中：财政拨款收入25357.50万元，占100.00%；事业收入0.00万元，占0.00%；经营收入0.00万元，占0.00%；其他收入0.00万元，占0.00%。此外，使用非财政拨款结余和专用结余0.00万元，年初结转和结余132.41万元。</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25489.91万元，较上年决算数增加2170.53万元，增长9.31%，主要原因是民政保障对象在逐年增加及保障标准在增长等。其中：基本支出758.86万元，占2.98%；项目支出24731.05万元，占97.02%；经营支出0.00万元，占0.00%。此外，结余分配0.00万元。</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万元，与上年决算数持平。</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（二）财政拨款收入支出决算总体情况说明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2023年度财政拨款收、支总计25489.91万元。与2022年相比，财政拨款收、支总计各增加2170.53万元，增长9.31%。主要原因是民政保障对象在逐年增加及保障标准在增长等。</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（三）一般公共预算财政拨款收入支出决算情况说明</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25180.57万元，较上年决算数增加1932.43万元，增长8.31%。主要原因是民政保障对象在逐年增加及保障标准在增长等。较年初预算数减少1909.14万元，下降7.05%。主要原因是民政保障对象精准识别、清除不属于保障对象等。此外，年初财政拨款结转和结余131.95万元。</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25312.52万元，较上年决算数增加2064.38万元，增长8.88%。主要原因是民政保障对象在逐年增加及保障标准在增长等。较年初预算数减少1777.19万元，下降6.56%。主要原因是民政保障对象精准识别、清除不属于保障对象等。</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2023年度年末一般公共预算财政拨款结转和结余0.00万元，与上年决算数持平。</w:t>
      </w:r>
    </w:p>
    <w:p>
      <w:pPr>
        <w:pStyle w:val="6"/>
        <w:adjustRightInd w:val="0"/>
        <w:snapToGrid w:val="0"/>
        <w:spacing w:before="0" w:beforeAutospacing="0" w:after="0" w:afterAutospacing="0" w:line="56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（1）一般公共服务支出1.00万元，占0.00%，较年初预算数增加1.00万元，增长100.00%，主要原因是调整上年度收支，纳入当年年初结转。</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（2）社会保障与就业支出25240.76万元，占99.72%，较年初预算数减少1767.99万元，下降6.55%，主要原因是民政保障对象精准识别、清除不属于保障对象。</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（3）卫生健康支出33.28万元，占0.13%，较年初预算数无增减，主要原因是按照年初预算执行。</w:t>
      </w:r>
    </w:p>
    <w:p>
      <w:pPr>
        <w:adjustRightInd w:val="0"/>
        <w:snapToGrid w:val="0"/>
        <w:spacing w:line="56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（4）住房保障支出37.49万元，占0.15%，较年初预算数减少10.19万元，下降21.37%，主要原因是清算2021年度津补贴，补扣回多缴纳的住房公积金。</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（四）一般公共预算财政拨款基本支出决算情况说明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758.86</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659.54</w:t>
      </w:r>
      <w:r>
        <w:rPr>
          <w:rFonts w:ascii="方正仿宋_GBK" w:hAnsi="方正仿宋_GBK" w:eastAsia="方正仿宋_GBK" w:cs="方正仿宋_GBK"/>
          <w:sz w:val="32"/>
          <w:szCs w:val="32"/>
          <w:shd w:val="clear" w:color="auto" w:fill="FFFFFF"/>
        </w:rPr>
        <w:t>万元，较上年决算数增加27.93万元，增长4.42%，主要原因是职工工资保险调标新增等。人员经费用途主要包括基本工资、津贴补贴、奖金、伙食费补助、社会保险缴费、住房公积金等。公用经费</w:t>
      </w:r>
      <w:r>
        <w:rPr>
          <w:rFonts w:ascii="方正仿宋_GBK" w:hAnsi="方正仿宋_GBK" w:eastAsia="方正仿宋_GBK" w:cs="方正仿宋_GBK"/>
          <w:sz w:val="32"/>
          <w:szCs w:val="32"/>
        </w:rPr>
        <w:t>99.32</w:t>
      </w:r>
      <w:r>
        <w:rPr>
          <w:rFonts w:ascii="方正仿宋_GBK" w:hAnsi="方正仿宋_GBK" w:eastAsia="方正仿宋_GBK" w:cs="方正仿宋_GBK"/>
          <w:sz w:val="32"/>
          <w:szCs w:val="32"/>
          <w:shd w:val="clear" w:color="auto" w:fill="FFFFFF"/>
        </w:rPr>
        <w:t>万元，较上年决算数增加18.23万元，增长22.48%，主要原因是人员变动后公用经费相应变动。公用经费用途主要包括办公费、印刷费、咨询费、手续费、水电费、邮电费、差旅费、维修费、劳务费、委托业务费等。</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（五）政府性基金预算收支决算情况说明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176.92</w:t>
      </w:r>
      <w:r>
        <w:rPr>
          <w:rFonts w:ascii="方正仿宋_GBK" w:hAnsi="方正仿宋_GBK" w:eastAsia="方正仿宋_GBK" w:cs="方正仿宋_GBK"/>
          <w:sz w:val="32"/>
          <w:szCs w:val="32"/>
          <w:shd w:val="clear" w:color="auto" w:fill="FFFFFF"/>
        </w:rPr>
        <w:t>万元，较上年决算数增加105.68万元，增长148.34%，主要原因是增加了护理型床位采购项目资金。本年支出</w:t>
      </w:r>
      <w:r>
        <w:rPr>
          <w:rFonts w:ascii="方正仿宋_GBK" w:hAnsi="方正仿宋_GBK" w:eastAsia="方正仿宋_GBK" w:cs="方正仿宋_GBK"/>
          <w:sz w:val="32"/>
          <w:szCs w:val="32"/>
        </w:rPr>
        <w:t>177.38</w:t>
      </w:r>
      <w:r>
        <w:rPr>
          <w:rFonts w:ascii="方正仿宋_GBK" w:hAnsi="方正仿宋_GBK" w:eastAsia="方正仿宋_GBK" w:cs="方正仿宋_GBK"/>
          <w:sz w:val="32"/>
          <w:szCs w:val="32"/>
          <w:shd w:val="clear" w:color="auto" w:fill="FFFFFF"/>
        </w:rPr>
        <w:t>万元，较上年决算数增加106.14万元，增长148.99%，主要原因是增加了护理型床位采购项目资金。</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（六）国有资本经营预算财政拨款支出决算情况说明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本单位2023年度无国有资本经营预算财政拨款支出。</w:t>
      </w:r>
    </w:p>
    <w:p>
      <w:pPr>
        <w:pStyle w:val="6"/>
        <w:shd w:val="clear" w:color="auto" w:fill="FFFFFF"/>
        <w:adjustRightInd w:val="0"/>
        <w:snapToGrid w:val="0"/>
        <w:spacing w:before="0" w:beforeAutospacing="0" w:after="0" w:afterAutospacing="0" w:line="560" w:lineRule="exact"/>
        <w:ind w:firstLine="640" w:firstLineChars="200"/>
        <w:rPr>
          <w:rStyle w:val="8"/>
          <w:rFonts w:hint="default" w:ascii="黑体" w:hAnsi="黑体" w:eastAsia="黑体" w:cs="黑体"/>
          <w:b w:val="0"/>
          <w:sz w:val="32"/>
          <w:szCs w:val="32"/>
          <w:shd w:val="clear" w:color="auto" w:fill="FFFFFF"/>
        </w:rPr>
      </w:pPr>
      <w:r>
        <w:rPr>
          <w:rStyle w:val="8"/>
          <w:rFonts w:ascii="黑体" w:hAnsi="黑体" w:eastAsia="黑体" w:cs="黑体"/>
          <w:b w:val="0"/>
          <w:sz w:val="32"/>
          <w:szCs w:val="32"/>
          <w:shd w:val="clear" w:color="auto" w:fill="FFFFFF"/>
        </w:rPr>
        <w:t>三、“三公”经费情况说明</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（一）“三公”经费支出总体情况说明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29.44</w:t>
      </w:r>
      <w:r>
        <w:rPr>
          <w:rFonts w:ascii="方正仿宋_GBK" w:hAnsi="方正仿宋_GBK" w:eastAsia="方正仿宋_GBK" w:cs="方正仿宋_GBK"/>
          <w:sz w:val="32"/>
          <w:szCs w:val="32"/>
          <w:shd w:val="clear" w:color="auto" w:fill="FFFFFF"/>
        </w:rPr>
        <w:t>万元，较年初预算数增加22.34万元，增长314.65%，主要原因是年度中追加预算了公务用车购置费用等，用于购置流浪救助专用车。较上年支出数增加23.29万元，增长378.70%，主要原因是2023年度流浪救助专用车报废后重新购置了新车。</w:t>
      </w:r>
    </w:p>
    <w:p>
      <w:pPr>
        <w:pStyle w:val="11"/>
        <w:autoSpaceDE w:val="0"/>
        <w:adjustRightInd w:val="0"/>
        <w:snapToGrid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2023年度本单位因公出国（境）费用0.00万元，与年初预算及上年决算数持平。</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购置费25.50万元，主要用于购置流浪救助专用车，原车已按规定程序报废。费用支出较年初预算数增加25.50万元，增长100.00%，主要原因是年初未纳入预算，在年初中间追加预算车辆购置费。较上年支出数增加25.50万元，增长100.00%，主要原因是2023年度流浪救助专用车报废后重新购置了新车。</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0.84万元，主要用于流浪救助专用车辆的运行、维护等方面。费用支出较年初预算数减少2.16万元，下降72.00%，主要原因是原先的流浪救助专用车辆报废后，新的车辆购置到位较晚。较上年支出数减少2.39万元，下降73.99%，主要原因是原先的流浪救助专用车辆报废后，新的车辆购置到位较晚。</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3.10万元，主要用于接待上级单位及其他区县来丰检查调研工作。费用支出较年初预算数减少1.00万元，下降24.39%，主要原因是严格执行中央八项规定精神、严格落实厉行节约等。较上年支出数增加0.18万元，增长6.16%，主要原因是未成年人保护现场会召开后，其他区县来丰考察学习较多等。</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（三）“三公”经费实物量情况</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43</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315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98.52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0.84</w:t>
      </w:r>
      <w:r>
        <w:rPr>
          <w:rFonts w:ascii="方正仿宋_GBK" w:hAnsi="方正仿宋_GBK" w:eastAsia="方正仿宋_GBK" w:cs="方正仿宋_GBK"/>
          <w:sz w:val="32"/>
          <w:szCs w:val="32"/>
          <w:shd w:val="clear" w:color="auto" w:fill="FFFFFF"/>
        </w:rPr>
        <w:t>万元。</w:t>
      </w:r>
    </w:p>
    <w:p>
      <w:pPr>
        <w:pStyle w:val="6"/>
        <w:shd w:val="clear" w:color="auto" w:fill="FFFFFF"/>
        <w:adjustRightInd w:val="0"/>
        <w:snapToGrid w:val="0"/>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shd w:val="clear" w:color="auto" w:fill="FFFFFF"/>
        </w:rPr>
      </w:pPr>
      <w:r>
        <w:rPr>
          <w:rStyle w:val="8"/>
          <w:rFonts w:ascii="黑体" w:hAnsi="黑体" w:eastAsia="黑体" w:cs="黑体"/>
          <w:b w:val="0"/>
          <w:sz w:val="32"/>
          <w:szCs w:val="32"/>
          <w:shd w:val="clear" w:color="auto" w:fill="FFFFFF"/>
        </w:rPr>
        <w:t>四、其他需要说明的事项</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（一）财政拨款会议费和培训费情况说明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2.00</w:t>
      </w:r>
      <w:r>
        <w:rPr>
          <w:rFonts w:ascii="方正仿宋_GBK" w:hAnsi="方正仿宋_GBK" w:eastAsia="方正仿宋_GBK" w:cs="方正仿宋_GBK"/>
          <w:sz w:val="32"/>
          <w:szCs w:val="32"/>
          <w:shd w:val="clear" w:color="auto" w:fill="FFFFFF"/>
        </w:rPr>
        <w:t>万元，较上年决算数增加0.99万元，增长98.02%，主要原因是</w:t>
      </w:r>
      <w:r>
        <w:rPr>
          <w:rFonts w:ascii="仿宋_GB2312" w:hAnsi="仿宋" w:eastAsia="仿宋_GB2312"/>
          <w:sz w:val="32"/>
          <w:szCs w:val="32"/>
        </w:rPr>
        <w:t>年度召开的各类民政业务会议次数、人数增加。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3.63</w:t>
      </w:r>
      <w:r>
        <w:rPr>
          <w:rFonts w:ascii="方正仿宋_GBK" w:hAnsi="方正仿宋_GBK" w:eastAsia="方正仿宋_GBK" w:cs="方正仿宋_GBK"/>
          <w:sz w:val="32"/>
          <w:szCs w:val="32"/>
          <w:shd w:val="clear" w:color="auto" w:fill="FFFFFF"/>
        </w:rPr>
        <w:t>万元，较上年决算数增加1.62万元，增长80.60%，主要原因是</w:t>
      </w:r>
      <w:r>
        <w:rPr>
          <w:rFonts w:ascii="仿宋_GB2312" w:hAnsi="仿宋" w:eastAsia="仿宋_GB2312"/>
          <w:sz w:val="32"/>
          <w:szCs w:val="32"/>
        </w:rPr>
        <w:t>年度召开的各类民政业务培训次数、人数增加。</w:t>
      </w:r>
    </w:p>
    <w:p>
      <w:pPr>
        <w:pStyle w:val="11"/>
        <w:autoSpaceDE w:val="0"/>
        <w:adjustRightInd w:val="0"/>
        <w:snapToGrid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99.32万元，机关运行经费主要用于开支购买货物和服务等的各项公用经费，包括办公费及印刷费、邮电费、差旅费、会议费、福利费、日常维护费、一般设备购置费、办公用房水电费、办公用房物业管理费、公务用车运行维护费等。机关运行经费较上年支出数增加18.23万元，增长22.48%，主要原因是流浪救助专用车辆报废后重新购置等。</w:t>
      </w:r>
    </w:p>
    <w:p>
      <w:pPr>
        <w:pStyle w:val="11"/>
        <w:autoSpaceDE w:val="0"/>
        <w:adjustRightInd w:val="0"/>
        <w:snapToGrid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单位共有车辆1辆，其中，副部（省）级及以上领导用车0辆、主要领导干部用车0辆、机要通信用车0辆、应急保障用车1辆、执法执勤用车0辆，特种专业技术用车0辆，离退休干部用车0辆。单价100万元（含）以上专用设备（不含车辆）0台（套）。</w:t>
      </w:r>
    </w:p>
    <w:p>
      <w:pPr>
        <w:pStyle w:val="11"/>
        <w:autoSpaceDE w:val="0"/>
        <w:adjustRightInd w:val="0"/>
        <w:snapToGrid w:val="0"/>
        <w:spacing w:line="560"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502.33万元，其中：政府采购货物支出167.70万元、政府采购工程支出0.00万元、政府采购服务支出334.63万元。授予中小企业合同金额167.70万元，占政府采购支出总额的33.38%，其中：授予小微企业合同金额167.70万元，占政府采购支出总额的33.38 %。主要用于采购全县公办养老机构护理型床位、社会工作三级服务体系社工服务、乡镇（街道）行政区域界线勘定。</w:t>
      </w:r>
    </w:p>
    <w:p>
      <w:pPr>
        <w:pStyle w:val="6"/>
        <w:adjustRightInd w:val="0"/>
        <w:snapToGrid w:val="0"/>
        <w:spacing w:before="0" w:beforeAutospacing="0" w:after="0" w:afterAutospacing="0" w:line="560" w:lineRule="exact"/>
        <w:ind w:firstLine="640" w:firstLineChars="200"/>
        <w:jc w:val="both"/>
        <w:rPr>
          <w:rStyle w:val="8"/>
          <w:rFonts w:hint="default" w:ascii="黑体" w:hAnsi="黑体" w:eastAsia="黑体" w:cs="黑体"/>
          <w:b w:val="0"/>
          <w:sz w:val="32"/>
          <w:szCs w:val="32"/>
          <w:shd w:val="clear" w:color="auto" w:fill="FFFFFF"/>
        </w:rPr>
      </w:pPr>
      <w:r>
        <w:rPr>
          <w:rStyle w:val="8"/>
          <w:rFonts w:ascii="黑体" w:hAnsi="黑体" w:eastAsia="黑体" w:cs="黑体"/>
          <w:b w:val="0"/>
          <w:sz w:val="32"/>
          <w:szCs w:val="32"/>
          <w:shd w:val="clear" w:color="auto" w:fill="FFFFFF"/>
        </w:rPr>
        <w:t>五、预算绩效管理情况说明</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（一）单位自评情况</w:t>
      </w:r>
    </w:p>
    <w:p>
      <w:pPr>
        <w:pStyle w:val="12"/>
        <w:autoSpaceDE w:val="0"/>
        <w:adjustRightInd w:val="0"/>
        <w:snapToGrid w:val="0"/>
        <w:spacing w:before="0" w:beforeAutospacing="0" w:after="0" w:afterAutospacing="0" w:line="56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根据预算绩效管理要求，我单位对50个二级项目开展了绩效自评，涉及财政拨款项目支出资金24731.05万元。</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（二）单位绩效评价情况</w:t>
      </w:r>
    </w:p>
    <w:p>
      <w:pPr>
        <w:pStyle w:val="11"/>
        <w:autoSpaceDE w:val="0"/>
        <w:adjustRightInd w:val="0"/>
        <w:snapToGrid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我单位未组织开展绩效评价。</w:t>
      </w:r>
    </w:p>
    <w:p>
      <w:pPr>
        <w:pStyle w:val="11"/>
        <w:autoSpaceDE w:val="0"/>
        <w:adjustRightInd w:val="0"/>
        <w:snapToGrid w:val="0"/>
        <w:spacing w:line="560" w:lineRule="exact"/>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（三）财政绩效评价情况</w:t>
      </w:r>
    </w:p>
    <w:p>
      <w:pPr>
        <w:pStyle w:val="11"/>
        <w:autoSpaceDE w:val="0"/>
        <w:adjustRightInd w:val="0"/>
        <w:snapToGrid w:val="0"/>
        <w:spacing w:line="56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6"/>
        <w:shd w:val="clear" w:color="auto" w:fill="FFFFFF"/>
        <w:adjustRightInd w:val="0"/>
        <w:snapToGrid w:val="0"/>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shd w:val="clear" w:color="auto" w:fill="FFFFFF"/>
        </w:rPr>
      </w:pPr>
      <w:r>
        <w:rPr>
          <w:rStyle w:val="8"/>
          <w:rFonts w:ascii="黑体" w:hAnsi="黑体" w:eastAsia="黑体" w:cs="黑体"/>
          <w:b w:val="0"/>
          <w:sz w:val="32"/>
          <w:szCs w:val="32"/>
          <w:shd w:val="clear" w:color="auto" w:fill="FFFFFF"/>
        </w:rPr>
        <w:t>六、专业名词解释</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Fonts w:ascii="楷体" w:hAnsi="楷体" w:eastAsia="楷体"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（二）事业收入</w:t>
      </w:r>
      <w:r>
        <w:rPr>
          <w:rFonts w:ascii="楷体" w:hAnsi="楷体" w:eastAsia="楷体"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（三）经营收入</w:t>
      </w:r>
      <w:r>
        <w:rPr>
          <w:rFonts w:ascii="楷体" w:hAnsi="楷体" w:eastAsia="楷体" w:cs="楷体"/>
          <w:b/>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（四）其他收入</w:t>
      </w:r>
      <w:r>
        <w:rPr>
          <w:rFonts w:ascii="楷体" w:hAnsi="楷体" w:eastAsia="楷体" w:cs="楷体"/>
          <w:b/>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（五）使用非财政拨款结余</w:t>
      </w:r>
      <w:r>
        <w:rPr>
          <w:rStyle w:val="8"/>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（六）年初结转和结余</w:t>
      </w:r>
      <w:r>
        <w:rPr>
          <w:rStyle w:val="8"/>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（七）结余分配</w:t>
      </w:r>
      <w:r>
        <w:rPr>
          <w:rStyle w:val="8"/>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（八）年末结转和结余</w:t>
      </w:r>
      <w:r>
        <w:rPr>
          <w:rStyle w:val="8"/>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（九）基本支出</w:t>
      </w:r>
      <w:r>
        <w:rPr>
          <w:rStyle w:val="8"/>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（十）项目支出</w:t>
      </w:r>
      <w:r>
        <w:rPr>
          <w:rStyle w:val="8"/>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（十一）经营支出</w:t>
      </w:r>
      <w:r>
        <w:rPr>
          <w:rStyle w:val="8"/>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（十二）“三公”经费</w:t>
      </w:r>
      <w:r>
        <w:rPr>
          <w:rStyle w:val="8"/>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（十三）机关运行经费</w:t>
      </w:r>
      <w:r>
        <w:rPr>
          <w:rStyle w:val="8"/>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（十四）工资福利支出（支出经济分类科目类级）</w:t>
      </w:r>
      <w:r>
        <w:rPr>
          <w:rStyle w:val="8"/>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（十五）商品和服务支出（支出经济分类科目类级）</w:t>
      </w:r>
      <w:r>
        <w:rPr>
          <w:rStyle w:val="8"/>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（十六）对个人和家庭的补助（支出经济分类科目类级）</w:t>
      </w:r>
      <w:r>
        <w:rPr>
          <w:rStyle w:val="8"/>
        </w:rPr>
        <w:t>：</w:t>
      </w:r>
      <w:r>
        <w:rPr>
          <w:rFonts w:ascii="方正仿宋_GBK" w:hAnsi="方正仿宋_GBK" w:eastAsia="方正仿宋_GBK" w:cs="方正仿宋_GBK"/>
          <w:sz w:val="32"/>
          <w:szCs w:val="32"/>
          <w:shd w:val="clear" w:color="auto" w:fill="FFFFFF"/>
        </w:rPr>
        <w:t>反映用于对个人和家庭的补助支出。</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rPr>
      </w:pPr>
      <w:r>
        <w:rPr>
          <w:rStyle w:val="8"/>
          <w:rFonts w:ascii="楷体" w:hAnsi="楷体" w:eastAsia="楷体" w:cs="楷体"/>
          <w:b w:val="0"/>
          <w:sz w:val="32"/>
          <w:szCs w:val="32"/>
          <w:shd w:val="clear" w:color="auto" w:fill="FFFFFF"/>
        </w:rPr>
        <w:t>（十七）其他资本性支出（支出经济分类科目类级）</w:t>
      </w:r>
      <w:r>
        <w:rPr>
          <w:rStyle w:val="8"/>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adjustRightInd w:val="0"/>
        <w:snapToGrid w:val="0"/>
        <w:spacing w:before="0" w:beforeAutospacing="0" w:after="0" w:afterAutospacing="0" w:line="560" w:lineRule="exact"/>
        <w:ind w:firstLine="640" w:firstLineChars="200"/>
        <w:rPr>
          <w:rStyle w:val="8"/>
          <w:rFonts w:hint="default" w:ascii="方正仿宋_GBK" w:hAnsi="方正仿宋_GBK" w:eastAsia="方正仿宋_GBK" w:cs="方正仿宋_GBK"/>
          <w:b w:val="0"/>
          <w:sz w:val="32"/>
          <w:szCs w:val="32"/>
          <w:shd w:val="clear" w:color="auto" w:fill="FFFFFF"/>
        </w:rPr>
      </w:pPr>
      <w:r>
        <w:rPr>
          <w:rStyle w:val="8"/>
          <w:rFonts w:ascii="黑体" w:hAnsi="黑体" w:eastAsia="黑体" w:cs="黑体"/>
          <w:b w:val="0"/>
          <w:sz w:val="32"/>
          <w:szCs w:val="32"/>
          <w:shd w:val="clear" w:color="auto" w:fill="FFFFFF"/>
        </w:rPr>
        <w:t>七、决算公开联系方式及信息反馈渠道</w:t>
      </w:r>
    </w:p>
    <w:p>
      <w:pPr>
        <w:pStyle w:val="6"/>
        <w:adjustRightInd w:val="0"/>
        <w:snapToGrid w:val="0"/>
        <w:spacing w:before="0" w:beforeAutospacing="0" w:after="0" w:afterAutospacing="0"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adjustRightInd w:val="0"/>
        <w:snapToGrid w:val="0"/>
        <w:spacing w:before="0" w:beforeAutospacing="0" w:after="0" w:afterAutospacing="0" w:line="560" w:lineRule="exact"/>
        <w:ind w:firstLine="640" w:firstLineChars="200"/>
        <w:jc w:val="both"/>
        <w:rPr>
          <w:rStyle w:val="8"/>
          <w:rFonts w:hint="default" w:ascii="方正仿宋_GBK" w:hAnsi="方正仿宋_GBK" w:eastAsia="方正仿宋_GBK" w:cs="方正仿宋_GBK"/>
          <w:sz w:val="32"/>
          <w:szCs w:val="32"/>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王小华    023-70605276</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重庆市丰都县民政局（本级）</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25,180.57</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176.92</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25,240.76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33.28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37.49</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177.38</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25,357.50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25,489.91</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132.41</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25,489.91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25,489.91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156"/>
        <w:gridCol w:w="3717"/>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30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重庆市丰都县民政局（本级）</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15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7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5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15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12" w:hRule="atLeast"/>
        </w:trPr>
        <w:tc>
          <w:tcPr>
            <w:tcW w:w="115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7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25,357.50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25,357.50</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25,109.81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25,109.81</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989.82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479.80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2080206</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社会组织管理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372.54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57.47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1,751.52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1,751.52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557.93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557.93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790.37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1,627.30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1,627.30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1,627.30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13,834.77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13,834.77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3,239.00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3,239.00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10,595.77</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1,084.65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1,084.65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1,069.73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1,069.73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4,762.69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4,762.69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63"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1,144.19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1,144.19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46"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3,618.49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3,618.49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767.73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767.73</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6"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96"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85.80</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85.80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13"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176.92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90"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60.82</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130"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06" w:hRule="atLeast"/>
        </w:trPr>
        <w:tc>
          <w:tcPr>
            <w:tcW w:w="11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7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bookmarkStart w:id="0" w:name="_GoBack"/>
      <w:bookmarkEnd w:id="0"/>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762"/>
        <w:gridCol w:w="3630"/>
        <w:gridCol w:w="1662"/>
        <w:gridCol w:w="1662"/>
        <w:gridCol w:w="1662"/>
        <w:gridCol w:w="1646"/>
        <w:gridCol w:w="1646"/>
        <w:gridCol w:w="1708"/>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7054"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重庆市丰都县民政局（本级） </w:t>
            </w: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705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6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4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6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76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76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6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39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25,489.91</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758.86</w:t>
            </w:r>
            <w:r>
              <w:rPr>
                <w:b/>
                <w:color w:val="000000"/>
                <w:sz w:val="20"/>
              </w:rPr>
              <w:t xml:space="preserve"> </w:t>
            </w:r>
          </w:p>
        </w:tc>
        <w:tc>
          <w:tcPr>
            <w:tcW w:w="16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24,731.05</w:t>
            </w:r>
            <w:r>
              <w:rPr>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25,240.76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688.09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24,552.67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1,065.25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482.56</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582.69</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482.56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482.56</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122.58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社会组织管理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7.90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445.21</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205.54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205.54</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44.77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56.81</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57.47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57.47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46.48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1,801.02</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1,801.02</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557.93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557.93</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839.87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839.87</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396.10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396.10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7.13</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1,627.30</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1,627.30</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1,627.30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1,627.30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13,834.77</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13,834.77</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3,239.00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3,239.00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10,595.77</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10,595.77</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1,084.65</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1,084.65</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1,069.73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1,069.73</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14.92</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14.92</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4,762.69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4,762.69</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1,144.19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1,144.19</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3,618.49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3,618.49</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767.73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767.73</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38.25</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729.48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729.48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91.83</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91.83</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91.83</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33.28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18.83</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14.45</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37.49</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37.49</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彩票公益金安排的支出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177.38</w:t>
            </w:r>
            <w:r>
              <w:rPr>
                <w:b/>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177.38</w:t>
            </w:r>
            <w:r>
              <w:rPr>
                <w:b/>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用于社会福利的彩票公益金支出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61.28</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61.28</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用于残疾人事业的彩票公益金支出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12.00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7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用于其他社会公益事业的彩票公益金支出</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104.10</w:t>
            </w: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104.10</w:t>
            </w: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重庆市丰都县民政局（本级）</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25,180.57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176.92</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25,240.76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25,240.76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33.28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177.38</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25,357.50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25,489.91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25,312.52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177.38</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132.41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131.95</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0.46</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25,489.91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25,489.91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25,312.52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177.38</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重庆市丰都县民政局（本级）</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25,312.52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758.86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24,553.67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20113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商贸事务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2011308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招商引资</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25,240.76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688.09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24,552.67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民政管理事务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1,065.25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482.56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582.69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482.56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482.56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122.58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122.58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社会组织管理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7.90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行政区划和地名管理</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2080299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其他民政管理事务支出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445.21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445.21</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205.54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205.54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行政单位离退休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44.77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56.81</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56.81</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57.47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57.47</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46.48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1,801.02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1,801.02</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儿童福利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557.93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557.93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老年福利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839.87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839.87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养老服务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396.10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2081099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其他社会福利支出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7.13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残疾人事业</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1,627.30</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1,627.30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2081107</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残疾人生活和护理补贴</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1,627.30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1,627.30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20819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最低生活保障</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13,834.77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13,834.77</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城市最低生活保障金支出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3,239.00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3,239.00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2081902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农村最低生活保障金支出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10,595.77</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10,595.77</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临时救助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1,084.65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1,084.65</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临时救助支出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1,069.73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1,069.73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2082002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流浪乞讨人员救助支出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14.92</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14.92</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特困人员救助供养</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4,762.69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4,762.69</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城市特困人员救助供养支出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1,144.19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1,144.19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农村特困人员救助供养支出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3,618.49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3,618.49</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20825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767.73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767.73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其他城市生活救助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38.25</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2082502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其他农村生活救助</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729.48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91.83</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91.83</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2089999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91.83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91.83</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33.28</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18.83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14.45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37.49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37.49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重庆市丰都县民政局（本级）</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563.09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98.52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94.33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155.53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56.81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57.47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18.83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37.49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9.04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96.45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39.25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56.99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52.62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7.06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21.60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659.54</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99.32</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777"/>
        <w:gridCol w:w="3630"/>
        <w:gridCol w:w="1629"/>
        <w:gridCol w:w="1629"/>
        <w:gridCol w:w="1629"/>
        <w:gridCol w:w="1630"/>
        <w:gridCol w:w="1695"/>
        <w:gridCol w:w="1759"/>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03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重庆市丰都县民政局（本级）</w:t>
            </w:r>
          </w:p>
        </w:tc>
        <w:tc>
          <w:tcPr>
            <w:tcW w:w="16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703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3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5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5407"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629"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62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95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75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77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77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5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5407"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0.46</w:t>
            </w:r>
            <w:r>
              <w:rPr>
                <w:b/>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176.92</w:t>
            </w:r>
            <w:r>
              <w:rPr>
                <w:b/>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177.38</w:t>
            </w:r>
            <w:r>
              <w:rPr>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177.38</w:t>
            </w:r>
            <w:r>
              <w:rPr>
                <w:b/>
                <w:color w:val="000000"/>
                <w:sz w:val="20"/>
              </w:rPr>
              <w:t xml:space="preserve"> </w:t>
            </w:r>
          </w:p>
        </w:tc>
        <w:tc>
          <w:tcPr>
            <w:tcW w:w="1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176.92</w:t>
            </w:r>
            <w:r>
              <w:rPr>
                <w:b/>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177.38</w:t>
            </w:r>
            <w:r>
              <w:rPr>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177.38</w:t>
            </w:r>
            <w:r>
              <w:rPr>
                <w:b/>
                <w:color w:val="000000"/>
                <w:sz w:val="20"/>
              </w:rPr>
              <w:t xml:space="preserve"> </w:t>
            </w:r>
          </w:p>
        </w:tc>
        <w:tc>
          <w:tcPr>
            <w:tcW w:w="1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22960</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彩票公益金安排的支出</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0.46</w:t>
            </w:r>
            <w:r>
              <w:rPr>
                <w:b/>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176.92</w:t>
            </w:r>
            <w:r>
              <w:rPr>
                <w:b/>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177.38</w:t>
            </w:r>
            <w:r>
              <w:rPr>
                <w:b/>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177.38</w:t>
            </w:r>
            <w:r>
              <w:rPr>
                <w:b/>
                <w:color w:val="000000"/>
                <w:sz w:val="20"/>
              </w:rPr>
              <w:t xml:space="preserve"> </w:t>
            </w:r>
          </w:p>
        </w:tc>
        <w:tc>
          <w:tcPr>
            <w:tcW w:w="1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2296002</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0.46</w:t>
            </w:r>
            <w:r>
              <w:rPr>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60.82</w:t>
            </w:r>
            <w:r>
              <w:rPr>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61.28</w:t>
            </w:r>
            <w:r>
              <w:rPr>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61.28</w:t>
            </w:r>
            <w:r>
              <w:rPr>
                <w:color w:val="000000"/>
                <w:sz w:val="20"/>
              </w:rPr>
              <w:t xml:space="preserve"> </w:t>
            </w:r>
          </w:p>
        </w:tc>
        <w:tc>
          <w:tcPr>
            <w:tcW w:w="1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2296006</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用于残疾人事业的彩票公益金支出</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12.00</w:t>
            </w:r>
            <w:r>
              <w:rPr>
                <w:color w:val="000000"/>
                <w:sz w:val="20"/>
              </w:rPr>
              <w:t xml:space="preserve"> </w:t>
            </w:r>
          </w:p>
        </w:tc>
        <w:tc>
          <w:tcPr>
            <w:tcW w:w="1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9" w:hRule="atLeast"/>
        </w:trPr>
        <w:tc>
          <w:tcPr>
            <w:tcW w:w="177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2296099</w:t>
            </w:r>
          </w:p>
        </w:tc>
        <w:tc>
          <w:tcPr>
            <w:tcW w:w="3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104.10</w:t>
            </w:r>
            <w:r>
              <w:rPr>
                <w:color w:val="000000"/>
                <w:sz w:val="20"/>
              </w:rPr>
              <w:t xml:space="preserve"> </w:t>
            </w:r>
          </w:p>
        </w:tc>
        <w:tc>
          <w:tcPr>
            <w:tcW w:w="16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104.10</w:t>
            </w:r>
            <w:r>
              <w:rPr>
                <w:color w:val="000000"/>
                <w:sz w:val="20"/>
              </w:rPr>
              <w:t xml:space="preserve"> </w:t>
            </w:r>
          </w:p>
        </w:tc>
        <w:tc>
          <w:tcPr>
            <w:tcW w:w="163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6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104.10</w:t>
            </w:r>
            <w:r>
              <w:rPr>
                <w:color w:val="000000"/>
                <w:sz w:val="20"/>
              </w:rPr>
              <w:t xml:space="preserve"> </w:t>
            </w:r>
          </w:p>
        </w:tc>
        <w:tc>
          <w:tcPr>
            <w:tcW w:w="17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重庆市丰都县民政局（本级）</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重庆市丰都县民政局（本级）</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99.32</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29.44</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29.44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99.32</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26.34</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26.34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25.50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25.50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1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0.84</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0.84</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3.10</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43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502.33</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167.70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315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334.63</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167.70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167.70</w:t>
            </w: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2.00</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3.63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24 -</w:t>
                </w:r>
                <w:r>
                  <w:rPr>
                    <w:rFonts w:hint="default"/>
                  </w:rPr>
                  <w:fldChar w:fldCharType="end"/>
                </w:r>
                <w:r>
                  <w:t xml:space="preserve"> </w:t>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941A7"/>
    <w:rsid w:val="001D3BB7"/>
    <w:rsid w:val="002125B3"/>
    <w:rsid w:val="00264B21"/>
    <w:rsid w:val="002B254B"/>
    <w:rsid w:val="00343326"/>
    <w:rsid w:val="00427CFF"/>
    <w:rsid w:val="00466C9B"/>
    <w:rsid w:val="00481946"/>
    <w:rsid w:val="0054122C"/>
    <w:rsid w:val="00550ABE"/>
    <w:rsid w:val="006649B4"/>
    <w:rsid w:val="006E0BCF"/>
    <w:rsid w:val="006F4B87"/>
    <w:rsid w:val="007238F1"/>
    <w:rsid w:val="00770383"/>
    <w:rsid w:val="007819D4"/>
    <w:rsid w:val="007A11C1"/>
    <w:rsid w:val="007B419D"/>
    <w:rsid w:val="007B7C4B"/>
    <w:rsid w:val="007D3D39"/>
    <w:rsid w:val="00885647"/>
    <w:rsid w:val="00894860"/>
    <w:rsid w:val="009806F0"/>
    <w:rsid w:val="00985295"/>
    <w:rsid w:val="00994AF7"/>
    <w:rsid w:val="009A5FA1"/>
    <w:rsid w:val="009B67B8"/>
    <w:rsid w:val="009D2B67"/>
    <w:rsid w:val="00A566F9"/>
    <w:rsid w:val="00AF2751"/>
    <w:rsid w:val="00B03CCD"/>
    <w:rsid w:val="00B575C1"/>
    <w:rsid w:val="00BE2B89"/>
    <w:rsid w:val="00BF06BC"/>
    <w:rsid w:val="00C0141E"/>
    <w:rsid w:val="00C10E9E"/>
    <w:rsid w:val="00C20C3E"/>
    <w:rsid w:val="00C23816"/>
    <w:rsid w:val="00C82AC6"/>
    <w:rsid w:val="00DF6C86"/>
    <w:rsid w:val="00EA41AA"/>
    <w:rsid w:val="00F73F90"/>
    <w:rsid w:val="00F946D6"/>
    <w:rsid w:val="01474EBF"/>
    <w:rsid w:val="01F3521E"/>
    <w:rsid w:val="03B87EA0"/>
    <w:rsid w:val="03E3214F"/>
    <w:rsid w:val="044C50BA"/>
    <w:rsid w:val="05BC6D49"/>
    <w:rsid w:val="06194FF1"/>
    <w:rsid w:val="061F10DD"/>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9D40898"/>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7"/>
    <w:link w:val="2"/>
    <w:qFormat/>
    <w:uiPriority w:val="0"/>
    <w:rPr>
      <w:rFonts w:ascii="宋体" w:hAnsi="宋体"/>
      <w:sz w:val="18"/>
      <w:szCs w:val="18"/>
    </w:rPr>
  </w:style>
  <w:style w:type="character" w:customStyle="1" w:styleId="16">
    <w:name w:val="25"/>
    <w:basedOn w:val="7"/>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B1264-588D-4636-AA57-AE597A70310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2728</Words>
  <Characters>15550</Characters>
  <Lines>129</Lines>
  <Paragraphs>36</Paragraphs>
  <TotalTime>6838</TotalTime>
  <ScaleCrop>false</ScaleCrop>
  <LinksUpToDate>false</LinksUpToDate>
  <CharactersWithSpaces>18242</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2024-09-25T09:39:29Z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BB46EABDBB2749749395447164B066B3_12</vt:lpwstr>
  </property>
</Properties>
</file>