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before="0" w:beforeAutospacing="0"/>
        <w:jc w:val="center"/>
      </w:pPr>
      <w:r>
        <w:rPr>
          <w:rFonts w:hint="eastAsia"/>
          <w:sz w:val="54"/>
          <w:szCs w:val="54"/>
          <w:shd w:val="clear" w:color="auto" w:fill="FFFFFF"/>
        </w:rPr>
        <w:t>重庆市丰都县殡仪馆</w:t>
      </w:r>
    </w:p>
    <w:p>
      <w:pPr>
        <w:pStyle w:val="24"/>
        <w:spacing w:before="0" w:beforeAutospacing="0"/>
        <w:jc w:val="center"/>
        <w:rPr>
          <w:rFonts w:hint="eastAsia"/>
        </w:rPr>
      </w:pPr>
      <w:r>
        <w:rPr>
          <w:rFonts w:hint="eastAsia"/>
          <w:sz w:val="54"/>
          <w:szCs w:val="54"/>
          <w:shd w:val="clear" w:color="auto" w:fill="FFFFFF"/>
        </w:rPr>
        <w:t>2020年度部门决算情况说明</w:t>
      </w:r>
    </w:p>
    <w:p>
      <w:pPr>
        <w:pStyle w:val="24"/>
        <w:spacing w:before="0" w:beforeAutospacing="0"/>
        <w:rPr>
          <w:rFonts w:hint="eastAsia"/>
        </w:rPr>
      </w:pPr>
      <w:r>
        <w:rPr>
          <w:rFonts w:hint="eastAsia"/>
          <w:shd w:val="clear" w:color="auto" w:fill="FFFFFF"/>
        </w:rPr>
        <w:t xml:space="preserve"> </w:t>
      </w:r>
    </w:p>
    <w:p>
      <w:pPr>
        <w:pStyle w:val="24"/>
        <w:spacing w:before="0" w:beforeAutospacing="0"/>
        <w:rPr>
          <w:rFonts w:hint="eastAsia"/>
        </w:rPr>
      </w:pPr>
      <w:r>
        <w:rPr>
          <w:rStyle w:val="32"/>
          <w:rFonts w:hint="eastAsia" w:ascii="宋体" w:hAnsi="宋体"/>
          <w:sz w:val="33"/>
          <w:szCs w:val="33"/>
          <w:shd w:val="clear" w:color="auto" w:fill="FFFFFF"/>
        </w:rPr>
        <w:t>一、部门基本情况</w:t>
      </w:r>
    </w:p>
    <w:p>
      <w:pPr>
        <w:pStyle w:val="24"/>
        <w:spacing w:before="0" w:beforeAutospacing="0"/>
        <w:ind w:firstLine="542" w:firstLineChars="200"/>
        <w:rPr>
          <w:rFonts w:hint="eastAsia"/>
        </w:rPr>
      </w:pPr>
      <w:r>
        <w:rPr>
          <w:rStyle w:val="32"/>
          <w:rFonts w:hint="eastAsia" w:ascii="宋体" w:hAnsi="宋体"/>
          <w:sz w:val="27"/>
          <w:szCs w:val="27"/>
          <w:shd w:val="clear" w:color="auto" w:fill="FFFFFF"/>
        </w:rPr>
        <w:t>（一）职能职责</w:t>
      </w:r>
    </w:p>
    <w:p>
      <w:pPr>
        <w:pStyle w:val="24"/>
        <w:spacing w:before="0" w:beforeAutospacing="0"/>
        <w:ind w:firstLine="542" w:firstLineChars="200"/>
        <w:rPr>
          <w:rFonts w:hint="eastAsia"/>
          <w:sz w:val="27"/>
          <w:szCs w:val="27"/>
          <w:shd w:val="clear" w:color="auto" w:fill="FFFFFF"/>
        </w:rPr>
      </w:pPr>
      <w:r>
        <w:rPr>
          <w:rStyle w:val="32"/>
          <w:rFonts w:hint="eastAsia" w:ascii="宋体" w:hAnsi="宋体"/>
          <w:sz w:val="27"/>
          <w:szCs w:val="27"/>
          <w:shd w:val="clear" w:color="auto" w:fill="FFFFFF"/>
        </w:rPr>
        <w:t xml:space="preserve"> </w:t>
      </w:r>
      <w:r>
        <w:rPr>
          <w:rFonts w:hint="eastAsia"/>
          <w:color w:val="000000"/>
          <w:sz w:val="32"/>
          <w:szCs w:val="32"/>
        </w:rPr>
        <w:t>殡仪馆负责为丧家提供殡仪服务场所及设施；负责殡葬用品和祭品的销售；负责遗体运输、存放、整容化妆、悼念、火化以及骨灰寄存等项殡葬业务。</w:t>
      </w:r>
      <w:r>
        <w:rPr>
          <w:rFonts w:hint="eastAsia"/>
          <w:sz w:val="27"/>
          <w:szCs w:val="27"/>
          <w:shd w:val="clear" w:color="auto" w:fill="FFFFFF"/>
        </w:rPr>
        <w:t xml:space="preserve"> </w:t>
      </w:r>
    </w:p>
    <w:p>
      <w:pPr>
        <w:pStyle w:val="24"/>
        <w:spacing w:before="0" w:beforeAutospacing="0"/>
        <w:ind w:firstLine="542" w:firstLineChars="200"/>
        <w:rPr>
          <w:rFonts w:hint="eastAsia"/>
        </w:rPr>
      </w:pPr>
      <w:r>
        <w:rPr>
          <w:rStyle w:val="32"/>
          <w:rFonts w:hint="eastAsia" w:ascii="宋体" w:hAnsi="宋体"/>
          <w:sz w:val="27"/>
          <w:szCs w:val="27"/>
          <w:shd w:val="clear" w:color="auto" w:fill="FFFFFF"/>
        </w:rPr>
        <w:t>（二）机构设置</w:t>
      </w:r>
    </w:p>
    <w:p>
      <w:pPr>
        <w:pStyle w:val="23"/>
        <w:spacing w:before="0" w:beforeAutospacing="0"/>
        <w:rPr>
          <w:rFonts w:hint="eastAsia"/>
          <w:spacing w:val="6"/>
          <w:kern w:val="2"/>
          <w:sz w:val="30"/>
          <w:szCs w:val="30"/>
        </w:rPr>
      </w:pPr>
      <w:r>
        <w:rPr>
          <w:rFonts w:hint="eastAsia"/>
          <w:color w:val="FF0000"/>
          <w:sz w:val="27"/>
          <w:szCs w:val="27"/>
          <w:shd w:val="clear" w:color="auto" w:fill="FFFFFF"/>
        </w:rPr>
        <w:t xml:space="preserve"> </w:t>
      </w:r>
      <w:r>
        <w:rPr>
          <w:rFonts w:hint="eastAsia"/>
          <w:spacing w:val="6"/>
          <w:kern w:val="2"/>
          <w:sz w:val="30"/>
          <w:szCs w:val="30"/>
        </w:rPr>
        <w:t>本部门2020年度决算无机构设置。</w:t>
      </w:r>
    </w:p>
    <w:p>
      <w:pPr>
        <w:pStyle w:val="24"/>
        <w:spacing w:before="0" w:beforeAutospacing="0"/>
        <w:rPr>
          <w:rFonts w:hint="eastAsia"/>
        </w:rPr>
      </w:pPr>
      <w:r>
        <w:rPr>
          <w:rFonts w:hint="eastAsia"/>
          <w:sz w:val="27"/>
          <w:szCs w:val="27"/>
          <w:shd w:val="clear" w:color="auto" w:fill="FFFFFF"/>
        </w:rPr>
        <w:t xml:space="preserve">  </w:t>
      </w:r>
      <w:r>
        <w:rPr>
          <w:rStyle w:val="32"/>
          <w:rFonts w:hint="eastAsia" w:ascii="宋体" w:hAnsi="宋体"/>
          <w:sz w:val="27"/>
          <w:szCs w:val="27"/>
          <w:shd w:val="clear" w:color="auto" w:fill="FFFFFF"/>
        </w:rPr>
        <w:t>（三）单位构成</w:t>
      </w:r>
    </w:p>
    <w:p>
      <w:pPr>
        <w:pStyle w:val="23"/>
        <w:spacing w:before="0" w:beforeAutospacing="0"/>
        <w:rPr>
          <w:rFonts w:hint="eastAsia"/>
          <w:spacing w:val="6"/>
          <w:kern w:val="2"/>
          <w:sz w:val="30"/>
          <w:szCs w:val="30"/>
        </w:rPr>
      </w:pPr>
      <w:r>
        <w:rPr>
          <w:rStyle w:val="32"/>
          <w:rFonts w:hint="eastAsia" w:ascii="宋体" w:hAnsi="宋体"/>
          <w:sz w:val="27"/>
          <w:szCs w:val="27"/>
          <w:shd w:val="clear" w:color="auto" w:fill="FFFFFF"/>
        </w:rPr>
        <w:t xml:space="preserve">  </w:t>
      </w:r>
      <w:r>
        <w:rPr>
          <w:rFonts w:hint="eastAsia"/>
          <w:spacing w:val="6"/>
          <w:kern w:val="2"/>
          <w:sz w:val="30"/>
          <w:szCs w:val="30"/>
        </w:rPr>
        <w:t xml:space="preserve"> 从预算单位构成看，纳入本部门2020年度决算编制的独立核算单位共1个。</w:t>
      </w:r>
    </w:p>
    <w:p>
      <w:pPr>
        <w:pStyle w:val="24"/>
        <w:spacing w:before="0" w:beforeAutospacing="0"/>
        <w:rPr>
          <w:rFonts w:hint="eastAsia"/>
        </w:rPr>
      </w:pPr>
      <w:r>
        <w:rPr>
          <w:rStyle w:val="32"/>
          <w:rFonts w:hint="eastAsia" w:ascii="宋体" w:hAnsi="宋体"/>
          <w:sz w:val="36"/>
          <w:szCs w:val="36"/>
          <w:shd w:val="clear" w:color="auto" w:fill="FFFFFF"/>
        </w:rPr>
        <w:t>二、部门决算情况说明</w:t>
      </w:r>
    </w:p>
    <w:p>
      <w:pPr>
        <w:pStyle w:val="24"/>
        <w:spacing w:before="0" w:beforeAutospacing="0"/>
        <w:rPr>
          <w:rFonts w:hint="eastAsia"/>
        </w:rPr>
      </w:pPr>
      <w:r>
        <w:rPr>
          <w:rStyle w:val="32"/>
          <w:rFonts w:hint="eastAsia" w:ascii="宋体" w:hAnsi="宋体"/>
          <w:sz w:val="27"/>
          <w:szCs w:val="27"/>
          <w:shd w:val="clear" w:color="auto" w:fill="FFFFFF"/>
        </w:rPr>
        <w:t>（一）收入支出决算总体情况说明</w:t>
      </w:r>
    </w:p>
    <w:p>
      <w:pPr>
        <w:pStyle w:val="24"/>
        <w:spacing w:before="0" w:beforeAutospacing="0"/>
        <w:rPr>
          <w:rFonts w:hint="eastAsia"/>
          <w:spacing w:val="6"/>
          <w:kern w:val="2"/>
          <w:sz w:val="30"/>
          <w:szCs w:val="30"/>
        </w:rPr>
      </w:pPr>
      <w:r>
        <w:rPr>
          <w:rStyle w:val="32"/>
          <w:rFonts w:hint="eastAsia" w:ascii="宋体" w:hAnsi="宋体"/>
          <w:sz w:val="27"/>
          <w:szCs w:val="27"/>
          <w:shd w:val="clear" w:color="auto" w:fill="FFFFFF"/>
        </w:rPr>
        <w:t>1.总体情况</w:t>
      </w:r>
      <w:r>
        <w:rPr>
          <w:rFonts w:hint="eastAsia"/>
          <w:sz w:val="27"/>
          <w:szCs w:val="27"/>
          <w:shd w:val="clear" w:color="auto" w:fill="FFFFFF"/>
        </w:rPr>
        <w:t>。2020年度收入总计2,150.46万元，支出总计2,150.46万元。收支较上年决算数 增加1,234.66万元、 增长134.8%，主要原因</w:t>
      </w:r>
      <w:r>
        <w:rPr>
          <w:rFonts w:hint="eastAsia"/>
          <w:spacing w:val="6"/>
          <w:kern w:val="2"/>
          <w:sz w:val="30"/>
          <w:szCs w:val="30"/>
        </w:rPr>
        <w:t>是增加殡仪馆新建工程项目。</w:t>
      </w:r>
    </w:p>
    <w:p>
      <w:pPr>
        <w:pStyle w:val="24"/>
        <w:spacing w:before="0" w:beforeAutospacing="0"/>
        <w:rPr>
          <w:rFonts w:hint="eastAsia"/>
          <w:sz w:val="27"/>
          <w:szCs w:val="27"/>
          <w:shd w:val="clear" w:color="auto" w:fill="FFFFFF"/>
        </w:rPr>
      </w:pPr>
      <w:r>
        <w:rPr>
          <w:rStyle w:val="32"/>
          <w:rFonts w:hint="eastAsia" w:ascii="宋体" w:hAnsi="宋体"/>
          <w:sz w:val="27"/>
          <w:szCs w:val="27"/>
          <w:shd w:val="clear" w:color="auto" w:fill="FFFFFF"/>
        </w:rPr>
        <w:t>2.收入情况。</w:t>
      </w:r>
      <w:r>
        <w:rPr>
          <w:rFonts w:hint="eastAsia"/>
          <w:sz w:val="27"/>
          <w:szCs w:val="27"/>
          <w:shd w:val="clear" w:color="auto" w:fill="FFFFFF"/>
        </w:rPr>
        <w:t xml:space="preserve">2020年度收入合计2,148.98万元，较上年决算数增加1,237.60万元，增长135.8%，主要原因 </w:t>
      </w:r>
      <w:r>
        <w:rPr>
          <w:rFonts w:hint="eastAsia"/>
          <w:spacing w:val="6"/>
          <w:kern w:val="2"/>
          <w:sz w:val="30"/>
          <w:szCs w:val="30"/>
        </w:rPr>
        <w:t>增加殡仪馆新建工程项目。其</w:t>
      </w:r>
      <w:r>
        <w:rPr>
          <w:rFonts w:hint="eastAsia"/>
          <w:sz w:val="27"/>
          <w:szCs w:val="27"/>
          <w:shd w:val="clear" w:color="auto" w:fill="FFFFFF"/>
        </w:rPr>
        <w:t>中：财政拨款收入2,123.48万元，占98.8%；事业收入0.00万元，占0%；经营收入0.00万元，占0%；其他收入25.50万元，占1.2%。此外，使用非财政拨款结余0.92万元，年初结转和结余0.57万元。</w:t>
      </w:r>
    </w:p>
    <w:p>
      <w:pPr>
        <w:pStyle w:val="24"/>
        <w:spacing w:before="0" w:beforeAutospacing="0"/>
        <w:rPr>
          <w:rFonts w:hint="eastAsia"/>
          <w:sz w:val="27"/>
          <w:szCs w:val="27"/>
          <w:shd w:val="clear" w:color="auto" w:fill="FFFFFF"/>
        </w:rPr>
      </w:pPr>
      <w:r>
        <w:rPr>
          <w:rStyle w:val="32"/>
          <w:rFonts w:hint="eastAsia" w:ascii="宋体" w:hAnsi="宋体"/>
          <w:sz w:val="27"/>
          <w:szCs w:val="27"/>
          <w:shd w:val="clear" w:color="auto" w:fill="FFFFFF"/>
        </w:rPr>
        <w:t>3.支出情况。</w:t>
      </w:r>
      <w:r>
        <w:rPr>
          <w:rFonts w:hint="eastAsia"/>
          <w:sz w:val="27"/>
          <w:szCs w:val="27"/>
          <w:shd w:val="clear" w:color="auto" w:fill="FFFFFF"/>
        </w:rPr>
        <w:t>2020年度支出合计2,150.46万元，较上年决算数增加1,237.98万元，增长135.7%，主要原因是</w:t>
      </w:r>
      <w:r>
        <w:rPr>
          <w:rFonts w:hint="eastAsia"/>
          <w:spacing w:val="6"/>
          <w:kern w:val="2"/>
          <w:sz w:val="30"/>
          <w:szCs w:val="30"/>
        </w:rPr>
        <w:t>增加殡仪馆新建工程项目。</w:t>
      </w:r>
      <w:r>
        <w:rPr>
          <w:rFonts w:hint="eastAsia"/>
          <w:sz w:val="27"/>
          <w:szCs w:val="27"/>
          <w:shd w:val="clear" w:color="auto" w:fill="FFFFFF"/>
        </w:rPr>
        <w:t>其中：基本支出 298.12万元，占13.9%；项目支出1,852.34万元，占86.1%；经营支出0.00万元，占0%。此外，结余分配0.00万元。</w:t>
      </w:r>
    </w:p>
    <w:p>
      <w:pPr>
        <w:pStyle w:val="24"/>
        <w:spacing w:before="0" w:beforeAutospacing="0"/>
        <w:rPr>
          <w:rFonts w:hint="eastAsia"/>
          <w:spacing w:val="6"/>
          <w:kern w:val="2"/>
          <w:sz w:val="30"/>
          <w:szCs w:val="30"/>
        </w:rPr>
      </w:pPr>
      <w:r>
        <w:rPr>
          <w:rStyle w:val="32"/>
          <w:rFonts w:hint="eastAsia" w:ascii="宋体" w:hAnsi="宋体"/>
          <w:sz w:val="27"/>
          <w:szCs w:val="27"/>
          <w:shd w:val="clear" w:color="auto" w:fill="FFFFFF"/>
        </w:rPr>
        <w:t>4.结转结余情况。</w:t>
      </w:r>
      <w:r>
        <w:rPr>
          <w:rFonts w:hint="eastAsia"/>
          <w:sz w:val="27"/>
          <w:szCs w:val="27"/>
          <w:shd w:val="clear" w:color="auto" w:fill="FFFFFF"/>
        </w:rPr>
        <w:t>2020年度年末结转和结余0.00万元，较上年决算数减少0.57万元，下降100%，主要原因是</w:t>
      </w:r>
      <w:r>
        <w:rPr>
          <w:rFonts w:hint="eastAsia"/>
          <w:spacing w:val="6"/>
          <w:kern w:val="2"/>
          <w:sz w:val="30"/>
          <w:szCs w:val="30"/>
        </w:rPr>
        <w:t>增加殡仪馆新建工程项目。</w:t>
      </w:r>
    </w:p>
    <w:p>
      <w:pPr>
        <w:pStyle w:val="24"/>
        <w:spacing w:before="0" w:beforeAutospacing="0"/>
        <w:rPr>
          <w:rFonts w:hint="eastAsia"/>
        </w:rPr>
      </w:pPr>
      <w:r>
        <w:rPr>
          <w:rStyle w:val="32"/>
          <w:rFonts w:hint="eastAsia" w:ascii="宋体" w:hAnsi="宋体"/>
          <w:sz w:val="27"/>
          <w:szCs w:val="27"/>
          <w:shd w:val="clear" w:color="auto" w:fill="FFFFFF"/>
        </w:rPr>
        <w:t>（二）财政拨款收入支出决算总体情况说明</w:t>
      </w:r>
    </w:p>
    <w:p>
      <w:pPr>
        <w:pStyle w:val="24"/>
        <w:spacing w:before="0" w:beforeAutospacing="0"/>
        <w:rPr>
          <w:rFonts w:hint="eastAsia"/>
          <w:spacing w:val="6"/>
          <w:kern w:val="2"/>
          <w:sz w:val="30"/>
          <w:szCs w:val="30"/>
        </w:rPr>
      </w:pPr>
      <w:r>
        <w:rPr>
          <w:rFonts w:hint="eastAsia"/>
          <w:sz w:val="27"/>
          <w:szCs w:val="27"/>
          <w:shd w:val="clear" w:color="auto" w:fill="FFFFFF"/>
        </w:rPr>
        <w:t xml:space="preserve">  2020年度财政拨款收、支总计2,123.49万元。与2019年相比，财政拨款收、支总计各增加1,240.99万 元，增长140.6%。主要原因是</w:t>
      </w:r>
      <w:r>
        <w:rPr>
          <w:rFonts w:hint="eastAsia"/>
          <w:spacing w:val="6"/>
          <w:kern w:val="2"/>
          <w:sz w:val="30"/>
          <w:szCs w:val="30"/>
        </w:rPr>
        <w:t>增加殡仪馆新建工程项目。</w:t>
      </w:r>
    </w:p>
    <w:p>
      <w:pPr>
        <w:pStyle w:val="24"/>
        <w:spacing w:before="0" w:beforeAutospacing="0"/>
        <w:rPr>
          <w:rFonts w:hint="eastAsia"/>
        </w:rPr>
      </w:pPr>
      <w:r>
        <w:rPr>
          <w:rStyle w:val="32"/>
          <w:rFonts w:hint="eastAsia" w:ascii="宋体" w:hAnsi="宋体"/>
          <w:sz w:val="27"/>
          <w:szCs w:val="27"/>
          <w:shd w:val="clear" w:color="auto" w:fill="FFFFFF"/>
        </w:rPr>
        <w:t>（三）一般公共预算财政拨款支出决算情况说明</w:t>
      </w:r>
    </w:p>
    <w:p>
      <w:pPr>
        <w:pStyle w:val="24"/>
        <w:spacing w:before="0" w:beforeAutospacing="0"/>
        <w:rPr>
          <w:rFonts w:hint="eastAsia"/>
        </w:rPr>
      </w:pPr>
      <w:r>
        <w:rPr>
          <w:rStyle w:val="32"/>
          <w:rFonts w:hint="eastAsia" w:ascii="宋体" w:hAnsi="宋体"/>
          <w:sz w:val="27"/>
          <w:szCs w:val="27"/>
          <w:shd w:val="clear" w:color="auto" w:fill="FFFFFF"/>
        </w:rPr>
        <w:t>1.收入情况。</w:t>
      </w:r>
      <w:r>
        <w:rPr>
          <w:rFonts w:hint="eastAsia"/>
          <w:sz w:val="27"/>
          <w:szCs w:val="27"/>
          <w:shd w:val="clear" w:color="auto" w:fill="FFFFFF"/>
        </w:rPr>
        <w:t>2020年度一般公共预算财政拨款收入732.18万元，较上年决算数减少142.35万元，下降16.3%。主要原因是</w:t>
      </w:r>
      <w:r>
        <w:rPr>
          <w:rFonts w:hint="eastAsia"/>
          <w:spacing w:val="6"/>
          <w:kern w:val="2"/>
          <w:sz w:val="30"/>
          <w:szCs w:val="30"/>
        </w:rPr>
        <w:t>增加殡仪馆新建工程项目。</w:t>
      </w:r>
      <w:r>
        <w:rPr>
          <w:rFonts w:hint="eastAsia"/>
          <w:sz w:val="27"/>
          <w:szCs w:val="27"/>
          <w:shd w:val="clear" w:color="auto" w:fill="FFFFFF"/>
        </w:rPr>
        <w:t>较年初预算数 增加22.34万元，增长3.1%。主要原因是</w:t>
      </w:r>
      <w:r>
        <w:rPr>
          <w:rFonts w:hint="eastAsia"/>
          <w:spacing w:val="6"/>
          <w:kern w:val="2"/>
          <w:sz w:val="30"/>
          <w:szCs w:val="30"/>
        </w:rPr>
        <w:t>增加殡仪馆新建工程项目。</w:t>
      </w:r>
      <w:r>
        <w:rPr>
          <w:rFonts w:hint="eastAsia"/>
          <w:sz w:val="27"/>
          <w:szCs w:val="27"/>
          <w:shd w:val="clear" w:color="auto" w:fill="FFFFFF"/>
        </w:rPr>
        <w:t>此外，年初财政拨款结转和结余0.00万元。</w:t>
      </w:r>
    </w:p>
    <w:p>
      <w:pPr>
        <w:pStyle w:val="24"/>
        <w:spacing w:before="0" w:beforeAutospacing="0"/>
        <w:rPr>
          <w:rFonts w:hint="eastAsia"/>
          <w:spacing w:val="6"/>
          <w:kern w:val="2"/>
          <w:sz w:val="30"/>
          <w:szCs w:val="30"/>
        </w:rPr>
      </w:pPr>
      <w:r>
        <w:rPr>
          <w:rStyle w:val="32"/>
          <w:rFonts w:hint="eastAsia" w:ascii="宋体" w:hAnsi="宋体"/>
          <w:sz w:val="27"/>
          <w:szCs w:val="27"/>
          <w:shd w:val="clear" w:color="auto" w:fill="FFFFFF"/>
        </w:rPr>
        <w:t>2.支出情况。</w:t>
      </w:r>
      <w:r>
        <w:rPr>
          <w:rFonts w:hint="eastAsia"/>
          <w:sz w:val="27"/>
          <w:szCs w:val="27"/>
          <w:shd w:val="clear" w:color="auto" w:fill="FFFFFF"/>
        </w:rPr>
        <w:t>2020年度一般公共预算财政拨款支出732.18万元，较上年决算数减少144.02万元，下降16.4%。主要原因是</w:t>
      </w:r>
      <w:r>
        <w:rPr>
          <w:rFonts w:hint="eastAsia"/>
          <w:spacing w:val="6"/>
          <w:kern w:val="2"/>
          <w:sz w:val="30"/>
          <w:szCs w:val="30"/>
        </w:rPr>
        <w:t>增加殡仪馆新建工程项目。</w:t>
      </w:r>
      <w:r>
        <w:rPr>
          <w:rFonts w:hint="eastAsia"/>
          <w:sz w:val="27"/>
          <w:szCs w:val="27"/>
          <w:shd w:val="clear" w:color="auto" w:fill="FFFFFF"/>
        </w:rPr>
        <w:t>较年初预算数 增加22.34万 元，增长3.1%。主要原因是</w:t>
      </w:r>
      <w:r>
        <w:rPr>
          <w:rFonts w:hint="eastAsia"/>
          <w:spacing w:val="6"/>
          <w:kern w:val="2"/>
          <w:sz w:val="30"/>
          <w:szCs w:val="30"/>
        </w:rPr>
        <w:t>增加殡仪馆新建工程项目。</w:t>
      </w:r>
    </w:p>
    <w:p>
      <w:pPr>
        <w:pStyle w:val="24"/>
        <w:spacing w:before="0" w:beforeAutospacing="0"/>
        <w:rPr>
          <w:rFonts w:hint="eastAsia"/>
        </w:rPr>
      </w:pPr>
      <w:r>
        <w:rPr>
          <w:rStyle w:val="32"/>
          <w:rFonts w:hint="eastAsia" w:ascii="宋体" w:hAnsi="宋体"/>
          <w:sz w:val="27"/>
          <w:szCs w:val="27"/>
          <w:shd w:val="clear" w:color="auto" w:fill="FFFFFF"/>
        </w:rPr>
        <w:t>3.结转结余情况。</w:t>
      </w:r>
      <w:r>
        <w:rPr>
          <w:rFonts w:hint="eastAsia"/>
          <w:sz w:val="27"/>
          <w:szCs w:val="27"/>
          <w:shd w:val="clear" w:color="auto" w:fill="FFFFFF"/>
        </w:rPr>
        <w:t>2020年度年末一般公共预算财政拨款结转和结余0.00万元，较上年决算数增加0.00万元，增长%。</w:t>
      </w:r>
    </w:p>
    <w:p>
      <w:pPr>
        <w:pStyle w:val="24"/>
        <w:spacing w:before="0" w:beforeAutospacing="0"/>
        <w:rPr>
          <w:rFonts w:hint="eastAsia"/>
          <w:sz w:val="27"/>
          <w:szCs w:val="27"/>
          <w:shd w:val="clear" w:color="auto" w:fill="FFFFFF"/>
        </w:rPr>
      </w:pPr>
      <w:r>
        <w:rPr>
          <w:rStyle w:val="32"/>
          <w:rFonts w:hint="eastAsia" w:ascii="宋体" w:hAnsi="宋体"/>
          <w:sz w:val="27"/>
          <w:szCs w:val="27"/>
          <w:shd w:val="clear" w:color="auto" w:fill="FFFFFF"/>
        </w:rPr>
        <w:t>4.比较情况</w:t>
      </w:r>
      <w:r>
        <w:rPr>
          <w:rFonts w:hint="eastAsia"/>
          <w:sz w:val="27"/>
          <w:szCs w:val="27"/>
          <w:shd w:val="clear" w:color="auto" w:fill="FFFFFF"/>
        </w:rPr>
        <w:t>。本部门2020年度一般公共预算财政拨款支出主要用于以下几个方面：</w:t>
      </w:r>
    </w:p>
    <w:p>
      <w:pPr>
        <w:pStyle w:val="24"/>
        <w:spacing w:before="0" w:beforeAutospacing="0"/>
        <w:rPr>
          <w:rFonts w:hint="eastAsia"/>
          <w:sz w:val="27"/>
          <w:szCs w:val="27"/>
          <w:shd w:val="clear" w:color="auto" w:fill="FFFFFF"/>
        </w:rPr>
      </w:pPr>
      <w:r>
        <w:rPr>
          <w:rFonts w:hint="eastAsia"/>
          <w:sz w:val="27"/>
          <w:szCs w:val="27"/>
          <w:shd w:val="clear" w:color="auto" w:fill="FFFFFF"/>
        </w:rPr>
        <w:t>（1）社会保障与就业支出713.75万元，占97.5%，较年初预算数增加22.68万 元，增长3.3%，主要原因是殡仪馆中途人员变动。</w:t>
      </w:r>
    </w:p>
    <w:p>
      <w:pPr>
        <w:pStyle w:val="24"/>
        <w:spacing w:before="0" w:beforeAutospacing="0"/>
        <w:rPr>
          <w:rFonts w:hint="eastAsia"/>
        </w:rPr>
      </w:pPr>
      <w:r>
        <w:rPr>
          <w:rFonts w:hint="eastAsia"/>
          <w:sz w:val="27"/>
          <w:szCs w:val="27"/>
          <w:shd w:val="clear" w:color="auto" w:fill="FFFFFF"/>
        </w:rPr>
        <w:t>（2）卫生健康支出12.16万元，占1.7%，较年初预算数减少0.16万 元，下降1.3%，主要原因是殡仪馆中途人员变动。</w:t>
      </w:r>
    </w:p>
    <w:p>
      <w:pPr>
        <w:pStyle w:val="24"/>
        <w:spacing w:before="0" w:beforeAutospacing="0"/>
        <w:rPr>
          <w:rFonts w:hint="eastAsia"/>
        </w:rPr>
      </w:pPr>
      <w:r>
        <w:rPr>
          <w:rFonts w:hint="eastAsia"/>
          <w:sz w:val="27"/>
          <w:szCs w:val="27"/>
          <w:shd w:val="clear" w:color="auto" w:fill="FFFFFF"/>
        </w:rPr>
        <w:t>（3）住房保障支出6.26万元，占0.9%，较年初预算数减少0.19万 元，下降2.9%，主要原因是殡仪馆中途人员变动。</w:t>
      </w:r>
    </w:p>
    <w:p>
      <w:pPr>
        <w:pStyle w:val="24"/>
        <w:spacing w:before="0" w:beforeAutospacing="0"/>
        <w:rPr>
          <w:rFonts w:hint="eastAsia"/>
        </w:rPr>
      </w:pPr>
      <w:r>
        <w:rPr>
          <w:rStyle w:val="32"/>
          <w:rFonts w:hint="eastAsia" w:ascii="宋体" w:hAnsi="宋体"/>
          <w:sz w:val="27"/>
          <w:szCs w:val="27"/>
          <w:shd w:val="clear" w:color="auto" w:fill="FFFFFF"/>
        </w:rPr>
        <w:t>（四）一般公共预算财政拨款基本支出决算情况说明</w:t>
      </w:r>
    </w:p>
    <w:p>
      <w:pPr>
        <w:pStyle w:val="23"/>
        <w:spacing w:before="0" w:beforeAutospacing="0"/>
        <w:rPr>
          <w:rFonts w:hint="eastAsia"/>
          <w:sz w:val="30"/>
          <w:szCs w:val="30"/>
        </w:rPr>
      </w:pPr>
      <w:r>
        <w:rPr>
          <w:rFonts w:hint="eastAsia"/>
          <w:sz w:val="27"/>
          <w:szCs w:val="27"/>
          <w:shd w:val="clear" w:color="auto" w:fill="FFFFFF"/>
        </w:rPr>
        <w:t xml:space="preserve">  2020年度一般公共财政拨款基本支出271.15万元。其中：人员经费177.24万元，较上年决算数减少38.29万 元，下降17.8%，</w:t>
      </w:r>
      <w:r>
        <w:rPr>
          <w:rFonts w:hint="eastAsia"/>
          <w:sz w:val="30"/>
          <w:szCs w:val="30"/>
          <w:shd w:val="clear" w:color="auto" w:fill="FFFFFF"/>
        </w:rPr>
        <w:t>主要原因是</w:t>
      </w:r>
      <w:r>
        <w:rPr>
          <w:rFonts w:hint="eastAsia"/>
          <w:sz w:val="30"/>
          <w:szCs w:val="30"/>
        </w:rPr>
        <w:t>人员变动调整工资</w:t>
      </w:r>
      <w:r>
        <w:rPr>
          <w:rFonts w:hint="eastAsia"/>
          <w:sz w:val="30"/>
          <w:szCs w:val="30"/>
          <w:shd w:val="clear" w:color="auto" w:fill="FFFFFF"/>
        </w:rPr>
        <w:t>。人员经费用途主要包括</w:t>
      </w:r>
      <w:r>
        <w:rPr>
          <w:rFonts w:hint="eastAsia"/>
          <w:sz w:val="30"/>
          <w:szCs w:val="30"/>
        </w:rPr>
        <w:t>基本工资、津贴补贴、奖金、伙食补助费、社会保障缴费、住房公积金等</w:t>
      </w:r>
      <w:r>
        <w:rPr>
          <w:rFonts w:hint="eastAsia"/>
          <w:sz w:val="30"/>
          <w:szCs w:val="30"/>
          <w:shd w:val="clear" w:color="auto" w:fill="FFFFFF"/>
        </w:rPr>
        <w:t>。</w:t>
      </w:r>
      <w:r>
        <w:rPr>
          <w:rFonts w:hint="eastAsia"/>
          <w:sz w:val="27"/>
          <w:szCs w:val="27"/>
          <w:shd w:val="clear" w:color="auto" w:fill="FFFFFF"/>
        </w:rPr>
        <w:t>公用经费93.91万元，较上年决算数减少14.65万元，下降13.5%，</w:t>
      </w:r>
      <w:r>
        <w:rPr>
          <w:rFonts w:hint="eastAsia"/>
          <w:sz w:val="30"/>
          <w:szCs w:val="30"/>
          <w:shd w:val="clear" w:color="auto" w:fill="FFFFFF"/>
        </w:rPr>
        <w:t>主要原因是差旅费用增加。公用经费用途主要包括</w:t>
      </w:r>
      <w:r>
        <w:rPr>
          <w:rFonts w:hint="eastAsia"/>
          <w:sz w:val="30"/>
          <w:szCs w:val="30"/>
        </w:rPr>
        <w:t>包括办公费、水电费、差旅费、公务用车运行维护费等</w:t>
      </w:r>
      <w:r>
        <w:rPr>
          <w:rFonts w:hint="eastAsia"/>
          <w:sz w:val="30"/>
          <w:szCs w:val="30"/>
          <w:shd w:val="clear" w:color="auto" w:fill="FFFFFF"/>
        </w:rPr>
        <w:t>。</w:t>
      </w:r>
    </w:p>
    <w:p>
      <w:pPr>
        <w:pStyle w:val="24"/>
        <w:spacing w:before="0" w:beforeAutospacing="0"/>
        <w:rPr>
          <w:rFonts w:hint="eastAsia"/>
        </w:rPr>
      </w:pPr>
      <w:r>
        <w:rPr>
          <w:rStyle w:val="32"/>
          <w:rFonts w:hint="eastAsia" w:ascii="宋体" w:hAnsi="宋体"/>
          <w:sz w:val="27"/>
          <w:szCs w:val="27"/>
          <w:shd w:val="clear" w:color="auto" w:fill="FFFFFF"/>
        </w:rPr>
        <w:t>（五）政府性基金预算收支决算情况说明</w:t>
      </w:r>
    </w:p>
    <w:p>
      <w:pPr>
        <w:pStyle w:val="24"/>
        <w:spacing w:before="0" w:beforeAutospacing="0"/>
        <w:rPr>
          <w:rFonts w:hint="eastAsia"/>
          <w:spacing w:val="6"/>
          <w:kern w:val="2"/>
          <w:sz w:val="30"/>
          <w:szCs w:val="30"/>
        </w:rPr>
      </w:pPr>
      <w:r>
        <w:rPr>
          <w:rFonts w:hint="eastAsia"/>
          <w:sz w:val="27"/>
          <w:szCs w:val="27"/>
          <w:shd w:val="clear" w:color="auto" w:fill="FFFFFF"/>
        </w:rPr>
        <w:t xml:space="preserve">  2020年度政府性基金预算财政拨款年初结转结余0.00万元，年末结转结余0.00万元。本年收入1,391.30万元，较上年决算数增加1,385.00万元，增长21984.1%，主要原因是</w:t>
      </w:r>
      <w:r>
        <w:rPr>
          <w:rFonts w:hint="eastAsia"/>
          <w:spacing w:val="6"/>
          <w:kern w:val="2"/>
          <w:sz w:val="30"/>
          <w:szCs w:val="30"/>
        </w:rPr>
        <w:t>增加殡仪馆新建工程项目。</w:t>
      </w:r>
      <w:r>
        <w:rPr>
          <w:rFonts w:hint="eastAsia"/>
          <w:sz w:val="27"/>
          <w:szCs w:val="27"/>
          <w:shd w:val="clear" w:color="auto" w:fill="FFFFFF"/>
        </w:rPr>
        <w:t>本年支出1,391.30万元，较上年决算数增加1,385.00万元，增长21984.1%，主要原因是</w:t>
      </w:r>
      <w:r>
        <w:rPr>
          <w:rFonts w:hint="eastAsia"/>
          <w:spacing w:val="6"/>
          <w:kern w:val="2"/>
          <w:sz w:val="30"/>
          <w:szCs w:val="30"/>
        </w:rPr>
        <w:t>增加殡仪馆新建工程项目。</w:t>
      </w:r>
    </w:p>
    <w:p>
      <w:pPr>
        <w:pStyle w:val="24"/>
        <w:spacing w:before="0" w:beforeAutospacing="0"/>
        <w:rPr>
          <w:rFonts w:hint="eastAsia"/>
        </w:rPr>
      </w:pPr>
      <w:r>
        <w:rPr>
          <w:rStyle w:val="32"/>
          <w:rFonts w:hint="eastAsia" w:ascii="宋体" w:hAnsi="宋体"/>
          <w:sz w:val="27"/>
          <w:szCs w:val="27"/>
          <w:shd w:val="clear" w:color="auto" w:fill="FFFFFF"/>
        </w:rPr>
        <w:t>（六）国有资本经营预算财政拨款支出决算情况说明</w:t>
      </w:r>
    </w:p>
    <w:p>
      <w:pPr>
        <w:pStyle w:val="24"/>
        <w:spacing w:before="0" w:beforeAutospacing="0"/>
        <w:rPr>
          <w:rFonts w:hint="eastAsia"/>
          <w:sz w:val="30"/>
          <w:szCs w:val="30"/>
          <w:shd w:val="clear" w:color="auto" w:fill="FFFFFF"/>
        </w:rPr>
      </w:pPr>
      <w:r>
        <w:rPr>
          <w:rFonts w:hint="eastAsia"/>
          <w:sz w:val="30"/>
          <w:szCs w:val="30"/>
          <w:shd w:val="clear" w:color="auto" w:fill="FFFFFF"/>
        </w:rPr>
        <w:t>本部门2020年度无国有资本经营预算财政拨款支出。</w:t>
      </w:r>
    </w:p>
    <w:p>
      <w:pPr>
        <w:pStyle w:val="24"/>
        <w:spacing w:before="0" w:beforeAutospacing="0"/>
        <w:rPr>
          <w:rFonts w:hint="eastAsia"/>
        </w:rPr>
      </w:pPr>
      <w:r>
        <w:rPr>
          <w:rStyle w:val="32"/>
          <w:rFonts w:hint="eastAsia" w:ascii="宋体" w:hAnsi="宋体"/>
          <w:sz w:val="36"/>
          <w:szCs w:val="36"/>
          <w:shd w:val="clear" w:color="auto" w:fill="FFFFFF"/>
        </w:rPr>
        <w:t>三、“三公”经费情况说明</w:t>
      </w:r>
    </w:p>
    <w:p>
      <w:pPr>
        <w:pStyle w:val="24"/>
        <w:spacing w:before="0" w:beforeAutospacing="0"/>
        <w:rPr>
          <w:rFonts w:hint="eastAsia"/>
        </w:rPr>
      </w:pPr>
      <w:r>
        <w:rPr>
          <w:rStyle w:val="32"/>
          <w:rFonts w:hint="eastAsia" w:ascii="宋体" w:hAnsi="宋体"/>
          <w:sz w:val="27"/>
          <w:szCs w:val="27"/>
          <w:shd w:val="clear" w:color="auto" w:fill="FFFFFF"/>
        </w:rPr>
        <w:t>（一）“三公”经费支出总体情况说明</w:t>
      </w:r>
    </w:p>
    <w:p>
      <w:pPr>
        <w:pStyle w:val="24"/>
        <w:spacing w:before="0" w:beforeAutospacing="0"/>
        <w:rPr>
          <w:rFonts w:hint="eastAsia"/>
        </w:rPr>
      </w:pPr>
      <w:r>
        <w:rPr>
          <w:rFonts w:hint="eastAsia"/>
          <w:sz w:val="27"/>
          <w:szCs w:val="27"/>
          <w:shd w:val="clear" w:color="auto" w:fill="FFFFFF"/>
        </w:rPr>
        <w:t>2020年度“三公”经费支出共计7.29万元，较年初预算数增加2.54万元，增长53.5%，</w:t>
      </w:r>
      <w:r>
        <w:rPr>
          <w:rFonts w:hint="eastAsia"/>
          <w:sz w:val="30"/>
          <w:szCs w:val="30"/>
          <w:shd w:val="clear" w:color="auto" w:fill="FFFFFF"/>
        </w:rPr>
        <w:t>主要原因是</w:t>
      </w:r>
      <w:r>
        <w:rPr>
          <w:rFonts w:hint="eastAsia"/>
          <w:sz w:val="30"/>
          <w:szCs w:val="30"/>
        </w:rPr>
        <w:t>本年接待其他区县殡仪馆来本单位参观考察尾气净化处理设备公务接待费</w:t>
      </w:r>
      <w:r>
        <w:rPr>
          <w:rFonts w:hint="eastAsia"/>
          <w:sz w:val="27"/>
          <w:szCs w:val="27"/>
          <w:shd w:val="clear" w:color="auto" w:fill="FFFFFF"/>
        </w:rPr>
        <w:t>。 较上年支出数减少13.53万 元，下降65%，</w:t>
      </w:r>
      <w:r>
        <w:rPr>
          <w:rFonts w:hint="eastAsia"/>
          <w:sz w:val="30"/>
          <w:szCs w:val="30"/>
          <w:shd w:val="clear" w:color="auto" w:fill="FFFFFF"/>
        </w:rPr>
        <w:t>主要原因是</w:t>
      </w:r>
      <w:r>
        <w:rPr>
          <w:rFonts w:hint="eastAsia"/>
          <w:sz w:val="30"/>
          <w:szCs w:val="30"/>
        </w:rPr>
        <w:t>严格执行中央八项规定</w:t>
      </w:r>
      <w:bookmarkStart w:id="0" w:name="_GoBack"/>
      <w:bookmarkEnd w:id="0"/>
      <w:r>
        <w:rPr>
          <w:rFonts w:hint="eastAsia"/>
          <w:sz w:val="30"/>
          <w:szCs w:val="30"/>
        </w:rPr>
        <w:t>精神、严格执行接待标准及陪同人员。</w:t>
      </w:r>
    </w:p>
    <w:p>
      <w:pPr>
        <w:pStyle w:val="24"/>
        <w:spacing w:before="0" w:beforeAutospacing="0"/>
        <w:rPr>
          <w:rFonts w:hint="eastAsia"/>
        </w:rPr>
      </w:pPr>
      <w:r>
        <w:rPr>
          <w:rStyle w:val="32"/>
          <w:rFonts w:hint="eastAsia" w:ascii="宋体" w:hAnsi="宋体"/>
          <w:sz w:val="27"/>
          <w:szCs w:val="27"/>
          <w:shd w:val="clear" w:color="auto" w:fill="FFFFFF"/>
        </w:rPr>
        <w:t>（二）“三公”经费分项支出情况</w:t>
      </w:r>
    </w:p>
    <w:p>
      <w:pPr>
        <w:pStyle w:val="23"/>
        <w:spacing w:before="0" w:beforeAutospacing="0"/>
        <w:ind w:firstLine="600" w:firstLineChars="200"/>
        <w:rPr>
          <w:rFonts w:hint="eastAsia"/>
          <w:sz w:val="30"/>
          <w:szCs w:val="30"/>
        </w:rPr>
      </w:pPr>
      <w:r>
        <w:rPr>
          <w:rFonts w:hint="eastAsia"/>
          <w:sz w:val="30"/>
          <w:szCs w:val="30"/>
          <w:shd w:val="clear" w:color="auto" w:fill="FFFFFF"/>
        </w:rPr>
        <w:t>2020年度本部门因公出国（境）费用0.00万元，本单位2020年度未发生因公出国（境）支出。</w:t>
      </w:r>
    </w:p>
    <w:p>
      <w:pPr>
        <w:pStyle w:val="23"/>
        <w:spacing w:before="0" w:beforeAutospacing="0"/>
        <w:ind w:firstLine="600" w:firstLineChars="200"/>
        <w:rPr>
          <w:rFonts w:hint="eastAsia"/>
          <w:sz w:val="30"/>
          <w:szCs w:val="30"/>
          <w:shd w:val="clear" w:color="auto" w:fill="FFFFFF"/>
        </w:rPr>
      </w:pPr>
      <w:r>
        <w:rPr>
          <w:rFonts w:hint="eastAsia"/>
          <w:sz w:val="30"/>
          <w:szCs w:val="30"/>
          <w:shd w:val="clear" w:color="auto" w:fill="FFFFFF"/>
        </w:rPr>
        <w:t>公务车购置费0.00万元，本单位2020年度未发生公务车购置费支出。</w:t>
      </w:r>
    </w:p>
    <w:p>
      <w:pPr>
        <w:pStyle w:val="24"/>
        <w:spacing w:before="0" w:beforeAutospacing="0"/>
        <w:ind w:firstLine="540" w:firstLineChars="200"/>
        <w:rPr>
          <w:rFonts w:hint="eastAsia"/>
        </w:rPr>
      </w:pPr>
      <w:r>
        <w:rPr>
          <w:rFonts w:hint="eastAsia"/>
          <w:sz w:val="27"/>
          <w:szCs w:val="27"/>
          <w:shd w:val="clear" w:color="auto" w:fill="FFFFFF"/>
        </w:rPr>
        <w:t>公务车运行维护费7.12万元，</w:t>
      </w:r>
      <w:r>
        <w:rPr>
          <w:rFonts w:hint="eastAsia"/>
          <w:sz w:val="30"/>
          <w:szCs w:val="30"/>
          <w:shd w:val="clear" w:color="auto" w:fill="FFFFFF"/>
        </w:rPr>
        <w:t>主要用于</w:t>
      </w:r>
      <w:r>
        <w:rPr>
          <w:rFonts w:hint="eastAsia"/>
          <w:sz w:val="30"/>
          <w:szCs w:val="30"/>
        </w:rPr>
        <w:t>所需车辆的燃料费、维修费、过桥过路费、保险费等</w:t>
      </w:r>
      <w:r>
        <w:rPr>
          <w:rFonts w:hint="eastAsia"/>
          <w:sz w:val="30"/>
          <w:szCs w:val="30"/>
          <w:shd w:val="clear" w:color="auto" w:fill="FFFFFF"/>
        </w:rPr>
        <w:t>。</w:t>
      </w:r>
      <w:r>
        <w:rPr>
          <w:rFonts w:hint="eastAsia"/>
          <w:sz w:val="27"/>
          <w:szCs w:val="27"/>
          <w:shd w:val="clear" w:color="auto" w:fill="FFFFFF"/>
        </w:rPr>
        <w:t>费用支出较年初预算数增加3.12万元，增长78%，主要原因是殡葬车辆下乡接运遗体维修维护费增加。较上年支出数增加3.12万元，增长78%，主要原因是殡葬车辆下乡接运遗体维修维护费增加。</w:t>
      </w:r>
    </w:p>
    <w:p>
      <w:pPr>
        <w:pStyle w:val="24"/>
        <w:spacing w:before="0" w:beforeAutospacing="0"/>
        <w:rPr>
          <w:rFonts w:hint="eastAsia"/>
        </w:rPr>
      </w:pPr>
      <w:r>
        <w:rPr>
          <w:rFonts w:hint="eastAsia"/>
          <w:sz w:val="27"/>
          <w:szCs w:val="27"/>
          <w:shd w:val="clear" w:color="auto" w:fill="FFFFFF"/>
        </w:rPr>
        <w:t>公务接待费0.17万元，主要用于接待</w:t>
      </w:r>
      <w:r>
        <w:rPr>
          <w:rFonts w:hint="eastAsia"/>
          <w:sz w:val="30"/>
          <w:szCs w:val="30"/>
        </w:rPr>
        <w:t>其他区县殡仪馆来本单位参观考察尾气净化处理设备公务接待费</w:t>
      </w:r>
      <w:r>
        <w:rPr>
          <w:rFonts w:hint="eastAsia"/>
          <w:sz w:val="27"/>
          <w:szCs w:val="27"/>
          <w:shd w:val="clear" w:color="auto" w:fill="FFFFFF"/>
        </w:rPr>
        <w:t>。费用支出较年初预算数减少0.58万元，下降77.3%，主要原因是</w:t>
      </w:r>
      <w:r>
        <w:rPr>
          <w:rFonts w:hint="eastAsia"/>
          <w:sz w:val="30"/>
          <w:szCs w:val="30"/>
        </w:rPr>
        <w:t>严格控制三公经费</w:t>
      </w:r>
      <w:r>
        <w:rPr>
          <w:rFonts w:hint="eastAsia"/>
          <w:sz w:val="30"/>
          <w:szCs w:val="30"/>
          <w:shd w:val="clear" w:color="auto" w:fill="FFFFFF"/>
        </w:rPr>
        <w:t>。</w:t>
      </w:r>
      <w:r>
        <w:rPr>
          <w:rFonts w:hint="eastAsia"/>
          <w:sz w:val="27"/>
          <w:szCs w:val="27"/>
          <w:shd w:val="clear" w:color="auto" w:fill="FFFFFF"/>
        </w:rPr>
        <w:t>较上年支出数增加0.03万元，增长21.4%，主要原因是接待</w:t>
      </w:r>
      <w:r>
        <w:rPr>
          <w:rFonts w:hint="eastAsia"/>
          <w:sz w:val="30"/>
          <w:szCs w:val="30"/>
        </w:rPr>
        <w:t>其他区县殡仪馆来本单位参观考察尾气净化处理设备公务接待费</w:t>
      </w:r>
      <w:r>
        <w:rPr>
          <w:rFonts w:hint="eastAsia"/>
          <w:sz w:val="27"/>
          <w:szCs w:val="27"/>
          <w:shd w:val="clear" w:color="auto" w:fill="FFFFFF"/>
        </w:rPr>
        <w:t>。</w:t>
      </w:r>
      <w:r>
        <w:rPr>
          <w:rStyle w:val="32"/>
          <w:rFonts w:hint="eastAsia" w:ascii="宋体" w:hAnsi="宋体"/>
          <w:sz w:val="27"/>
          <w:szCs w:val="27"/>
          <w:shd w:val="clear" w:color="auto" w:fill="FFFFFF"/>
        </w:rPr>
        <w:t>（三）“三公”经费实物量情况</w:t>
      </w:r>
    </w:p>
    <w:p>
      <w:pPr>
        <w:pStyle w:val="24"/>
        <w:spacing w:before="0" w:beforeAutospacing="0"/>
        <w:rPr>
          <w:rFonts w:hint="eastAsia"/>
        </w:rPr>
      </w:pPr>
      <w:r>
        <w:rPr>
          <w:rFonts w:hint="eastAsia"/>
          <w:sz w:val="27"/>
          <w:szCs w:val="27"/>
          <w:shd w:val="clear" w:color="auto" w:fill="FFFFFF"/>
        </w:rPr>
        <w:t>2020年度本部门因公出国（境）共计0个团组，0人；公务用车购置0辆，公务车保有量为4辆；国内公务接待2批次16人，其中：国内外 事接待0批次，0人；国（境）外公务接待0批次，0人。2020年本部门人均接待费104.75元，车均购置费0.00万元，车均维护费1.78万元。</w:t>
      </w:r>
    </w:p>
    <w:p>
      <w:pPr>
        <w:pStyle w:val="24"/>
        <w:spacing w:before="0" w:beforeAutospacing="0"/>
        <w:rPr>
          <w:rFonts w:hint="eastAsia"/>
        </w:rPr>
      </w:pPr>
      <w:r>
        <w:rPr>
          <w:rStyle w:val="32"/>
          <w:rFonts w:hint="eastAsia" w:ascii="宋体" w:hAnsi="宋体"/>
          <w:sz w:val="36"/>
          <w:szCs w:val="36"/>
          <w:shd w:val="clear" w:color="auto" w:fill="FFFFFF"/>
        </w:rPr>
        <w:t>四、其他需要说明的事项</w:t>
      </w:r>
    </w:p>
    <w:p>
      <w:pPr>
        <w:pStyle w:val="24"/>
        <w:spacing w:before="0" w:beforeAutospacing="0"/>
        <w:rPr>
          <w:rFonts w:hint="eastAsia"/>
        </w:rPr>
      </w:pPr>
      <w:r>
        <w:rPr>
          <w:rStyle w:val="32"/>
          <w:rFonts w:hint="eastAsia" w:ascii="宋体" w:hAnsi="宋体"/>
          <w:sz w:val="27"/>
          <w:szCs w:val="27"/>
          <w:shd w:val="clear" w:color="auto" w:fill="FFFFFF"/>
        </w:rPr>
        <w:t>（一）机关运行经费情况说明</w:t>
      </w:r>
    </w:p>
    <w:p>
      <w:pPr>
        <w:pStyle w:val="24"/>
        <w:spacing w:before="0" w:beforeAutospacing="0"/>
        <w:rPr>
          <w:rFonts w:hint="eastAsia"/>
          <w:sz w:val="30"/>
          <w:szCs w:val="30"/>
          <w:shd w:val="clear" w:color="auto" w:fill="FFFFFF"/>
        </w:rPr>
      </w:pPr>
      <w:r>
        <w:rPr>
          <w:rFonts w:hint="eastAsia"/>
          <w:sz w:val="27"/>
          <w:szCs w:val="27"/>
          <w:shd w:val="clear" w:color="auto" w:fill="FFFFFF"/>
        </w:rPr>
        <w:t>本年度会议费支出0.05万元，较上年决算数减少0.58万元，下降92.1%，主要原因是</w:t>
      </w:r>
      <w:r>
        <w:rPr>
          <w:rFonts w:hint="eastAsia"/>
          <w:sz w:val="30"/>
          <w:szCs w:val="30"/>
        </w:rPr>
        <w:t>严格控制三公经费</w:t>
      </w:r>
      <w:r>
        <w:rPr>
          <w:rFonts w:hint="eastAsia"/>
          <w:sz w:val="30"/>
          <w:szCs w:val="30"/>
          <w:shd w:val="clear" w:color="auto" w:fill="FFFFFF"/>
        </w:rPr>
        <w:t>。</w:t>
      </w:r>
      <w:r>
        <w:rPr>
          <w:rFonts w:hint="eastAsia"/>
          <w:sz w:val="27"/>
          <w:szCs w:val="27"/>
          <w:shd w:val="clear" w:color="auto" w:fill="FFFFFF"/>
        </w:rPr>
        <w:t>本年度培训费支出 0.00万元，较上年决算数减少0.87万元，下降100%，主要原因是</w:t>
      </w:r>
      <w:r>
        <w:rPr>
          <w:rFonts w:hint="eastAsia"/>
          <w:sz w:val="30"/>
          <w:szCs w:val="30"/>
        </w:rPr>
        <w:t>严格控制三公经费</w:t>
      </w:r>
      <w:r>
        <w:rPr>
          <w:rFonts w:hint="eastAsia"/>
          <w:sz w:val="30"/>
          <w:szCs w:val="30"/>
          <w:shd w:val="clear" w:color="auto" w:fill="FFFFFF"/>
        </w:rPr>
        <w:t>。</w:t>
      </w:r>
    </w:p>
    <w:p>
      <w:pPr>
        <w:pStyle w:val="24"/>
        <w:spacing w:before="0" w:beforeAutospacing="0"/>
        <w:rPr>
          <w:rFonts w:hint="eastAsia"/>
        </w:rPr>
      </w:pPr>
      <w:r>
        <w:rPr>
          <w:rStyle w:val="32"/>
          <w:rFonts w:hint="eastAsia" w:ascii="宋体" w:hAnsi="宋体"/>
          <w:sz w:val="27"/>
          <w:szCs w:val="27"/>
          <w:shd w:val="clear" w:color="auto" w:fill="FFFFFF"/>
        </w:rPr>
        <w:t>（二）国有资产占用情况说明</w:t>
      </w:r>
    </w:p>
    <w:p>
      <w:pPr>
        <w:pStyle w:val="24"/>
        <w:spacing w:before="0" w:beforeAutospacing="0"/>
        <w:rPr>
          <w:rFonts w:hint="eastAsia"/>
        </w:rPr>
      </w:pPr>
      <w:r>
        <w:rPr>
          <w:rFonts w:hint="eastAsia"/>
          <w:sz w:val="27"/>
          <w:szCs w:val="27"/>
          <w:shd w:val="clear" w:color="auto" w:fill="FFFFFF"/>
        </w:rPr>
        <w:t>截至2020年12月31日，本部门共有车辆4辆，其中，副部（省）级及以上领导用车0辆、主要领导干部用车0辆、机要通信用车0辆、应急保障用车1辆、执法执勤用车0辆，特种专业技术用车3辆，离退休干部用车0辆，其他用车0辆，其他用车主要是用于殡葬车辆下乡接运遗体维修维护费。单价50万元（含）以上通用设备0台（套），单价100万元（含）以上专用设备0台（套）。</w:t>
      </w:r>
    </w:p>
    <w:p>
      <w:pPr>
        <w:pStyle w:val="24"/>
        <w:spacing w:before="0" w:beforeAutospacing="0"/>
        <w:rPr>
          <w:rFonts w:hint="eastAsia"/>
        </w:rPr>
      </w:pPr>
      <w:r>
        <w:rPr>
          <w:rStyle w:val="32"/>
          <w:rFonts w:hint="eastAsia" w:ascii="宋体" w:hAnsi="宋体"/>
          <w:sz w:val="27"/>
          <w:szCs w:val="27"/>
          <w:shd w:val="clear" w:color="auto" w:fill="FFFFFF"/>
        </w:rPr>
        <w:t>（三）政府采购支出情况说明</w:t>
      </w:r>
    </w:p>
    <w:p>
      <w:pPr>
        <w:pStyle w:val="24"/>
        <w:spacing w:before="0" w:beforeAutospacing="0"/>
        <w:rPr>
          <w:rFonts w:hint="eastAsia"/>
        </w:rPr>
      </w:pPr>
      <w:r>
        <w:rPr>
          <w:rFonts w:hint="eastAsia"/>
          <w:sz w:val="27"/>
          <w:szCs w:val="27"/>
          <w:shd w:val="clear" w:color="auto" w:fill="FFFFFF"/>
        </w:rPr>
        <w:t>2020年度本部门政府采购支出总额129.90万元，其中：政府采购货物支出129.90万元、政府采购工程支出0.00万元、政府采购服务支出0.00万元。授予中小企业合同金额129.90万元，占政府采购支出总额的100%，其中：授予小微企业合同金额 129.90万元，占政府采购支出总额的100%。主要用于采购殡仪馆焚烧炉和配套的风冷尾气净化处理设备。</w:t>
      </w:r>
    </w:p>
    <w:p>
      <w:pPr>
        <w:pStyle w:val="24"/>
        <w:spacing w:before="0" w:beforeAutospacing="0"/>
        <w:rPr>
          <w:rFonts w:hint="eastAsia"/>
        </w:rPr>
      </w:pPr>
      <w:r>
        <w:rPr>
          <w:rStyle w:val="32"/>
          <w:rFonts w:hint="eastAsia" w:ascii="宋体" w:hAnsi="宋体"/>
          <w:sz w:val="36"/>
          <w:szCs w:val="36"/>
          <w:shd w:val="clear" w:color="auto" w:fill="FFFFFF"/>
        </w:rPr>
        <w:t>五、预算绩效管理情况说明</w:t>
      </w:r>
    </w:p>
    <w:p>
      <w:pPr>
        <w:pStyle w:val="23"/>
        <w:spacing w:before="0" w:beforeAutospacing="0"/>
        <w:ind w:firstLine="542" w:firstLineChars="200"/>
        <w:rPr>
          <w:rFonts w:hint="eastAsia"/>
          <w:b/>
          <w:sz w:val="27"/>
          <w:szCs w:val="27"/>
          <w:shd w:val="clear" w:color="auto" w:fill="FFFFFF"/>
        </w:rPr>
      </w:pPr>
      <w:r>
        <w:rPr>
          <w:rStyle w:val="32"/>
          <w:rFonts w:hint="eastAsia" w:ascii="宋体" w:hAnsi="宋体"/>
          <w:sz w:val="27"/>
          <w:szCs w:val="27"/>
          <w:shd w:val="clear" w:color="auto" w:fill="FFFFFF"/>
        </w:rPr>
        <w:t>（一）预算绩效管理工作开展情况</w:t>
      </w:r>
    </w:p>
    <w:p>
      <w:pPr>
        <w:pStyle w:val="23"/>
        <w:spacing w:before="0" w:beforeAutospacing="0"/>
        <w:ind w:firstLine="600" w:firstLineChars="200"/>
        <w:rPr>
          <w:rFonts w:hint="eastAsia"/>
          <w:sz w:val="30"/>
          <w:szCs w:val="30"/>
          <w:shd w:val="clear" w:color="auto" w:fill="FFFFFF"/>
        </w:rPr>
      </w:pPr>
      <w:r>
        <w:rPr>
          <w:rFonts w:hint="eastAsia"/>
          <w:sz w:val="30"/>
          <w:szCs w:val="30"/>
          <w:shd w:val="clear" w:color="auto" w:fill="FFFFFF"/>
        </w:rPr>
        <w:t>根据预算绩效管理要求，本部门对部门整体4个项目开展了绩效自评，其中，以填报目标自评表形式开展自评4项，涉及资金2647.11万元；从评价情况来看，开展殡仪馆新建工程项目、城乡困难群众基本丧葬服务费、殡仪馆服务楼拆除重建工程等，促进殡葬社会和谐稳定。</w:t>
      </w:r>
    </w:p>
    <w:p>
      <w:pPr>
        <w:pStyle w:val="23"/>
        <w:spacing w:before="0" w:beforeAutospacing="0"/>
        <w:rPr>
          <w:rFonts w:hint="eastAsia"/>
          <w:sz w:val="30"/>
          <w:szCs w:val="30"/>
        </w:rPr>
      </w:pPr>
      <w:r>
        <w:rPr>
          <w:rStyle w:val="32"/>
          <w:rFonts w:hint="eastAsia" w:ascii="宋体" w:hAnsi="宋体"/>
          <w:sz w:val="30"/>
          <w:szCs w:val="30"/>
          <w:shd w:val="clear" w:color="auto" w:fill="FFFFFF"/>
        </w:rPr>
        <w:t>（二）绩效自评结果</w:t>
      </w:r>
    </w:p>
    <w:p>
      <w:pPr>
        <w:pStyle w:val="23"/>
        <w:spacing w:before="0" w:beforeAutospacing="0"/>
        <w:rPr>
          <w:rFonts w:hint="eastAsia"/>
          <w:sz w:val="30"/>
          <w:szCs w:val="30"/>
        </w:rPr>
      </w:pPr>
      <w:r>
        <w:rPr>
          <w:rStyle w:val="32"/>
          <w:rFonts w:hint="eastAsia" w:ascii="宋体" w:hAnsi="宋体"/>
          <w:sz w:val="30"/>
          <w:szCs w:val="30"/>
          <w:shd w:val="clear" w:color="auto" w:fill="FFFFFF"/>
        </w:rPr>
        <w:t>1.绩效自评表</w:t>
      </w:r>
    </w:p>
    <w:tbl>
      <w:tblPr>
        <w:tblStyle w:val="14"/>
        <w:tblW w:w="9639" w:type="dxa"/>
        <w:jc w:val="center"/>
        <w:tblLayout w:type="fixed"/>
        <w:tblCellMar>
          <w:top w:w="0" w:type="dxa"/>
          <w:left w:w="108" w:type="dxa"/>
          <w:bottom w:w="0" w:type="dxa"/>
          <w:right w:w="108" w:type="dxa"/>
        </w:tblCellMar>
      </w:tblPr>
      <w:tblGrid>
        <w:gridCol w:w="690"/>
        <w:gridCol w:w="19"/>
        <w:gridCol w:w="567"/>
        <w:gridCol w:w="1134"/>
        <w:gridCol w:w="1134"/>
        <w:gridCol w:w="284"/>
        <w:gridCol w:w="1275"/>
        <w:gridCol w:w="733"/>
        <w:gridCol w:w="1539"/>
        <w:gridCol w:w="236"/>
        <w:gridCol w:w="842"/>
        <w:gridCol w:w="236"/>
        <w:gridCol w:w="950"/>
      </w:tblGrid>
      <w:tr>
        <w:tblPrEx>
          <w:tblCellMar>
            <w:top w:w="0" w:type="dxa"/>
            <w:left w:w="108" w:type="dxa"/>
            <w:bottom w:w="0" w:type="dxa"/>
            <w:right w:w="108" w:type="dxa"/>
          </w:tblCellMar>
        </w:tblPrEx>
        <w:trPr>
          <w:trHeight w:val="601" w:hRule="atLeast"/>
          <w:jc w:val="center"/>
        </w:trPr>
        <w:tc>
          <w:tcPr>
            <w:tcW w:w="9639" w:type="dxa"/>
            <w:gridSpan w:val="13"/>
            <w:tcBorders>
              <w:top w:val="nil"/>
              <w:left w:val="nil"/>
              <w:bottom w:val="nil"/>
              <w:right w:val="nil"/>
            </w:tcBorders>
            <w:vAlign w:val="center"/>
          </w:tcPr>
          <w:p>
            <w:pPr>
              <w:spacing w:line="594" w:lineRule="exact"/>
              <w:jc w:val="center"/>
              <w:rPr>
                <w:color w:val="000000"/>
                <w:sz w:val="30"/>
                <w:szCs w:val="30"/>
              </w:rPr>
            </w:pPr>
          </w:p>
          <w:p>
            <w:pPr>
              <w:spacing w:line="594" w:lineRule="exact"/>
              <w:jc w:val="center"/>
              <w:rPr>
                <w:color w:val="000000"/>
                <w:sz w:val="30"/>
                <w:szCs w:val="30"/>
              </w:rPr>
            </w:pPr>
            <w:r>
              <w:rPr>
                <w:rFonts w:hint="eastAsia"/>
                <w:color w:val="000000"/>
                <w:sz w:val="30"/>
                <w:szCs w:val="30"/>
              </w:rPr>
              <w:t>2020年度项目绩效自评表</w:t>
            </w:r>
          </w:p>
        </w:tc>
      </w:tr>
      <w:tr>
        <w:tblPrEx>
          <w:tblCellMar>
            <w:top w:w="0" w:type="dxa"/>
            <w:left w:w="108" w:type="dxa"/>
            <w:bottom w:w="0" w:type="dxa"/>
            <w:right w:w="108" w:type="dxa"/>
          </w:tblCellMar>
        </w:tblPrEx>
        <w:trPr>
          <w:trHeight w:val="688"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项目名称</w:t>
            </w:r>
          </w:p>
        </w:tc>
        <w:tc>
          <w:tcPr>
            <w:tcW w:w="4413" w:type="dxa"/>
            <w:gridSpan w:val="6"/>
            <w:tcBorders>
              <w:top w:val="single" w:color="auto" w:sz="4" w:space="0"/>
              <w:left w:val="nil"/>
              <w:bottom w:val="single" w:color="auto" w:sz="4" w:space="0"/>
              <w:right w:val="single" w:color="000000" w:sz="4" w:space="0"/>
            </w:tcBorders>
            <w:vAlign w:val="center"/>
          </w:tcPr>
          <w:p>
            <w:pPr>
              <w:jc w:val="center"/>
              <w:rPr>
                <w:color w:val="000000"/>
                <w:sz w:val="30"/>
                <w:szCs w:val="30"/>
              </w:rPr>
            </w:pPr>
            <w:r>
              <w:rPr>
                <w:rFonts w:hint="eastAsia"/>
                <w:color w:val="000000"/>
                <w:sz w:val="30"/>
                <w:szCs w:val="30"/>
              </w:rPr>
              <w:t>殡仪馆新建工程</w:t>
            </w:r>
          </w:p>
        </w:tc>
        <w:tc>
          <w:tcPr>
            <w:tcW w:w="733" w:type="dxa"/>
            <w:tcBorders>
              <w:top w:val="single" w:color="auto" w:sz="4" w:space="0"/>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自评总分</w:t>
            </w:r>
          </w:p>
        </w:tc>
        <w:tc>
          <w:tcPr>
            <w:tcW w:w="3803" w:type="dxa"/>
            <w:gridSpan w:val="5"/>
            <w:tcBorders>
              <w:top w:val="single" w:color="auto" w:sz="4" w:space="0"/>
              <w:left w:val="nil"/>
              <w:bottom w:val="single" w:color="auto" w:sz="4" w:space="0"/>
              <w:right w:val="single" w:color="000000" w:sz="4" w:space="0"/>
            </w:tcBorders>
            <w:vAlign w:val="center"/>
          </w:tcPr>
          <w:p>
            <w:pPr>
              <w:jc w:val="center"/>
              <w:rPr>
                <w:color w:val="000000"/>
                <w:sz w:val="30"/>
                <w:szCs w:val="30"/>
              </w:rPr>
            </w:pPr>
            <w:r>
              <w:rPr>
                <w:rFonts w:hint="eastAsia"/>
                <w:color w:val="000000"/>
                <w:sz w:val="30"/>
                <w:szCs w:val="30"/>
              </w:rPr>
              <w:t>91</w:t>
            </w:r>
          </w:p>
        </w:tc>
      </w:tr>
      <w:tr>
        <w:tblPrEx>
          <w:tblCellMar>
            <w:top w:w="0" w:type="dxa"/>
            <w:left w:w="108" w:type="dxa"/>
            <w:bottom w:w="0" w:type="dxa"/>
            <w:right w:w="108" w:type="dxa"/>
          </w:tblCellMar>
        </w:tblPrEx>
        <w:trPr>
          <w:trHeight w:val="601" w:hRule="atLeast"/>
          <w:jc w:val="center"/>
        </w:trPr>
        <w:tc>
          <w:tcPr>
            <w:tcW w:w="709" w:type="dxa"/>
            <w:gridSpan w:val="2"/>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主管部门</w:t>
            </w:r>
          </w:p>
        </w:tc>
        <w:tc>
          <w:tcPr>
            <w:tcW w:w="4394" w:type="dxa"/>
            <w:gridSpan w:val="5"/>
            <w:tcBorders>
              <w:top w:val="single" w:color="auto" w:sz="4" w:space="0"/>
              <w:left w:val="nil"/>
              <w:bottom w:val="single" w:color="auto" w:sz="4" w:space="0"/>
              <w:right w:val="single" w:color="000000" w:sz="4" w:space="0"/>
            </w:tcBorders>
            <w:vAlign w:val="center"/>
          </w:tcPr>
          <w:p>
            <w:pPr>
              <w:jc w:val="center"/>
              <w:rPr>
                <w:color w:val="000000"/>
                <w:sz w:val="30"/>
                <w:szCs w:val="30"/>
              </w:rPr>
            </w:pPr>
            <w:r>
              <w:rPr>
                <w:rFonts w:hint="eastAsia"/>
                <w:color w:val="000000"/>
                <w:sz w:val="30"/>
                <w:szCs w:val="30"/>
              </w:rPr>
              <w:t>丰都县民政局</w:t>
            </w:r>
          </w:p>
        </w:tc>
        <w:tc>
          <w:tcPr>
            <w:tcW w:w="733" w:type="dxa"/>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实施单位</w:t>
            </w:r>
          </w:p>
        </w:tc>
        <w:tc>
          <w:tcPr>
            <w:tcW w:w="3803" w:type="dxa"/>
            <w:gridSpan w:val="5"/>
            <w:tcBorders>
              <w:top w:val="nil"/>
              <w:left w:val="nil"/>
              <w:bottom w:val="single" w:color="auto" w:sz="4" w:space="0"/>
              <w:right w:val="single" w:color="000000" w:sz="4" w:space="0"/>
            </w:tcBorders>
            <w:vAlign w:val="center"/>
          </w:tcPr>
          <w:p>
            <w:pPr>
              <w:jc w:val="center"/>
              <w:rPr>
                <w:color w:val="000000"/>
                <w:sz w:val="30"/>
                <w:szCs w:val="30"/>
              </w:rPr>
            </w:pPr>
            <w:r>
              <w:rPr>
                <w:rFonts w:hint="eastAsia"/>
                <w:color w:val="000000"/>
                <w:sz w:val="30"/>
                <w:szCs w:val="30"/>
              </w:rPr>
              <w:t>丰都县殡仪馆</w:t>
            </w:r>
          </w:p>
        </w:tc>
      </w:tr>
      <w:tr>
        <w:tblPrEx>
          <w:tblCellMar>
            <w:top w:w="0" w:type="dxa"/>
            <w:left w:w="108" w:type="dxa"/>
            <w:bottom w:w="0" w:type="dxa"/>
            <w:right w:w="108" w:type="dxa"/>
          </w:tblCellMar>
        </w:tblPrEx>
        <w:trPr>
          <w:trHeight w:val="601" w:hRule="atLeast"/>
          <w:jc w:val="center"/>
        </w:trPr>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项目资金（万元）</w:t>
            </w:r>
          </w:p>
        </w:tc>
        <w:tc>
          <w:tcPr>
            <w:tcW w:w="1701" w:type="dxa"/>
            <w:gridSpan w:val="2"/>
            <w:tcBorders>
              <w:top w:val="nil"/>
              <w:left w:val="nil"/>
              <w:bottom w:val="single" w:color="auto" w:sz="4" w:space="0"/>
              <w:right w:val="nil"/>
            </w:tcBorders>
            <w:vAlign w:val="center"/>
          </w:tcPr>
          <w:p>
            <w:pPr>
              <w:jc w:val="center"/>
              <w:rPr>
                <w:color w:val="000000"/>
                <w:sz w:val="30"/>
                <w:szCs w:val="30"/>
              </w:rPr>
            </w:pPr>
          </w:p>
        </w:tc>
        <w:tc>
          <w:tcPr>
            <w:tcW w:w="1134" w:type="dxa"/>
            <w:tcBorders>
              <w:top w:val="single" w:color="auto" w:sz="4" w:space="0"/>
              <w:left w:val="single" w:color="auto" w:sz="4" w:space="0"/>
              <w:bottom w:val="single" w:color="auto" w:sz="4" w:space="0"/>
              <w:right w:val="single" w:color="000000" w:sz="4" w:space="0"/>
            </w:tcBorders>
            <w:vAlign w:val="center"/>
          </w:tcPr>
          <w:p>
            <w:pPr>
              <w:jc w:val="center"/>
              <w:rPr>
                <w:color w:val="000000"/>
                <w:sz w:val="30"/>
                <w:szCs w:val="30"/>
              </w:rPr>
            </w:pPr>
            <w:r>
              <w:rPr>
                <w:rFonts w:hint="eastAsia"/>
                <w:color w:val="000000"/>
                <w:sz w:val="30"/>
                <w:szCs w:val="30"/>
              </w:rPr>
              <w:t>年初预算数</w:t>
            </w:r>
          </w:p>
        </w:tc>
        <w:tc>
          <w:tcPr>
            <w:tcW w:w="1559" w:type="dxa"/>
            <w:gridSpan w:val="2"/>
            <w:tcBorders>
              <w:top w:val="single" w:color="auto" w:sz="4" w:space="0"/>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全年预算数</w:t>
            </w:r>
          </w:p>
        </w:tc>
        <w:tc>
          <w:tcPr>
            <w:tcW w:w="733" w:type="dxa"/>
            <w:tcBorders>
              <w:top w:val="single" w:color="auto" w:sz="4" w:space="0"/>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全年执行数</w:t>
            </w:r>
          </w:p>
        </w:tc>
        <w:tc>
          <w:tcPr>
            <w:tcW w:w="1539" w:type="dxa"/>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分值</w:t>
            </w:r>
          </w:p>
        </w:tc>
        <w:tc>
          <w:tcPr>
            <w:tcW w:w="1078" w:type="dxa"/>
            <w:gridSpan w:val="2"/>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执行率</w:t>
            </w:r>
            <w:r>
              <w:rPr>
                <w:rFonts w:hint="eastAsia"/>
                <w:color w:val="000000"/>
                <w:sz w:val="30"/>
                <w:szCs w:val="30"/>
              </w:rPr>
              <w:br w:type="textWrapping"/>
            </w:r>
            <w:r>
              <w:rPr>
                <w:rFonts w:hint="eastAsia"/>
                <w:color w:val="000000"/>
                <w:sz w:val="30"/>
                <w:szCs w:val="30"/>
              </w:rPr>
              <w:t>（%）</w:t>
            </w:r>
          </w:p>
        </w:tc>
        <w:tc>
          <w:tcPr>
            <w:tcW w:w="1186" w:type="dxa"/>
            <w:gridSpan w:val="2"/>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执行率得分</w:t>
            </w:r>
          </w:p>
        </w:tc>
      </w:tr>
      <w:tr>
        <w:tblPrEx>
          <w:tblCellMar>
            <w:top w:w="0" w:type="dxa"/>
            <w:left w:w="108" w:type="dxa"/>
            <w:bottom w:w="0" w:type="dxa"/>
            <w:right w:w="108" w:type="dxa"/>
          </w:tblCellMar>
        </w:tblPrEx>
        <w:trPr>
          <w:trHeight w:val="601"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1701" w:type="dxa"/>
            <w:gridSpan w:val="2"/>
            <w:tcBorders>
              <w:top w:val="nil"/>
              <w:left w:val="nil"/>
              <w:bottom w:val="single" w:color="auto" w:sz="4" w:space="0"/>
              <w:right w:val="nil"/>
            </w:tcBorders>
            <w:vAlign w:val="center"/>
          </w:tcPr>
          <w:p>
            <w:pPr>
              <w:spacing w:line="300" w:lineRule="exact"/>
              <w:jc w:val="center"/>
              <w:rPr>
                <w:color w:val="000000"/>
                <w:sz w:val="30"/>
                <w:szCs w:val="30"/>
              </w:rPr>
            </w:pPr>
            <w:r>
              <w:rPr>
                <w:rFonts w:hint="eastAsia"/>
                <w:color w:val="000000"/>
                <w:sz w:val="30"/>
                <w:szCs w:val="30"/>
              </w:rPr>
              <w:t>年度总金额</w:t>
            </w:r>
          </w:p>
        </w:tc>
        <w:tc>
          <w:tcPr>
            <w:tcW w:w="1134" w:type="dxa"/>
            <w:tcBorders>
              <w:top w:val="single" w:color="auto" w:sz="4" w:space="0"/>
              <w:left w:val="single" w:color="auto" w:sz="4" w:space="0"/>
              <w:bottom w:val="single" w:color="auto" w:sz="4" w:space="0"/>
              <w:right w:val="single" w:color="000000" w:sz="4" w:space="0"/>
            </w:tcBorders>
            <w:vAlign w:val="center"/>
          </w:tcPr>
          <w:p>
            <w:pPr>
              <w:spacing w:line="300" w:lineRule="exact"/>
              <w:jc w:val="center"/>
              <w:rPr>
                <w:color w:val="000000"/>
                <w:sz w:val="30"/>
                <w:szCs w:val="30"/>
              </w:rPr>
            </w:pPr>
          </w:p>
        </w:tc>
        <w:tc>
          <w:tcPr>
            <w:tcW w:w="1559" w:type="dxa"/>
            <w:gridSpan w:val="2"/>
            <w:tcBorders>
              <w:top w:val="single" w:color="auto" w:sz="4" w:space="0"/>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2555.31</w:t>
            </w:r>
          </w:p>
        </w:tc>
        <w:tc>
          <w:tcPr>
            <w:tcW w:w="733" w:type="dxa"/>
            <w:tcBorders>
              <w:top w:val="single" w:color="auto" w:sz="4" w:space="0"/>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68.89</w:t>
            </w:r>
          </w:p>
        </w:tc>
        <w:tc>
          <w:tcPr>
            <w:tcW w:w="1539" w:type="dxa"/>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68.89</w:t>
            </w:r>
          </w:p>
        </w:tc>
        <w:tc>
          <w:tcPr>
            <w:tcW w:w="1078" w:type="dxa"/>
            <w:gridSpan w:val="2"/>
            <w:tcBorders>
              <w:top w:val="nil"/>
              <w:left w:val="nil"/>
              <w:bottom w:val="single" w:color="auto" w:sz="4" w:space="0"/>
              <w:right w:val="single" w:color="auto" w:sz="4" w:space="0"/>
            </w:tcBorders>
            <w:vAlign w:val="center"/>
          </w:tcPr>
          <w:p>
            <w:pPr>
              <w:jc w:val="center"/>
              <w:rPr>
                <w:sz w:val="30"/>
                <w:szCs w:val="30"/>
              </w:rPr>
            </w:pPr>
            <w:r>
              <w:rPr>
                <w:rFonts w:hint="eastAsia"/>
                <w:sz w:val="30"/>
                <w:szCs w:val="30"/>
              </w:rPr>
              <w:t>68.89%</w:t>
            </w:r>
          </w:p>
        </w:tc>
        <w:tc>
          <w:tcPr>
            <w:tcW w:w="1186" w:type="dxa"/>
            <w:gridSpan w:val="2"/>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68.89</w:t>
            </w:r>
          </w:p>
        </w:tc>
      </w:tr>
      <w:tr>
        <w:tblPrEx>
          <w:tblCellMar>
            <w:top w:w="0" w:type="dxa"/>
            <w:left w:w="108" w:type="dxa"/>
            <w:bottom w:w="0" w:type="dxa"/>
            <w:right w:w="108" w:type="dxa"/>
          </w:tblCellMar>
        </w:tblPrEx>
        <w:trPr>
          <w:trHeight w:val="601"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1701" w:type="dxa"/>
            <w:gridSpan w:val="2"/>
            <w:tcBorders>
              <w:top w:val="nil"/>
              <w:left w:val="nil"/>
              <w:bottom w:val="single" w:color="auto" w:sz="4" w:space="0"/>
              <w:right w:val="nil"/>
            </w:tcBorders>
            <w:vAlign w:val="center"/>
          </w:tcPr>
          <w:p>
            <w:pPr>
              <w:spacing w:line="300" w:lineRule="exact"/>
              <w:jc w:val="center"/>
              <w:rPr>
                <w:color w:val="000000"/>
                <w:sz w:val="30"/>
                <w:szCs w:val="30"/>
              </w:rPr>
            </w:pPr>
            <w:r>
              <w:rPr>
                <w:rFonts w:hint="eastAsia"/>
                <w:color w:val="000000"/>
                <w:sz w:val="30"/>
                <w:szCs w:val="30"/>
              </w:rPr>
              <w:t>其中：财政拨款</w:t>
            </w:r>
          </w:p>
        </w:tc>
        <w:tc>
          <w:tcPr>
            <w:tcW w:w="1134" w:type="dxa"/>
            <w:tcBorders>
              <w:top w:val="single" w:color="auto" w:sz="4" w:space="0"/>
              <w:left w:val="single" w:color="auto" w:sz="4" w:space="0"/>
              <w:bottom w:val="single" w:color="auto" w:sz="4" w:space="0"/>
              <w:right w:val="single" w:color="000000" w:sz="4" w:space="0"/>
            </w:tcBorders>
            <w:vAlign w:val="center"/>
          </w:tcPr>
          <w:p>
            <w:pPr>
              <w:spacing w:line="300" w:lineRule="exact"/>
              <w:jc w:val="center"/>
              <w:rPr>
                <w:color w:val="000000"/>
                <w:sz w:val="30"/>
                <w:szCs w:val="30"/>
              </w:rPr>
            </w:pPr>
          </w:p>
        </w:tc>
        <w:tc>
          <w:tcPr>
            <w:tcW w:w="1559" w:type="dxa"/>
            <w:gridSpan w:val="2"/>
            <w:tcBorders>
              <w:top w:val="single" w:color="auto" w:sz="4" w:space="0"/>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2555.31</w:t>
            </w:r>
          </w:p>
        </w:tc>
        <w:tc>
          <w:tcPr>
            <w:tcW w:w="733" w:type="dxa"/>
            <w:tcBorders>
              <w:top w:val="single" w:color="auto" w:sz="4" w:space="0"/>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68.89</w:t>
            </w:r>
          </w:p>
        </w:tc>
        <w:tc>
          <w:tcPr>
            <w:tcW w:w="1539" w:type="dxa"/>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68.89</w:t>
            </w:r>
          </w:p>
        </w:tc>
        <w:tc>
          <w:tcPr>
            <w:tcW w:w="1078" w:type="dxa"/>
            <w:gridSpan w:val="2"/>
            <w:tcBorders>
              <w:top w:val="nil"/>
              <w:left w:val="nil"/>
              <w:bottom w:val="single" w:color="auto" w:sz="4" w:space="0"/>
              <w:right w:val="single" w:color="auto" w:sz="4" w:space="0"/>
            </w:tcBorders>
            <w:vAlign w:val="center"/>
          </w:tcPr>
          <w:p>
            <w:pPr>
              <w:jc w:val="center"/>
              <w:rPr>
                <w:sz w:val="30"/>
                <w:szCs w:val="30"/>
              </w:rPr>
            </w:pPr>
            <w:r>
              <w:rPr>
                <w:rFonts w:hint="eastAsia"/>
                <w:sz w:val="30"/>
                <w:szCs w:val="30"/>
              </w:rPr>
              <w:t>68.89%</w:t>
            </w:r>
          </w:p>
        </w:tc>
        <w:tc>
          <w:tcPr>
            <w:tcW w:w="1186" w:type="dxa"/>
            <w:gridSpan w:val="2"/>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68.89</w:t>
            </w:r>
          </w:p>
        </w:tc>
      </w:tr>
      <w:tr>
        <w:tblPrEx>
          <w:tblCellMar>
            <w:top w:w="0" w:type="dxa"/>
            <w:left w:w="108" w:type="dxa"/>
            <w:bottom w:w="0" w:type="dxa"/>
            <w:right w:w="108" w:type="dxa"/>
          </w:tblCellMar>
        </w:tblPrEx>
        <w:trPr>
          <w:trHeight w:val="601"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1701" w:type="dxa"/>
            <w:gridSpan w:val="2"/>
            <w:tcBorders>
              <w:top w:val="nil"/>
              <w:left w:val="nil"/>
              <w:bottom w:val="single" w:color="auto" w:sz="4" w:space="0"/>
              <w:right w:val="nil"/>
            </w:tcBorders>
            <w:vAlign w:val="center"/>
          </w:tcPr>
          <w:p>
            <w:pPr>
              <w:wordWrap w:val="0"/>
              <w:spacing w:line="300" w:lineRule="exact"/>
              <w:jc w:val="center"/>
              <w:rPr>
                <w:color w:val="000000"/>
                <w:sz w:val="30"/>
                <w:szCs w:val="30"/>
              </w:rPr>
            </w:pPr>
            <w:r>
              <w:rPr>
                <w:rFonts w:hint="eastAsia"/>
                <w:color w:val="000000"/>
                <w:sz w:val="30"/>
                <w:szCs w:val="30"/>
              </w:rPr>
              <w:t>上年结转结余</w:t>
            </w:r>
          </w:p>
        </w:tc>
        <w:tc>
          <w:tcPr>
            <w:tcW w:w="1134" w:type="dxa"/>
            <w:tcBorders>
              <w:top w:val="single" w:color="auto" w:sz="4" w:space="0"/>
              <w:left w:val="single" w:color="auto" w:sz="4" w:space="0"/>
              <w:bottom w:val="single" w:color="auto" w:sz="4" w:space="0"/>
              <w:right w:val="single" w:color="000000" w:sz="4" w:space="0"/>
            </w:tcBorders>
            <w:vAlign w:val="center"/>
          </w:tcPr>
          <w:p>
            <w:pPr>
              <w:spacing w:line="300" w:lineRule="exact"/>
              <w:jc w:val="center"/>
              <w:rPr>
                <w:color w:val="000000"/>
                <w:sz w:val="30"/>
                <w:szCs w:val="30"/>
              </w:rPr>
            </w:pPr>
          </w:p>
        </w:tc>
        <w:tc>
          <w:tcPr>
            <w:tcW w:w="1559" w:type="dxa"/>
            <w:gridSpan w:val="2"/>
            <w:tcBorders>
              <w:top w:val="single" w:color="auto" w:sz="4" w:space="0"/>
              <w:left w:val="nil"/>
              <w:bottom w:val="single" w:color="auto" w:sz="4" w:space="0"/>
              <w:right w:val="single" w:color="auto" w:sz="4" w:space="0"/>
            </w:tcBorders>
            <w:vAlign w:val="center"/>
          </w:tcPr>
          <w:p>
            <w:pPr>
              <w:jc w:val="center"/>
              <w:rPr>
                <w:color w:val="000000"/>
                <w:sz w:val="30"/>
                <w:szCs w:val="30"/>
              </w:rPr>
            </w:pPr>
          </w:p>
        </w:tc>
        <w:tc>
          <w:tcPr>
            <w:tcW w:w="733" w:type="dxa"/>
            <w:tcBorders>
              <w:top w:val="single" w:color="auto" w:sz="4" w:space="0"/>
              <w:left w:val="nil"/>
              <w:bottom w:val="single" w:color="auto" w:sz="4" w:space="0"/>
              <w:right w:val="single" w:color="auto" w:sz="4" w:space="0"/>
            </w:tcBorders>
            <w:vAlign w:val="center"/>
          </w:tcPr>
          <w:p>
            <w:pPr>
              <w:jc w:val="center"/>
              <w:rPr>
                <w:color w:val="000000"/>
                <w:sz w:val="30"/>
                <w:szCs w:val="30"/>
              </w:rPr>
            </w:pPr>
          </w:p>
        </w:tc>
        <w:tc>
          <w:tcPr>
            <w:tcW w:w="1539" w:type="dxa"/>
            <w:tcBorders>
              <w:top w:val="nil"/>
              <w:left w:val="nil"/>
              <w:bottom w:val="single" w:color="auto" w:sz="4" w:space="0"/>
              <w:right w:val="single" w:color="auto" w:sz="4" w:space="0"/>
            </w:tcBorders>
            <w:vAlign w:val="center"/>
          </w:tcPr>
          <w:p>
            <w:pPr>
              <w:jc w:val="center"/>
              <w:rPr>
                <w:color w:val="000000"/>
                <w:sz w:val="30"/>
                <w:szCs w:val="30"/>
              </w:rPr>
            </w:pPr>
          </w:p>
        </w:tc>
        <w:tc>
          <w:tcPr>
            <w:tcW w:w="1078" w:type="dxa"/>
            <w:gridSpan w:val="2"/>
            <w:tcBorders>
              <w:top w:val="nil"/>
              <w:left w:val="nil"/>
              <w:bottom w:val="single" w:color="auto" w:sz="4" w:space="0"/>
              <w:right w:val="single" w:color="auto" w:sz="4" w:space="0"/>
            </w:tcBorders>
            <w:vAlign w:val="center"/>
          </w:tcPr>
          <w:p>
            <w:pPr>
              <w:jc w:val="center"/>
              <w:rPr>
                <w:color w:val="000000"/>
                <w:sz w:val="30"/>
                <w:szCs w:val="30"/>
              </w:rPr>
            </w:pPr>
          </w:p>
        </w:tc>
        <w:tc>
          <w:tcPr>
            <w:tcW w:w="1186" w:type="dxa"/>
            <w:gridSpan w:val="2"/>
            <w:tcBorders>
              <w:top w:val="nil"/>
              <w:left w:val="nil"/>
              <w:bottom w:val="single" w:color="auto" w:sz="4" w:space="0"/>
              <w:right w:val="single" w:color="auto" w:sz="4" w:space="0"/>
            </w:tcBorders>
            <w:vAlign w:val="center"/>
          </w:tcPr>
          <w:p>
            <w:pPr>
              <w:jc w:val="center"/>
              <w:rPr>
                <w:color w:val="000000"/>
                <w:sz w:val="30"/>
                <w:szCs w:val="30"/>
              </w:rPr>
            </w:pPr>
          </w:p>
        </w:tc>
      </w:tr>
      <w:tr>
        <w:tblPrEx>
          <w:tblCellMar>
            <w:top w:w="0" w:type="dxa"/>
            <w:left w:w="108" w:type="dxa"/>
            <w:bottom w:w="0" w:type="dxa"/>
            <w:right w:w="108" w:type="dxa"/>
          </w:tblCellMar>
        </w:tblPrEx>
        <w:trPr>
          <w:trHeight w:val="622"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1701" w:type="dxa"/>
            <w:gridSpan w:val="2"/>
            <w:tcBorders>
              <w:top w:val="nil"/>
              <w:left w:val="nil"/>
              <w:bottom w:val="single" w:color="auto" w:sz="4" w:space="0"/>
              <w:right w:val="nil"/>
            </w:tcBorders>
            <w:vAlign w:val="center"/>
          </w:tcPr>
          <w:p>
            <w:pPr>
              <w:wordWrap w:val="0"/>
              <w:spacing w:line="300" w:lineRule="exact"/>
              <w:jc w:val="center"/>
              <w:rPr>
                <w:color w:val="000000"/>
                <w:sz w:val="30"/>
                <w:szCs w:val="30"/>
              </w:rPr>
            </w:pPr>
            <w:r>
              <w:rPr>
                <w:rFonts w:hint="eastAsia"/>
                <w:color w:val="000000"/>
                <w:sz w:val="30"/>
                <w:szCs w:val="30"/>
              </w:rPr>
              <w:t>其他资金</w:t>
            </w:r>
          </w:p>
        </w:tc>
        <w:tc>
          <w:tcPr>
            <w:tcW w:w="1134" w:type="dxa"/>
            <w:tcBorders>
              <w:top w:val="single" w:color="auto" w:sz="4" w:space="0"/>
              <w:left w:val="single" w:color="auto" w:sz="4" w:space="0"/>
              <w:bottom w:val="single" w:color="auto" w:sz="4" w:space="0"/>
              <w:right w:val="single" w:color="000000" w:sz="4" w:space="0"/>
            </w:tcBorders>
            <w:vAlign w:val="center"/>
          </w:tcPr>
          <w:p>
            <w:pPr>
              <w:spacing w:line="300" w:lineRule="exact"/>
              <w:jc w:val="center"/>
              <w:rPr>
                <w:color w:val="000000"/>
                <w:sz w:val="30"/>
                <w:szCs w:val="30"/>
              </w:rPr>
            </w:pPr>
          </w:p>
        </w:tc>
        <w:tc>
          <w:tcPr>
            <w:tcW w:w="1559" w:type="dxa"/>
            <w:gridSpan w:val="2"/>
            <w:tcBorders>
              <w:top w:val="single" w:color="auto" w:sz="4" w:space="0"/>
              <w:left w:val="nil"/>
              <w:bottom w:val="single" w:color="auto" w:sz="4" w:space="0"/>
              <w:right w:val="single" w:color="auto" w:sz="4" w:space="0"/>
            </w:tcBorders>
            <w:vAlign w:val="center"/>
          </w:tcPr>
          <w:p>
            <w:pPr>
              <w:jc w:val="center"/>
              <w:rPr>
                <w:color w:val="000000"/>
                <w:sz w:val="30"/>
                <w:szCs w:val="30"/>
              </w:rPr>
            </w:pPr>
          </w:p>
        </w:tc>
        <w:tc>
          <w:tcPr>
            <w:tcW w:w="733" w:type="dxa"/>
            <w:tcBorders>
              <w:top w:val="single" w:color="auto" w:sz="4" w:space="0"/>
              <w:left w:val="nil"/>
              <w:bottom w:val="single" w:color="auto" w:sz="4" w:space="0"/>
              <w:right w:val="single" w:color="auto" w:sz="4" w:space="0"/>
            </w:tcBorders>
            <w:vAlign w:val="center"/>
          </w:tcPr>
          <w:p>
            <w:pPr>
              <w:jc w:val="center"/>
              <w:rPr>
                <w:color w:val="000000"/>
                <w:sz w:val="30"/>
                <w:szCs w:val="30"/>
              </w:rPr>
            </w:pPr>
          </w:p>
        </w:tc>
        <w:tc>
          <w:tcPr>
            <w:tcW w:w="1539" w:type="dxa"/>
            <w:tcBorders>
              <w:top w:val="nil"/>
              <w:left w:val="nil"/>
              <w:bottom w:val="single" w:color="auto" w:sz="4" w:space="0"/>
              <w:right w:val="single" w:color="auto" w:sz="4" w:space="0"/>
            </w:tcBorders>
            <w:vAlign w:val="center"/>
          </w:tcPr>
          <w:p>
            <w:pPr>
              <w:jc w:val="center"/>
              <w:rPr>
                <w:color w:val="000000"/>
                <w:sz w:val="30"/>
                <w:szCs w:val="30"/>
              </w:rPr>
            </w:pPr>
          </w:p>
        </w:tc>
        <w:tc>
          <w:tcPr>
            <w:tcW w:w="1078" w:type="dxa"/>
            <w:gridSpan w:val="2"/>
            <w:tcBorders>
              <w:top w:val="nil"/>
              <w:left w:val="nil"/>
              <w:bottom w:val="single" w:color="auto" w:sz="4" w:space="0"/>
              <w:right w:val="single" w:color="auto" w:sz="4" w:space="0"/>
            </w:tcBorders>
            <w:vAlign w:val="center"/>
          </w:tcPr>
          <w:p>
            <w:pPr>
              <w:jc w:val="center"/>
              <w:rPr>
                <w:color w:val="000000"/>
                <w:sz w:val="30"/>
                <w:szCs w:val="30"/>
              </w:rPr>
            </w:pPr>
          </w:p>
        </w:tc>
        <w:tc>
          <w:tcPr>
            <w:tcW w:w="1186" w:type="dxa"/>
            <w:gridSpan w:val="2"/>
            <w:tcBorders>
              <w:top w:val="nil"/>
              <w:left w:val="nil"/>
              <w:bottom w:val="single" w:color="auto" w:sz="4" w:space="0"/>
              <w:right w:val="single" w:color="auto" w:sz="4" w:space="0"/>
            </w:tcBorders>
            <w:vAlign w:val="center"/>
          </w:tcPr>
          <w:p>
            <w:pPr>
              <w:jc w:val="center"/>
              <w:rPr>
                <w:color w:val="000000"/>
                <w:sz w:val="30"/>
                <w:szCs w:val="30"/>
              </w:rPr>
            </w:pPr>
          </w:p>
        </w:tc>
      </w:tr>
      <w:tr>
        <w:tblPrEx>
          <w:tblCellMar>
            <w:top w:w="0" w:type="dxa"/>
            <w:left w:w="108" w:type="dxa"/>
            <w:bottom w:w="0" w:type="dxa"/>
            <w:right w:w="108" w:type="dxa"/>
          </w:tblCellMar>
        </w:tblPrEx>
        <w:trPr>
          <w:trHeight w:val="601" w:hRule="atLeast"/>
          <w:jc w:val="center"/>
        </w:trPr>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年度总体目标</w:t>
            </w:r>
          </w:p>
        </w:tc>
        <w:tc>
          <w:tcPr>
            <w:tcW w:w="4394" w:type="dxa"/>
            <w:gridSpan w:val="5"/>
            <w:tcBorders>
              <w:top w:val="single" w:color="auto" w:sz="4" w:space="0"/>
              <w:left w:val="nil"/>
              <w:bottom w:val="single" w:color="auto" w:sz="4" w:space="0"/>
              <w:right w:val="single" w:color="000000" w:sz="4" w:space="0"/>
            </w:tcBorders>
            <w:vAlign w:val="center"/>
          </w:tcPr>
          <w:p>
            <w:pPr>
              <w:jc w:val="center"/>
              <w:rPr>
                <w:color w:val="000000"/>
                <w:sz w:val="30"/>
                <w:szCs w:val="30"/>
              </w:rPr>
            </w:pPr>
            <w:r>
              <w:rPr>
                <w:rFonts w:hint="eastAsia"/>
                <w:color w:val="000000"/>
                <w:sz w:val="30"/>
                <w:szCs w:val="30"/>
              </w:rPr>
              <w:t>预期目标</w:t>
            </w:r>
          </w:p>
        </w:tc>
        <w:tc>
          <w:tcPr>
            <w:tcW w:w="4536" w:type="dxa"/>
            <w:gridSpan w:val="6"/>
            <w:tcBorders>
              <w:top w:val="single" w:color="auto" w:sz="4" w:space="0"/>
              <w:left w:val="nil"/>
              <w:bottom w:val="single" w:color="auto" w:sz="4" w:space="0"/>
              <w:right w:val="single" w:color="000000" w:sz="4" w:space="0"/>
            </w:tcBorders>
            <w:vAlign w:val="center"/>
          </w:tcPr>
          <w:p>
            <w:pPr>
              <w:jc w:val="center"/>
              <w:rPr>
                <w:color w:val="000000"/>
                <w:sz w:val="30"/>
                <w:szCs w:val="30"/>
              </w:rPr>
            </w:pPr>
            <w:r>
              <w:rPr>
                <w:rFonts w:hint="eastAsia"/>
                <w:color w:val="000000"/>
                <w:sz w:val="30"/>
                <w:szCs w:val="30"/>
              </w:rPr>
              <w:t>全年完成情况</w:t>
            </w:r>
          </w:p>
        </w:tc>
      </w:tr>
      <w:tr>
        <w:tblPrEx>
          <w:tblCellMar>
            <w:top w:w="0" w:type="dxa"/>
            <w:left w:w="108" w:type="dxa"/>
            <w:bottom w:w="0" w:type="dxa"/>
            <w:right w:w="108" w:type="dxa"/>
          </w:tblCellMar>
        </w:tblPrEx>
        <w:trPr>
          <w:trHeight w:val="193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4394" w:type="dxa"/>
            <w:gridSpan w:val="5"/>
            <w:tcBorders>
              <w:top w:val="single" w:color="auto" w:sz="4" w:space="0"/>
              <w:left w:val="nil"/>
              <w:bottom w:val="single" w:color="auto" w:sz="4" w:space="0"/>
              <w:right w:val="single" w:color="000000" w:sz="4" w:space="0"/>
            </w:tcBorders>
            <w:vAlign w:val="center"/>
          </w:tcPr>
          <w:p>
            <w:pPr>
              <w:jc w:val="center"/>
              <w:rPr>
                <w:color w:val="000000"/>
                <w:sz w:val="30"/>
                <w:szCs w:val="30"/>
              </w:rPr>
            </w:pPr>
            <w:r>
              <w:rPr>
                <w:rFonts w:hint="eastAsia"/>
                <w:color w:val="000000"/>
                <w:sz w:val="30"/>
                <w:szCs w:val="30"/>
              </w:rPr>
              <w:t xml:space="preserve"> 完成殡仪馆新建工程的治丧大厅及骨灰堂的主体建设</w:t>
            </w:r>
          </w:p>
        </w:tc>
        <w:tc>
          <w:tcPr>
            <w:tcW w:w="4536" w:type="dxa"/>
            <w:gridSpan w:val="6"/>
            <w:tcBorders>
              <w:top w:val="single" w:color="auto" w:sz="4" w:space="0"/>
              <w:left w:val="nil"/>
              <w:bottom w:val="single" w:color="auto" w:sz="4" w:space="0"/>
              <w:right w:val="single" w:color="000000" w:sz="4" w:space="0"/>
            </w:tcBorders>
            <w:vAlign w:val="center"/>
          </w:tcPr>
          <w:p>
            <w:pPr>
              <w:jc w:val="center"/>
              <w:rPr>
                <w:color w:val="000000"/>
                <w:sz w:val="30"/>
                <w:szCs w:val="30"/>
              </w:rPr>
            </w:pPr>
            <w:r>
              <w:rPr>
                <w:rFonts w:hint="eastAsia"/>
                <w:color w:val="000000"/>
                <w:sz w:val="30"/>
                <w:szCs w:val="30"/>
              </w:rPr>
              <w:t xml:space="preserve"> 完成殡仪馆新建工程的治丧大厅及骨灰堂的主体建设</w:t>
            </w:r>
          </w:p>
        </w:tc>
      </w:tr>
      <w:tr>
        <w:tblPrEx>
          <w:tblCellMar>
            <w:top w:w="0" w:type="dxa"/>
            <w:left w:w="108" w:type="dxa"/>
            <w:bottom w:w="0" w:type="dxa"/>
            <w:right w:w="108" w:type="dxa"/>
          </w:tblCellMar>
        </w:tblPrEx>
        <w:trPr>
          <w:trHeight w:val="601" w:hRule="atLeast"/>
          <w:jc w:val="center"/>
        </w:trPr>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绩效指标</w:t>
            </w:r>
          </w:p>
        </w:tc>
        <w:tc>
          <w:tcPr>
            <w:tcW w:w="567" w:type="dxa"/>
            <w:tcBorders>
              <w:top w:val="nil"/>
              <w:left w:val="nil"/>
              <w:bottom w:val="single" w:color="auto" w:sz="4" w:space="0"/>
              <w:right w:val="nil"/>
            </w:tcBorders>
            <w:vAlign w:val="center"/>
          </w:tcPr>
          <w:p>
            <w:pPr>
              <w:jc w:val="center"/>
              <w:rPr>
                <w:color w:val="000000"/>
                <w:sz w:val="30"/>
                <w:szCs w:val="30"/>
              </w:rPr>
            </w:pPr>
            <w:r>
              <w:rPr>
                <w:rFonts w:hint="eastAsia"/>
                <w:color w:val="000000"/>
                <w:sz w:val="30"/>
                <w:szCs w:val="30"/>
              </w:rPr>
              <w:t>一级指标</w:t>
            </w:r>
          </w:p>
        </w:tc>
        <w:tc>
          <w:tcPr>
            <w:tcW w:w="1134" w:type="dxa"/>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二级指标</w:t>
            </w:r>
          </w:p>
        </w:tc>
        <w:tc>
          <w:tcPr>
            <w:tcW w:w="1418" w:type="dxa"/>
            <w:gridSpan w:val="2"/>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三级指标</w:t>
            </w:r>
          </w:p>
        </w:tc>
        <w:tc>
          <w:tcPr>
            <w:tcW w:w="1275" w:type="dxa"/>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年度指标值</w:t>
            </w:r>
          </w:p>
        </w:tc>
        <w:tc>
          <w:tcPr>
            <w:tcW w:w="2508" w:type="dxa"/>
            <w:gridSpan w:val="3"/>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实际</w:t>
            </w:r>
            <w:r>
              <w:rPr>
                <w:rFonts w:hint="eastAsia"/>
                <w:color w:val="000000"/>
                <w:sz w:val="30"/>
                <w:szCs w:val="30"/>
              </w:rPr>
              <w:br w:type="textWrapping"/>
            </w:r>
            <w:r>
              <w:rPr>
                <w:rFonts w:hint="eastAsia"/>
                <w:color w:val="000000"/>
                <w:sz w:val="30"/>
                <w:szCs w:val="30"/>
              </w:rPr>
              <w:t>完成值</w:t>
            </w:r>
          </w:p>
        </w:tc>
        <w:tc>
          <w:tcPr>
            <w:tcW w:w="1078" w:type="dxa"/>
            <w:gridSpan w:val="2"/>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分值</w:t>
            </w:r>
          </w:p>
        </w:tc>
        <w:tc>
          <w:tcPr>
            <w:tcW w:w="950" w:type="dxa"/>
            <w:tcBorders>
              <w:top w:val="nil"/>
              <w:left w:val="nil"/>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得分</w:t>
            </w:r>
          </w:p>
        </w:tc>
      </w:tr>
      <w:tr>
        <w:tblPrEx>
          <w:tblCellMar>
            <w:top w:w="0" w:type="dxa"/>
            <w:left w:w="108" w:type="dxa"/>
            <w:bottom w:w="0" w:type="dxa"/>
            <w:right w:w="108" w:type="dxa"/>
          </w:tblCellMar>
        </w:tblPrEx>
        <w:trPr>
          <w:trHeight w:val="79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restart"/>
            <w:tcBorders>
              <w:top w:val="nil"/>
              <w:left w:val="nil"/>
              <w:bottom w:val="nil"/>
              <w:right w:val="nil"/>
            </w:tcBorders>
            <w:vAlign w:val="center"/>
          </w:tcPr>
          <w:p>
            <w:pPr>
              <w:jc w:val="center"/>
              <w:rPr>
                <w:color w:val="000000"/>
                <w:sz w:val="30"/>
                <w:szCs w:val="30"/>
              </w:rPr>
            </w:pPr>
            <w:r>
              <w:rPr>
                <w:rFonts w:hint="eastAsia"/>
                <w:color w:val="000000"/>
                <w:sz w:val="30"/>
                <w:szCs w:val="30"/>
              </w:rPr>
              <w:t>产出指标</w:t>
            </w: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数量目标</w:t>
            </w:r>
          </w:p>
        </w:tc>
        <w:tc>
          <w:tcPr>
            <w:tcW w:w="141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治丧大厅及骨灰堂初装修</w:t>
            </w: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完成</w:t>
            </w: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完成</w:t>
            </w: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20</w:t>
            </w:r>
          </w:p>
        </w:tc>
        <w:tc>
          <w:tcPr>
            <w:tcW w:w="950" w:type="dxa"/>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20</w:t>
            </w:r>
          </w:p>
        </w:tc>
      </w:tr>
      <w:tr>
        <w:tblPrEx>
          <w:tblCellMar>
            <w:top w:w="0" w:type="dxa"/>
            <w:left w:w="108" w:type="dxa"/>
            <w:bottom w:w="0" w:type="dxa"/>
            <w:right w:w="108" w:type="dxa"/>
          </w:tblCellMar>
        </w:tblPrEx>
        <w:trPr>
          <w:trHeight w:val="79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continue"/>
            <w:tcBorders>
              <w:top w:val="nil"/>
              <w:left w:val="nil"/>
              <w:bottom w:val="nil"/>
              <w:right w:val="nil"/>
            </w:tcBorders>
            <w:vAlign w:val="center"/>
          </w:tcPr>
          <w:p>
            <w:pPr>
              <w:rPr>
                <w:color w:val="000000"/>
                <w:sz w:val="30"/>
                <w:szCs w:val="30"/>
              </w:rPr>
            </w:pP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质量目标</w:t>
            </w:r>
          </w:p>
        </w:tc>
        <w:tc>
          <w:tcPr>
            <w:tcW w:w="1418" w:type="dxa"/>
            <w:gridSpan w:val="2"/>
            <w:tcBorders>
              <w:top w:val="nil"/>
              <w:left w:val="single" w:color="auto" w:sz="4" w:space="0"/>
              <w:bottom w:val="single" w:color="auto" w:sz="4" w:space="0"/>
              <w:right w:val="nil"/>
            </w:tcBorders>
            <w:vAlign w:val="center"/>
          </w:tcPr>
          <w:p>
            <w:pPr>
              <w:rPr>
                <w:color w:val="000000"/>
                <w:sz w:val="30"/>
                <w:szCs w:val="30"/>
              </w:rPr>
            </w:pPr>
            <w:r>
              <w:rPr>
                <w:rFonts w:hint="eastAsia"/>
                <w:color w:val="000000"/>
                <w:sz w:val="30"/>
                <w:szCs w:val="30"/>
              </w:rPr>
              <w:t>建设合同符合规定</w:t>
            </w: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合格</w:t>
            </w: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合格</w:t>
            </w: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10</w:t>
            </w:r>
          </w:p>
        </w:tc>
        <w:tc>
          <w:tcPr>
            <w:tcW w:w="950" w:type="dxa"/>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10</w:t>
            </w:r>
          </w:p>
        </w:tc>
      </w:tr>
      <w:tr>
        <w:tblPrEx>
          <w:tblCellMar>
            <w:top w:w="0" w:type="dxa"/>
            <w:left w:w="108" w:type="dxa"/>
            <w:bottom w:w="0" w:type="dxa"/>
            <w:right w:w="108" w:type="dxa"/>
          </w:tblCellMar>
        </w:tblPrEx>
        <w:trPr>
          <w:trHeight w:val="79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continue"/>
            <w:tcBorders>
              <w:top w:val="nil"/>
              <w:left w:val="nil"/>
              <w:bottom w:val="nil"/>
              <w:right w:val="nil"/>
            </w:tcBorders>
            <w:vAlign w:val="center"/>
          </w:tcPr>
          <w:p>
            <w:pPr>
              <w:rPr>
                <w:color w:val="000000"/>
                <w:sz w:val="30"/>
                <w:szCs w:val="30"/>
              </w:rPr>
            </w:pP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质量目标</w:t>
            </w:r>
          </w:p>
          <w:p>
            <w:pPr>
              <w:ind w:firstLine="244"/>
            </w:pPr>
          </w:p>
        </w:tc>
        <w:tc>
          <w:tcPr>
            <w:tcW w:w="1418" w:type="dxa"/>
            <w:gridSpan w:val="2"/>
            <w:tcBorders>
              <w:top w:val="nil"/>
              <w:left w:val="single" w:color="auto" w:sz="4" w:space="0"/>
              <w:bottom w:val="single" w:color="auto" w:sz="4" w:space="0"/>
              <w:right w:val="nil"/>
            </w:tcBorders>
            <w:vAlign w:val="center"/>
          </w:tcPr>
          <w:p>
            <w:pPr>
              <w:rPr>
                <w:color w:val="000000"/>
                <w:sz w:val="30"/>
                <w:szCs w:val="30"/>
              </w:rPr>
            </w:pPr>
            <w:r>
              <w:rPr>
                <w:rFonts w:hint="eastAsia"/>
                <w:color w:val="000000"/>
                <w:sz w:val="30"/>
                <w:szCs w:val="30"/>
              </w:rPr>
              <w:t>验收和质量检测符合规定</w:t>
            </w: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合格</w:t>
            </w: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合格</w:t>
            </w: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20</w:t>
            </w:r>
          </w:p>
        </w:tc>
        <w:tc>
          <w:tcPr>
            <w:tcW w:w="950" w:type="dxa"/>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20</w:t>
            </w:r>
          </w:p>
        </w:tc>
      </w:tr>
      <w:tr>
        <w:tblPrEx>
          <w:tblCellMar>
            <w:top w:w="0" w:type="dxa"/>
            <w:left w:w="108" w:type="dxa"/>
            <w:bottom w:w="0" w:type="dxa"/>
            <w:right w:w="108" w:type="dxa"/>
          </w:tblCellMar>
        </w:tblPrEx>
        <w:trPr>
          <w:trHeight w:val="79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continue"/>
            <w:tcBorders>
              <w:top w:val="nil"/>
              <w:left w:val="nil"/>
              <w:bottom w:val="nil"/>
              <w:right w:val="nil"/>
            </w:tcBorders>
            <w:vAlign w:val="center"/>
          </w:tcPr>
          <w:p>
            <w:pPr>
              <w:rPr>
                <w:color w:val="000000"/>
                <w:sz w:val="30"/>
                <w:szCs w:val="30"/>
              </w:rPr>
            </w:pP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质量目标</w:t>
            </w:r>
          </w:p>
          <w:p>
            <w:pPr>
              <w:jc w:val="center"/>
              <w:rPr>
                <w:color w:val="000000"/>
                <w:sz w:val="30"/>
                <w:szCs w:val="30"/>
              </w:rPr>
            </w:pPr>
          </w:p>
        </w:tc>
        <w:tc>
          <w:tcPr>
            <w:tcW w:w="141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抗震指标符合规定</w:t>
            </w: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安全等级2级，抗震烈度6度</w:t>
            </w: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安全等级2级，抗震烈度6度</w:t>
            </w: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20</w:t>
            </w:r>
          </w:p>
        </w:tc>
        <w:tc>
          <w:tcPr>
            <w:tcW w:w="950" w:type="dxa"/>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18</w:t>
            </w:r>
          </w:p>
        </w:tc>
      </w:tr>
      <w:tr>
        <w:tblPrEx>
          <w:tblCellMar>
            <w:top w:w="0" w:type="dxa"/>
            <w:left w:w="108" w:type="dxa"/>
            <w:bottom w:w="0" w:type="dxa"/>
            <w:right w:w="108" w:type="dxa"/>
          </w:tblCellMar>
        </w:tblPrEx>
        <w:trPr>
          <w:trHeight w:val="79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continue"/>
            <w:tcBorders>
              <w:top w:val="nil"/>
              <w:left w:val="nil"/>
              <w:bottom w:val="nil"/>
              <w:right w:val="nil"/>
            </w:tcBorders>
            <w:vAlign w:val="center"/>
          </w:tcPr>
          <w:p>
            <w:pPr>
              <w:rPr>
                <w:color w:val="000000"/>
                <w:sz w:val="30"/>
                <w:szCs w:val="30"/>
              </w:rPr>
            </w:pP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p>
        </w:tc>
        <w:tc>
          <w:tcPr>
            <w:tcW w:w="1418" w:type="dxa"/>
            <w:gridSpan w:val="2"/>
            <w:tcBorders>
              <w:top w:val="nil"/>
              <w:left w:val="single" w:color="auto" w:sz="4" w:space="0"/>
              <w:bottom w:val="single" w:color="auto" w:sz="4" w:space="0"/>
              <w:right w:val="nil"/>
            </w:tcBorders>
            <w:vAlign w:val="center"/>
          </w:tcPr>
          <w:p>
            <w:pPr>
              <w:jc w:val="center"/>
              <w:rPr>
                <w:color w:val="000000"/>
                <w:sz w:val="30"/>
                <w:szCs w:val="30"/>
              </w:rPr>
            </w:pP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p>
        </w:tc>
        <w:tc>
          <w:tcPr>
            <w:tcW w:w="950" w:type="dxa"/>
            <w:tcBorders>
              <w:top w:val="nil"/>
              <w:left w:val="single" w:color="auto" w:sz="4" w:space="0"/>
              <w:bottom w:val="single" w:color="auto" w:sz="4" w:space="0"/>
              <w:right w:val="single" w:color="auto" w:sz="4" w:space="0"/>
            </w:tcBorders>
            <w:vAlign w:val="center"/>
          </w:tcPr>
          <w:p>
            <w:pPr>
              <w:jc w:val="center"/>
              <w:rPr>
                <w:color w:val="000000"/>
                <w:sz w:val="30"/>
                <w:szCs w:val="30"/>
              </w:rPr>
            </w:pPr>
          </w:p>
        </w:tc>
      </w:tr>
      <w:tr>
        <w:tblPrEx>
          <w:tblCellMar>
            <w:top w:w="0" w:type="dxa"/>
            <w:left w:w="108" w:type="dxa"/>
            <w:bottom w:w="0" w:type="dxa"/>
            <w:right w:w="108" w:type="dxa"/>
          </w:tblCellMar>
        </w:tblPrEx>
        <w:trPr>
          <w:trHeight w:val="79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restart"/>
            <w:tcBorders>
              <w:top w:val="nil"/>
              <w:left w:val="nil"/>
              <w:bottom w:val="nil"/>
              <w:right w:val="nil"/>
            </w:tcBorders>
            <w:vAlign w:val="center"/>
          </w:tcPr>
          <w:p>
            <w:pPr>
              <w:jc w:val="center"/>
              <w:rPr>
                <w:color w:val="000000"/>
                <w:sz w:val="30"/>
                <w:szCs w:val="30"/>
              </w:rPr>
            </w:pPr>
            <w:r>
              <w:rPr>
                <w:rFonts w:hint="eastAsia"/>
                <w:color w:val="000000"/>
                <w:sz w:val="30"/>
                <w:szCs w:val="30"/>
              </w:rPr>
              <w:t>效益指标</w:t>
            </w: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社会效益目标</w:t>
            </w:r>
          </w:p>
        </w:tc>
        <w:tc>
          <w:tcPr>
            <w:tcW w:w="141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促进殡葬改革</w:t>
            </w: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群众满意</w:t>
            </w: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群众满意</w:t>
            </w: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10</w:t>
            </w:r>
          </w:p>
        </w:tc>
        <w:tc>
          <w:tcPr>
            <w:tcW w:w="950" w:type="dxa"/>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10</w:t>
            </w:r>
          </w:p>
        </w:tc>
      </w:tr>
      <w:tr>
        <w:tblPrEx>
          <w:tblCellMar>
            <w:top w:w="0" w:type="dxa"/>
            <w:left w:w="108" w:type="dxa"/>
            <w:bottom w:w="0" w:type="dxa"/>
            <w:right w:w="108" w:type="dxa"/>
          </w:tblCellMar>
        </w:tblPrEx>
        <w:trPr>
          <w:trHeight w:val="79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continue"/>
            <w:tcBorders>
              <w:top w:val="nil"/>
              <w:left w:val="nil"/>
              <w:bottom w:val="nil"/>
              <w:right w:val="nil"/>
            </w:tcBorders>
            <w:vAlign w:val="center"/>
          </w:tcPr>
          <w:p>
            <w:pPr>
              <w:rPr>
                <w:color w:val="000000"/>
                <w:sz w:val="30"/>
                <w:szCs w:val="30"/>
              </w:rPr>
            </w:pP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p>
        </w:tc>
        <w:tc>
          <w:tcPr>
            <w:tcW w:w="1418" w:type="dxa"/>
            <w:gridSpan w:val="2"/>
            <w:tcBorders>
              <w:top w:val="nil"/>
              <w:left w:val="single" w:color="auto" w:sz="4" w:space="0"/>
              <w:bottom w:val="single" w:color="auto" w:sz="4" w:space="0"/>
              <w:right w:val="nil"/>
            </w:tcBorders>
            <w:vAlign w:val="center"/>
          </w:tcPr>
          <w:p>
            <w:pPr>
              <w:jc w:val="center"/>
              <w:rPr>
                <w:color w:val="000000"/>
                <w:sz w:val="30"/>
                <w:szCs w:val="30"/>
              </w:rPr>
            </w:pP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p>
        </w:tc>
        <w:tc>
          <w:tcPr>
            <w:tcW w:w="950" w:type="dxa"/>
            <w:tcBorders>
              <w:top w:val="nil"/>
              <w:left w:val="single" w:color="auto" w:sz="4" w:space="0"/>
              <w:bottom w:val="single" w:color="auto" w:sz="4" w:space="0"/>
              <w:right w:val="single" w:color="auto" w:sz="4" w:space="0"/>
            </w:tcBorders>
            <w:vAlign w:val="center"/>
          </w:tcPr>
          <w:p>
            <w:pPr>
              <w:jc w:val="center"/>
              <w:rPr>
                <w:color w:val="000000"/>
                <w:sz w:val="30"/>
                <w:szCs w:val="30"/>
              </w:rPr>
            </w:pPr>
          </w:p>
        </w:tc>
      </w:tr>
      <w:tr>
        <w:tblPrEx>
          <w:tblCellMar>
            <w:top w:w="0" w:type="dxa"/>
            <w:left w:w="108" w:type="dxa"/>
            <w:bottom w:w="0" w:type="dxa"/>
            <w:right w:w="108" w:type="dxa"/>
          </w:tblCellMar>
        </w:tblPrEx>
        <w:trPr>
          <w:trHeight w:val="79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restart"/>
            <w:tcBorders>
              <w:top w:val="nil"/>
              <w:left w:val="nil"/>
              <w:bottom w:val="nil"/>
              <w:right w:val="nil"/>
            </w:tcBorders>
            <w:vAlign w:val="center"/>
          </w:tcPr>
          <w:p>
            <w:pPr>
              <w:jc w:val="center"/>
              <w:rPr>
                <w:color w:val="000000"/>
                <w:sz w:val="30"/>
                <w:szCs w:val="30"/>
              </w:rPr>
            </w:pPr>
            <w:r>
              <w:rPr>
                <w:rFonts w:hint="eastAsia"/>
                <w:color w:val="000000"/>
                <w:sz w:val="30"/>
                <w:szCs w:val="30"/>
              </w:rPr>
              <w:t>满意度指标</w:t>
            </w: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服务对象满意度目标</w:t>
            </w:r>
          </w:p>
        </w:tc>
        <w:tc>
          <w:tcPr>
            <w:tcW w:w="141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主管部门满意率</w:t>
            </w: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》95%</w:t>
            </w: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》95%</w:t>
            </w: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10</w:t>
            </w:r>
          </w:p>
        </w:tc>
        <w:tc>
          <w:tcPr>
            <w:tcW w:w="950" w:type="dxa"/>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7</w:t>
            </w:r>
          </w:p>
        </w:tc>
      </w:tr>
      <w:tr>
        <w:tblPrEx>
          <w:tblCellMar>
            <w:top w:w="0" w:type="dxa"/>
            <w:left w:w="108" w:type="dxa"/>
            <w:bottom w:w="0" w:type="dxa"/>
            <w:right w:w="108" w:type="dxa"/>
          </w:tblCellMar>
        </w:tblPrEx>
        <w:trPr>
          <w:trHeight w:val="532"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continue"/>
            <w:tcBorders>
              <w:top w:val="nil"/>
              <w:left w:val="nil"/>
              <w:bottom w:val="nil"/>
              <w:right w:val="nil"/>
            </w:tcBorders>
            <w:vAlign w:val="center"/>
          </w:tcPr>
          <w:p>
            <w:pPr>
              <w:rPr>
                <w:color w:val="000000"/>
                <w:sz w:val="30"/>
                <w:szCs w:val="30"/>
              </w:rPr>
            </w:pP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服务对象满意度目标</w:t>
            </w:r>
          </w:p>
        </w:tc>
        <w:tc>
          <w:tcPr>
            <w:tcW w:w="1418" w:type="dxa"/>
            <w:gridSpan w:val="2"/>
            <w:tcBorders>
              <w:top w:val="nil"/>
              <w:left w:val="single" w:color="auto" w:sz="4" w:space="0"/>
              <w:bottom w:val="single" w:color="auto" w:sz="4" w:space="0"/>
              <w:right w:val="nil"/>
            </w:tcBorders>
            <w:vAlign w:val="center"/>
          </w:tcPr>
          <w:p>
            <w:pPr>
              <w:jc w:val="center"/>
              <w:rPr>
                <w:color w:val="000000"/>
                <w:sz w:val="30"/>
                <w:szCs w:val="30"/>
              </w:rPr>
            </w:pPr>
          </w:p>
          <w:p>
            <w:pPr>
              <w:jc w:val="center"/>
              <w:rPr>
                <w:color w:val="000000"/>
                <w:sz w:val="30"/>
                <w:szCs w:val="30"/>
              </w:rPr>
            </w:pPr>
            <w:r>
              <w:rPr>
                <w:rFonts w:hint="eastAsia"/>
                <w:color w:val="000000"/>
                <w:sz w:val="30"/>
                <w:szCs w:val="30"/>
              </w:rPr>
              <w:t>受益人群满意度</w:t>
            </w: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》95%</w:t>
            </w: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p>
          <w:p>
            <w:pPr>
              <w:jc w:val="center"/>
              <w:rPr>
                <w:rFonts w:hint="eastAsia"/>
                <w:color w:val="000000"/>
                <w:sz w:val="30"/>
                <w:szCs w:val="30"/>
              </w:rPr>
            </w:pPr>
            <w:r>
              <w:rPr>
                <w:rFonts w:hint="eastAsia"/>
                <w:color w:val="000000"/>
                <w:sz w:val="30"/>
                <w:szCs w:val="30"/>
              </w:rPr>
              <w:t>》95%</w:t>
            </w:r>
          </w:p>
          <w:p>
            <w:pPr>
              <w:jc w:val="center"/>
              <w:rPr>
                <w:color w:val="000000"/>
                <w:sz w:val="30"/>
                <w:szCs w:val="30"/>
              </w:rPr>
            </w:pP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r>
              <w:rPr>
                <w:rFonts w:hint="eastAsia"/>
                <w:color w:val="000000"/>
                <w:sz w:val="30"/>
                <w:szCs w:val="30"/>
              </w:rPr>
              <w:t>10</w:t>
            </w:r>
          </w:p>
        </w:tc>
        <w:tc>
          <w:tcPr>
            <w:tcW w:w="950" w:type="dxa"/>
            <w:tcBorders>
              <w:top w:val="nil"/>
              <w:left w:val="single" w:color="auto" w:sz="4" w:space="0"/>
              <w:bottom w:val="single" w:color="auto" w:sz="4" w:space="0"/>
              <w:right w:val="single" w:color="auto" w:sz="4" w:space="0"/>
            </w:tcBorders>
            <w:vAlign w:val="center"/>
          </w:tcPr>
          <w:p>
            <w:pPr>
              <w:pStyle w:val="23"/>
              <w:rPr>
                <w:rFonts w:cs="Times New Roman"/>
              </w:rPr>
            </w:pPr>
            <w:r>
              <w:rPr>
                <w:rFonts w:hint="eastAsia" w:cs="Times New Roman"/>
              </w:rPr>
              <w:t>6</w:t>
            </w:r>
          </w:p>
        </w:tc>
      </w:tr>
      <w:tr>
        <w:tblPrEx>
          <w:tblCellMar>
            <w:top w:w="0" w:type="dxa"/>
            <w:left w:w="108" w:type="dxa"/>
            <w:bottom w:w="0" w:type="dxa"/>
            <w:right w:w="108" w:type="dxa"/>
          </w:tblCellMar>
        </w:tblPrEx>
        <w:trPr>
          <w:trHeight w:val="794" w:hRule="atLeast"/>
          <w:jc w:val="center"/>
        </w:trPr>
        <w:tc>
          <w:tcPr>
            <w:tcW w:w="709" w:type="dxa"/>
            <w:gridSpan w:val="2"/>
            <w:vMerge w:val="continue"/>
            <w:tcBorders>
              <w:top w:val="nil"/>
              <w:left w:val="single" w:color="auto" w:sz="4" w:space="0"/>
              <w:bottom w:val="single" w:color="auto" w:sz="4" w:space="0"/>
              <w:right w:val="single" w:color="auto" w:sz="4" w:space="0"/>
            </w:tcBorders>
            <w:vAlign w:val="center"/>
          </w:tcPr>
          <w:p>
            <w:pPr>
              <w:rPr>
                <w:color w:val="000000"/>
                <w:sz w:val="30"/>
                <w:szCs w:val="30"/>
              </w:rPr>
            </w:pPr>
          </w:p>
        </w:tc>
        <w:tc>
          <w:tcPr>
            <w:tcW w:w="567" w:type="dxa"/>
            <w:vMerge w:val="continue"/>
            <w:tcBorders>
              <w:top w:val="nil"/>
              <w:left w:val="nil"/>
              <w:bottom w:val="nil"/>
              <w:right w:val="nil"/>
            </w:tcBorders>
            <w:vAlign w:val="center"/>
          </w:tcPr>
          <w:p>
            <w:pPr>
              <w:rPr>
                <w:color w:val="000000"/>
                <w:sz w:val="30"/>
                <w:szCs w:val="30"/>
              </w:rPr>
            </w:pPr>
          </w:p>
        </w:tc>
        <w:tc>
          <w:tcPr>
            <w:tcW w:w="1134" w:type="dxa"/>
            <w:tcBorders>
              <w:top w:val="nil"/>
              <w:left w:val="single" w:color="auto" w:sz="4" w:space="0"/>
              <w:bottom w:val="single" w:color="auto" w:sz="4" w:space="0"/>
              <w:right w:val="nil"/>
            </w:tcBorders>
            <w:vAlign w:val="center"/>
          </w:tcPr>
          <w:p>
            <w:pPr>
              <w:jc w:val="center"/>
              <w:rPr>
                <w:color w:val="000000"/>
                <w:sz w:val="30"/>
                <w:szCs w:val="30"/>
              </w:rPr>
            </w:pPr>
          </w:p>
        </w:tc>
        <w:tc>
          <w:tcPr>
            <w:tcW w:w="1418" w:type="dxa"/>
            <w:gridSpan w:val="2"/>
            <w:tcBorders>
              <w:top w:val="nil"/>
              <w:left w:val="single" w:color="auto" w:sz="4" w:space="0"/>
              <w:bottom w:val="single" w:color="auto" w:sz="4" w:space="0"/>
              <w:right w:val="nil"/>
            </w:tcBorders>
            <w:vAlign w:val="center"/>
          </w:tcPr>
          <w:p>
            <w:pPr>
              <w:jc w:val="center"/>
              <w:rPr>
                <w:color w:val="000000"/>
                <w:sz w:val="30"/>
                <w:szCs w:val="30"/>
              </w:rPr>
            </w:pPr>
          </w:p>
          <w:p>
            <w:pPr>
              <w:jc w:val="center"/>
              <w:rPr>
                <w:color w:val="000000"/>
                <w:sz w:val="30"/>
                <w:szCs w:val="30"/>
              </w:rPr>
            </w:pPr>
          </w:p>
        </w:tc>
        <w:tc>
          <w:tcPr>
            <w:tcW w:w="1275" w:type="dxa"/>
            <w:tcBorders>
              <w:top w:val="nil"/>
              <w:left w:val="single" w:color="auto" w:sz="4" w:space="0"/>
              <w:bottom w:val="single" w:color="auto" w:sz="4" w:space="0"/>
              <w:right w:val="nil"/>
            </w:tcBorders>
            <w:vAlign w:val="center"/>
          </w:tcPr>
          <w:p>
            <w:pPr>
              <w:jc w:val="center"/>
              <w:rPr>
                <w:color w:val="000000"/>
                <w:sz w:val="30"/>
                <w:szCs w:val="30"/>
              </w:rPr>
            </w:pPr>
          </w:p>
        </w:tc>
        <w:tc>
          <w:tcPr>
            <w:tcW w:w="2508" w:type="dxa"/>
            <w:gridSpan w:val="3"/>
            <w:tcBorders>
              <w:top w:val="nil"/>
              <w:left w:val="single" w:color="auto" w:sz="4" w:space="0"/>
              <w:bottom w:val="single" w:color="auto" w:sz="4" w:space="0"/>
              <w:right w:val="nil"/>
            </w:tcBorders>
            <w:vAlign w:val="center"/>
          </w:tcPr>
          <w:p>
            <w:pPr>
              <w:jc w:val="center"/>
              <w:rPr>
                <w:color w:val="000000"/>
                <w:sz w:val="30"/>
                <w:szCs w:val="30"/>
              </w:rPr>
            </w:pPr>
          </w:p>
          <w:p>
            <w:pPr>
              <w:jc w:val="center"/>
              <w:rPr>
                <w:rFonts w:hint="eastAsia"/>
                <w:color w:val="000000"/>
                <w:sz w:val="30"/>
                <w:szCs w:val="30"/>
              </w:rPr>
            </w:pPr>
          </w:p>
          <w:p>
            <w:pPr>
              <w:jc w:val="center"/>
              <w:rPr>
                <w:color w:val="000000"/>
                <w:sz w:val="30"/>
                <w:szCs w:val="30"/>
              </w:rPr>
            </w:pPr>
          </w:p>
        </w:tc>
        <w:tc>
          <w:tcPr>
            <w:tcW w:w="1078" w:type="dxa"/>
            <w:gridSpan w:val="2"/>
            <w:tcBorders>
              <w:top w:val="nil"/>
              <w:left w:val="single" w:color="auto" w:sz="4" w:space="0"/>
              <w:bottom w:val="single" w:color="auto" w:sz="4" w:space="0"/>
              <w:right w:val="nil"/>
            </w:tcBorders>
            <w:vAlign w:val="center"/>
          </w:tcPr>
          <w:p>
            <w:pPr>
              <w:jc w:val="center"/>
              <w:rPr>
                <w:color w:val="000000"/>
                <w:sz w:val="30"/>
                <w:szCs w:val="30"/>
              </w:rPr>
            </w:pPr>
          </w:p>
        </w:tc>
        <w:tc>
          <w:tcPr>
            <w:tcW w:w="950" w:type="dxa"/>
            <w:tcBorders>
              <w:top w:val="nil"/>
              <w:left w:val="single" w:color="auto" w:sz="4" w:space="0"/>
              <w:bottom w:val="single" w:color="auto" w:sz="4" w:space="0"/>
              <w:right w:val="single" w:color="auto" w:sz="4" w:space="0"/>
            </w:tcBorders>
            <w:vAlign w:val="center"/>
          </w:tcPr>
          <w:p>
            <w:pPr>
              <w:jc w:val="center"/>
              <w:rPr>
                <w:color w:val="000000"/>
                <w:sz w:val="30"/>
                <w:szCs w:val="30"/>
              </w:rPr>
            </w:pPr>
          </w:p>
        </w:tc>
      </w:tr>
      <w:tr>
        <w:tblPrEx>
          <w:tblCellMar>
            <w:top w:w="0" w:type="dxa"/>
            <w:left w:w="108" w:type="dxa"/>
            <w:bottom w:w="0" w:type="dxa"/>
            <w:right w:w="108" w:type="dxa"/>
          </w:tblCellMar>
        </w:tblPrEx>
        <w:trPr>
          <w:trHeight w:val="542" w:hRule="atLeast"/>
          <w:jc w:val="center"/>
        </w:trPr>
        <w:tc>
          <w:tcPr>
            <w:tcW w:w="709" w:type="dxa"/>
            <w:gridSpan w:val="2"/>
            <w:tcBorders>
              <w:top w:val="nil"/>
              <w:left w:val="single" w:color="auto" w:sz="4" w:space="0"/>
              <w:bottom w:val="single" w:color="auto" w:sz="4" w:space="0"/>
              <w:right w:val="single" w:color="auto" w:sz="4" w:space="0"/>
            </w:tcBorders>
            <w:vAlign w:val="center"/>
          </w:tcPr>
          <w:p>
            <w:pPr>
              <w:jc w:val="center"/>
              <w:rPr>
                <w:color w:val="000000"/>
                <w:sz w:val="30"/>
                <w:szCs w:val="30"/>
              </w:rPr>
            </w:pPr>
            <w:r>
              <w:rPr>
                <w:rFonts w:hint="eastAsia"/>
                <w:color w:val="000000"/>
                <w:sz w:val="30"/>
                <w:szCs w:val="30"/>
              </w:rPr>
              <w:t>说明</w:t>
            </w:r>
          </w:p>
        </w:tc>
        <w:tc>
          <w:tcPr>
            <w:tcW w:w="8930" w:type="dxa"/>
            <w:gridSpan w:val="11"/>
            <w:tcBorders>
              <w:top w:val="single" w:color="auto" w:sz="4" w:space="0"/>
              <w:left w:val="nil"/>
              <w:bottom w:val="single" w:color="auto" w:sz="4" w:space="0"/>
              <w:right w:val="single" w:color="auto" w:sz="4" w:space="0"/>
            </w:tcBorders>
            <w:vAlign w:val="center"/>
          </w:tcPr>
          <w:p>
            <w:pPr>
              <w:jc w:val="center"/>
              <w:rPr>
                <w:color w:val="000000"/>
                <w:sz w:val="30"/>
                <w:szCs w:val="30"/>
              </w:rPr>
            </w:pPr>
          </w:p>
        </w:tc>
      </w:tr>
    </w:tbl>
    <w:p>
      <w:pPr>
        <w:pStyle w:val="23"/>
        <w:numPr>
          <w:ilvl w:val="0"/>
          <w:numId w:val="1"/>
        </w:numPr>
        <w:spacing w:before="0" w:beforeAutospacing="0"/>
        <w:rPr>
          <w:rFonts w:hint="eastAsia"/>
          <w:b/>
          <w:sz w:val="30"/>
          <w:szCs w:val="30"/>
          <w:shd w:val="clear" w:color="auto" w:fill="FFFFFF"/>
        </w:rPr>
      </w:pPr>
      <w:r>
        <w:rPr>
          <w:rStyle w:val="32"/>
          <w:rFonts w:hint="eastAsia" w:ascii="宋体" w:hAnsi="宋体"/>
          <w:sz w:val="30"/>
          <w:szCs w:val="30"/>
          <w:shd w:val="clear" w:color="auto" w:fill="FFFFFF"/>
        </w:rPr>
        <w:t>绩效自评报告或案例</w:t>
      </w:r>
    </w:p>
    <w:p>
      <w:pPr>
        <w:ind w:right="85"/>
        <w:jc w:val="center"/>
        <w:rPr>
          <w:rFonts w:hint="eastAsia" w:ascii="方正小标宋简体" w:eastAsia="方正小标宋简体"/>
          <w:bCs/>
          <w:sz w:val="44"/>
          <w:szCs w:val="44"/>
        </w:rPr>
      </w:pPr>
      <w:r>
        <w:rPr>
          <w:rFonts w:hint="eastAsia" w:ascii="方正小标宋简体" w:hAnsi="方正小标宋简体" w:eastAsia="方正小标宋简体"/>
          <w:bCs/>
          <w:sz w:val="44"/>
          <w:szCs w:val="44"/>
        </w:rPr>
        <w:t>丰都县殡仪馆</w:t>
      </w:r>
    </w:p>
    <w:p>
      <w:pPr>
        <w:ind w:right="85"/>
        <w:jc w:val="center"/>
        <w:rPr>
          <w:rFonts w:hint="eastAsia" w:ascii="方正小标宋简体" w:eastAsia="方正小标宋简体"/>
          <w:bCs/>
          <w:sz w:val="44"/>
          <w:szCs w:val="44"/>
        </w:rPr>
      </w:pPr>
      <w:r>
        <w:rPr>
          <w:rFonts w:hint="eastAsia" w:ascii="方正小标宋简体" w:hAnsi="方正小标宋简体" w:eastAsia="方正小标宋简体"/>
          <w:bCs/>
          <w:sz w:val="44"/>
          <w:szCs w:val="44"/>
        </w:rPr>
        <w:t>服务楼新建工程绩效目标自评报告</w:t>
      </w:r>
    </w:p>
    <w:p>
      <w:pPr>
        <w:spacing w:line="560" w:lineRule="exact"/>
        <w:ind w:firstLine="640" w:firstLineChars="200"/>
        <w:rPr>
          <w:rFonts w:hint="eastAsia" w:ascii="仿宋_GB2312" w:hAnsi="仿宋" w:eastAsia="仿宋_GB2312"/>
          <w:sz w:val="32"/>
          <w:szCs w:val="32"/>
          <w:highlight w:val="yellow"/>
        </w:rPr>
      </w:pPr>
      <w:r>
        <w:rPr>
          <w:rFonts w:hint="eastAsia" w:ascii="仿宋_GB2312" w:hAnsi="仿宋" w:eastAsia="仿宋_GB2312"/>
          <w:sz w:val="32"/>
          <w:szCs w:val="32"/>
          <w:highlight w:val="yellow"/>
        </w:rPr>
        <w:t xml:space="preserve"> </w:t>
      </w:r>
    </w:p>
    <w:p>
      <w:pPr>
        <w:spacing w:line="560" w:lineRule="exact"/>
        <w:ind w:firstLine="600" w:firstLineChars="200"/>
        <w:rPr>
          <w:rFonts w:hint="eastAsia"/>
          <w:sz w:val="30"/>
          <w:szCs w:val="30"/>
        </w:rPr>
      </w:pPr>
      <w:r>
        <w:rPr>
          <w:rFonts w:hint="eastAsia" w:ascii="仿宋_GB2312" w:hAnsi="仿宋" w:eastAsia="仿宋_GB2312"/>
          <w:sz w:val="30"/>
          <w:szCs w:val="30"/>
        </w:rPr>
        <w:t>为加强财政资金的管理，提高财政资金的使用效益，贯彻落实《中共丰都县委丰都县人民政府关于全面落实预算绩效管理的实施方案》（丰委办〔2019〕32号）、根据《中共重庆市委重庆市人民政府关于全面实施预算绩效管理的实施意见》（渝委发〔2019〕12号）、《重庆市财政专项资金绩效评价管理暂行办法》，形成自评报告如下：</w:t>
      </w:r>
    </w:p>
    <w:p>
      <w:pPr>
        <w:spacing w:line="560" w:lineRule="exact"/>
        <w:ind w:firstLine="600" w:firstLineChars="200"/>
        <w:rPr>
          <w:rFonts w:hint="eastAsia" w:ascii="黑体" w:hAnsi="仿宋" w:eastAsia="黑体"/>
          <w:sz w:val="30"/>
          <w:szCs w:val="30"/>
        </w:rPr>
      </w:pPr>
      <w:r>
        <w:rPr>
          <w:rFonts w:hint="eastAsia" w:ascii="黑体" w:hAnsi="黑体" w:eastAsia="黑体"/>
          <w:sz w:val="30"/>
          <w:szCs w:val="30"/>
        </w:rPr>
        <w:t>一、项目基本概况</w:t>
      </w:r>
    </w:p>
    <w:p>
      <w:pPr>
        <w:spacing w:line="560" w:lineRule="exact"/>
        <w:ind w:firstLine="600" w:firstLineChars="200"/>
        <w:rPr>
          <w:rFonts w:hint="eastAsia" w:ascii="楷体_GB2312" w:hAnsi="仿宋" w:eastAsia="楷体_GB2312"/>
          <w:sz w:val="30"/>
          <w:szCs w:val="30"/>
        </w:rPr>
      </w:pPr>
      <w:r>
        <w:rPr>
          <w:rFonts w:hint="eastAsia" w:ascii="楷体_GB2312" w:hAnsi="仿宋" w:eastAsia="楷体_GB2312"/>
          <w:sz w:val="30"/>
          <w:szCs w:val="30"/>
        </w:rPr>
        <w:t>（一）项目概况</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1、立项背景</w:t>
      </w:r>
    </w:p>
    <w:p>
      <w:pPr>
        <w:spacing w:line="360" w:lineRule="auto"/>
        <w:ind w:firstLine="600"/>
        <w:rPr>
          <w:rFonts w:hint="eastAsia" w:ascii="仿宋_GB2312" w:eastAsia="仿宋_GB2312"/>
          <w:sz w:val="30"/>
          <w:szCs w:val="30"/>
        </w:rPr>
      </w:pPr>
      <w:r>
        <w:rPr>
          <w:rFonts w:hint="eastAsia" w:ascii="仿宋_GB2312" w:eastAsia="仿宋_GB2312"/>
          <w:sz w:val="30"/>
          <w:szCs w:val="30"/>
        </w:rPr>
        <w:t>殡葬活动早在人类社会产生的初期，就成为社会当中一项重要的生活内容。而当今社会殡仪馆建筑既是作为城市中公共建筑配套中必不可少的一个环节，也是一个城市文明高低程度的象征与标志。</w:t>
      </w:r>
    </w:p>
    <w:p>
      <w:pPr>
        <w:spacing w:line="360" w:lineRule="auto"/>
        <w:ind w:firstLine="600"/>
        <w:rPr>
          <w:rFonts w:hint="eastAsia" w:ascii="仿宋_GB2312" w:eastAsia="仿宋_GB2312"/>
          <w:sz w:val="30"/>
          <w:szCs w:val="30"/>
        </w:rPr>
      </w:pPr>
      <w:r>
        <w:rPr>
          <w:rFonts w:hint="eastAsia" w:ascii="仿宋_GB2312" w:eastAsia="仿宋_GB2312"/>
          <w:sz w:val="30"/>
          <w:szCs w:val="30"/>
        </w:rPr>
        <w:t>殡仪馆建设随社会主义精神文明建设提高而提升，随生产力的发展而发展，是社会进步的产物。殡仪馆是为全社会服务的窗口，其功能是通过人们在殡仪馆举行的一系列活动，使人们的悲伤心灵得到慰藉，哀思有所寄托，生者得到安慰，逝者得到安息，起到移风易俗，升华人们的思想的作用，从而达到整个丧葬过程文明、健康、进步。与此同时，殡仪馆建设对集约、节约用地和保护生态环境等具有重要实现意义。</w:t>
      </w:r>
    </w:p>
    <w:p>
      <w:pPr>
        <w:spacing w:line="360" w:lineRule="auto"/>
        <w:ind w:firstLine="600"/>
        <w:rPr>
          <w:rFonts w:hint="eastAsia" w:ascii="仿宋_GB2312" w:eastAsia="仿宋_GB2312"/>
          <w:sz w:val="30"/>
          <w:szCs w:val="30"/>
        </w:rPr>
      </w:pPr>
      <w:r>
        <w:rPr>
          <w:rFonts w:hint="eastAsia" w:ascii="仿宋_GB2312" w:eastAsia="仿宋_GB2312"/>
          <w:sz w:val="30"/>
          <w:szCs w:val="30"/>
        </w:rPr>
        <w:t>随着经济社会的不断发展，导致人们对殡葬事业的需求越来越强烈，和谐殡葬是构建社会主义和谐社会不可或缺的一部分，殡仪馆作为目前殡葬服务的主要提供者，在贯彻落实党和 政府的</w:t>
      </w:r>
      <w:r>
        <w:rPr>
          <w:rFonts w:hint="eastAsia"/>
          <w:sz w:val="30"/>
          <w:szCs w:val="30"/>
        </w:rPr>
        <w:t>“</w:t>
      </w:r>
      <w:r>
        <w:rPr>
          <w:rFonts w:hint="eastAsia" w:ascii="仿宋_GB2312" w:eastAsia="仿宋_GB2312"/>
          <w:sz w:val="30"/>
          <w:szCs w:val="30"/>
        </w:rPr>
        <w:t>亲民、为民、利民</w:t>
      </w:r>
      <w:r>
        <w:rPr>
          <w:rFonts w:hint="eastAsia"/>
          <w:sz w:val="30"/>
          <w:szCs w:val="30"/>
        </w:rPr>
        <w:t>”</w:t>
      </w:r>
      <w:r>
        <w:rPr>
          <w:rFonts w:hint="eastAsia" w:ascii="仿宋_GB2312" w:eastAsia="仿宋_GB2312"/>
          <w:sz w:val="30"/>
          <w:szCs w:val="30"/>
        </w:rPr>
        <w:t>政策上具有不可替代的作用。</w:t>
      </w:r>
    </w:p>
    <w:p>
      <w:pPr>
        <w:spacing w:line="360" w:lineRule="auto"/>
        <w:ind w:firstLine="600"/>
        <w:rPr>
          <w:rFonts w:hint="eastAsia" w:eastAsia="仿宋_GB2312"/>
          <w:sz w:val="30"/>
          <w:szCs w:val="30"/>
        </w:rPr>
      </w:pPr>
      <w:r>
        <w:rPr>
          <w:rFonts w:hint="eastAsia" w:ascii="仿宋_GB2312" w:eastAsia="仿宋_GB2312"/>
          <w:sz w:val="30"/>
          <w:szCs w:val="30"/>
        </w:rPr>
        <w:t>丰都县是三峡库区移民重点县，</w:t>
      </w:r>
      <w:r>
        <w:rPr>
          <w:rFonts w:hint="eastAsia" w:ascii="仿宋_GB2312" w:eastAsia="仿宋_GB2312"/>
          <w:spacing w:val="10"/>
          <w:sz w:val="30"/>
          <w:szCs w:val="30"/>
        </w:rPr>
        <w:t>全县辖</w:t>
      </w:r>
      <w:r>
        <w:rPr>
          <w:rFonts w:hint="eastAsia"/>
          <w:bCs/>
          <w:sz w:val="30"/>
          <w:szCs w:val="30"/>
        </w:rPr>
        <w:t>30</w:t>
      </w:r>
      <w:r>
        <w:rPr>
          <w:rFonts w:hint="eastAsia" w:ascii="仿宋_GB2312" w:eastAsia="仿宋_GB2312"/>
          <w:bCs/>
          <w:sz w:val="30"/>
          <w:szCs w:val="30"/>
        </w:rPr>
        <w:t>个乡（镇、街道）</w:t>
      </w:r>
      <w:r>
        <w:rPr>
          <w:rFonts w:hint="eastAsia"/>
          <w:bCs/>
          <w:sz w:val="30"/>
          <w:szCs w:val="30"/>
        </w:rPr>
        <w:t>280</w:t>
      </w:r>
      <w:r>
        <w:rPr>
          <w:rFonts w:hint="eastAsia" w:ascii="仿宋_GB2312" w:eastAsia="仿宋_GB2312"/>
          <w:bCs/>
          <w:sz w:val="30"/>
          <w:szCs w:val="30"/>
        </w:rPr>
        <w:t>个行政村、</w:t>
      </w:r>
      <w:r>
        <w:rPr>
          <w:rFonts w:hint="eastAsia"/>
          <w:bCs/>
          <w:sz w:val="30"/>
          <w:szCs w:val="30"/>
        </w:rPr>
        <w:t>48</w:t>
      </w:r>
      <w:r>
        <w:rPr>
          <w:rFonts w:hint="eastAsia" w:ascii="仿宋_GB2312" w:eastAsia="仿宋_GB2312"/>
          <w:bCs/>
          <w:sz w:val="30"/>
          <w:szCs w:val="30"/>
        </w:rPr>
        <w:t>个居委会，总人口</w:t>
      </w:r>
      <w:r>
        <w:rPr>
          <w:rFonts w:hint="eastAsia"/>
          <w:bCs/>
          <w:sz w:val="30"/>
          <w:szCs w:val="30"/>
        </w:rPr>
        <w:t>82.37</w:t>
      </w:r>
      <w:r>
        <w:rPr>
          <w:rFonts w:hint="eastAsia" w:ascii="仿宋_GB2312" w:eastAsia="仿宋_GB2312"/>
          <w:bCs/>
          <w:sz w:val="30"/>
          <w:szCs w:val="30"/>
        </w:rPr>
        <w:t>万人，其中农业人口</w:t>
      </w:r>
      <w:r>
        <w:rPr>
          <w:rFonts w:hint="eastAsia"/>
          <w:bCs/>
          <w:sz w:val="30"/>
          <w:szCs w:val="30"/>
        </w:rPr>
        <w:t>66.3</w:t>
      </w:r>
      <w:r>
        <w:rPr>
          <w:rFonts w:hint="eastAsia" w:ascii="仿宋_GB2312" w:eastAsia="仿宋_GB2312"/>
          <w:bCs/>
          <w:sz w:val="30"/>
          <w:szCs w:val="30"/>
        </w:rPr>
        <w:t>万人，非农业人口</w:t>
      </w:r>
      <w:r>
        <w:rPr>
          <w:rFonts w:hint="eastAsia"/>
          <w:bCs/>
          <w:sz w:val="30"/>
          <w:szCs w:val="30"/>
        </w:rPr>
        <w:t>16.12</w:t>
      </w:r>
      <w:r>
        <w:rPr>
          <w:rFonts w:hint="eastAsia" w:ascii="仿宋_GB2312" w:eastAsia="仿宋_GB2312"/>
          <w:bCs/>
          <w:sz w:val="30"/>
          <w:szCs w:val="30"/>
        </w:rPr>
        <w:t>万人。</w:t>
      </w:r>
      <w:r>
        <w:rPr>
          <w:rFonts w:hint="eastAsia" w:ascii="仿宋_GB2312" w:eastAsia="仿宋_GB2312"/>
          <w:sz w:val="30"/>
          <w:szCs w:val="30"/>
        </w:rPr>
        <w:t>每年死亡人数约</w:t>
      </w:r>
      <w:r>
        <w:rPr>
          <w:rFonts w:hint="eastAsia"/>
          <w:sz w:val="30"/>
          <w:szCs w:val="30"/>
        </w:rPr>
        <w:t>5000</w:t>
      </w:r>
      <w:r>
        <w:rPr>
          <w:rFonts w:hint="eastAsia" w:ascii="仿宋_GB2312" w:eastAsia="仿宋_GB2312"/>
          <w:sz w:val="30"/>
          <w:szCs w:val="30"/>
        </w:rPr>
        <w:t>多人。如按常规土葬每冢坟占地</w:t>
      </w:r>
      <w:r>
        <w:rPr>
          <w:rFonts w:hint="eastAsia"/>
          <w:sz w:val="30"/>
          <w:szCs w:val="30"/>
        </w:rPr>
        <w:t>20</w:t>
      </w:r>
      <w:r>
        <w:rPr>
          <w:rFonts w:hint="eastAsia" w:ascii="仿宋_GB2312" w:eastAsia="仿宋_GB2312"/>
          <w:sz w:val="30"/>
          <w:szCs w:val="30"/>
        </w:rPr>
        <w:t>平方米计算，则每年将占地</w:t>
      </w:r>
      <w:r>
        <w:rPr>
          <w:rFonts w:hint="eastAsia"/>
          <w:sz w:val="30"/>
          <w:szCs w:val="30"/>
        </w:rPr>
        <w:t>149</w:t>
      </w:r>
      <w:r>
        <w:rPr>
          <w:rFonts w:hint="eastAsia" w:ascii="仿宋_GB2312" w:eastAsia="仿宋_GB2312"/>
          <w:sz w:val="30"/>
          <w:szCs w:val="30"/>
        </w:rPr>
        <w:t>亩，且其中</w:t>
      </w:r>
      <w:r>
        <w:rPr>
          <w:rFonts w:hint="eastAsia"/>
          <w:sz w:val="30"/>
          <w:szCs w:val="30"/>
        </w:rPr>
        <w:t>1/3</w:t>
      </w:r>
      <w:r>
        <w:rPr>
          <w:rFonts w:hint="eastAsia" w:ascii="仿宋_GB2312" w:eastAsia="仿宋_GB2312"/>
          <w:sz w:val="30"/>
          <w:szCs w:val="30"/>
        </w:rPr>
        <w:t>以上是耕地。长此以往，死人与活人争地的局面将愈演愈烈，而能开垦的荒山荒地将逐年下降，利用率将越来越低，可耕作的土地也将越来越少，势必从根本上制约着全县人民群众生活水平的提高和贫困山区脱贫致富。另外，在丧葬过程中，受传统思想和封建迷信的影响，大操大办在当地农村盛行已久，铺张浪费较严重。据不完全统计，仅此一项该县每年开销达</w:t>
      </w:r>
      <w:r>
        <w:rPr>
          <w:rFonts w:hint="eastAsia"/>
          <w:sz w:val="30"/>
          <w:szCs w:val="30"/>
        </w:rPr>
        <w:t>9000</w:t>
      </w:r>
      <w:r>
        <w:rPr>
          <w:rFonts w:hint="eastAsia" w:ascii="仿宋_GB2312" w:eastAsia="仿宋_GB2312"/>
          <w:sz w:val="30"/>
          <w:szCs w:val="30"/>
        </w:rPr>
        <w:t>万元，极大地浪费人力、物力和财力，影响两个文明建设，同时也影响全县全面小康社会的进程。</w:t>
      </w:r>
    </w:p>
    <w:p>
      <w:pPr>
        <w:spacing w:line="360" w:lineRule="auto"/>
        <w:ind w:firstLine="576" w:firstLineChars="192"/>
        <w:rPr>
          <w:rFonts w:hint="eastAsia" w:ascii="仿宋_GB2312" w:eastAsia="仿宋_GB2312"/>
          <w:sz w:val="30"/>
          <w:szCs w:val="30"/>
        </w:rPr>
      </w:pPr>
      <w:r>
        <w:rPr>
          <w:rFonts w:hint="eastAsia" w:ascii="仿宋_GB2312" w:eastAsia="仿宋_GB2312"/>
          <w:bCs/>
          <w:sz w:val="30"/>
          <w:szCs w:val="30"/>
        </w:rPr>
        <w:t>目前，</w:t>
      </w:r>
      <w:r>
        <w:rPr>
          <w:rFonts w:hint="eastAsia" w:ascii="仿宋_GB2312" w:eastAsia="仿宋_GB2312"/>
          <w:sz w:val="30"/>
          <w:szCs w:val="30"/>
        </w:rPr>
        <w:t>丰都县殡仪馆始建于</w:t>
      </w:r>
      <w:r>
        <w:rPr>
          <w:rFonts w:hint="eastAsia"/>
          <w:sz w:val="30"/>
          <w:szCs w:val="30"/>
        </w:rPr>
        <w:t>1976</w:t>
      </w:r>
      <w:r>
        <w:rPr>
          <w:rFonts w:hint="eastAsia" w:ascii="仿宋_GB2312" w:eastAsia="仿宋_GB2312"/>
          <w:sz w:val="30"/>
          <w:szCs w:val="30"/>
        </w:rPr>
        <w:t>年，占地面积仅约</w:t>
      </w:r>
      <w:r>
        <w:rPr>
          <w:rFonts w:hint="eastAsia"/>
          <w:sz w:val="30"/>
          <w:szCs w:val="30"/>
        </w:rPr>
        <w:t>10</w:t>
      </w:r>
      <w:r>
        <w:rPr>
          <w:rFonts w:hint="eastAsia" w:ascii="仿宋_GB2312" w:eastAsia="仿宋_GB2312"/>
          <w:sz w:val="30"/>
          <w:szCs w:val="30"/>
        </w:rPr>
        <w:t>亩，建筑面积仅</w:t>
      </w:r>
      <w:r>
        <w:rPr>
          <w:rFonts w:hint="eastAsia"/>
          <w:sz w:val="30"/>
          <w:szCs w:val="30"/>
        </w:rPr>
        <w:t>2000</w:t>
      </w:r>
      <w:r>
        <w:rPr>
          <w:rFonts w:hint="eastAsia" w:ascii="仿宋_GB2312" w:eastAsia="仿宋_GB2312"/>
          <w:sz w:val="30"/>
          <w:szCs w:val="30"/>
        </w:rPr>
        <w:t>平方米，且大部分是危房，整体规划不够合理，建筑简陋，设备陈旧，设施落后，年平均火化量</w:t>
      </w:r>
      <w:r>
        <w:rPr>
          <w:rFonts w:hint="eastAsia"/>
          <w:sz w:val="30"/>
          <w:szCs w:val="30"/>
        </w:rPr>
        <w:t>1500</w:t>
      </w:r>
      <w:r>
        <w:rPr>
          <w:rFonts w:hint="eastAsia" w:ascii="仿宋_GB2312" w:eastAsia="仿宋_GB2312"/>
          <w:sz w:val="30"/>
          <w:szCs w:val="30"/>
        </w:rPr>
        <w:t>具左右，现有的条件不能担负着全县的殡仪服务和火化任务，与两个文明建设的要求不相适应</w:t>
      </w:r>
      <w:r>
        <w:rPr>
          <w:rFonts w:hint="eastAsia" w:ascii="仿宋_GB2312" w:hAnsi="Arial" w:eastAsia="仿宋_GB2312"/>
          <w:sz w:val="30"/>
          <w:szCs w:val="30"/>
        </w:rPr>
        <w:t>。</w:t>
      </w:r>
    </w:p>
    <w:p>
      <w:pPr>
        <w:spacing w:line="360" w:lineRule="auto"/>
        <w:ind w:firstLine="576" w:firstLineChars="192"/>
        <w:rPr>
          <w:rFonts w:hint="eastAsia" w:ascii="仿宋_GB2312" w:eastAsia="仿宋_GB2312"/>
          <w:sz w:val="30"/>
          <w:szCs w:val="30"/>
        </w:rPr>
      </w:pPr>
      <w:r>
        <w:rPr>
          <w:rFonts w:hint="eastAsia" w:ascii="仿宋_GB2312" w:eastAsia="仿宋_GB2312"/>
          <w:sz w:val="30"/>
          <w:szCs w:val="30"/>
        </w:rPr>
        <w:t>建设丰都县殡仪馆，使之成为与丰都城市规模和经济发展战略功能定位相适应的社会主义精神文明建设阵地。能够承担起丰都县30个乡镇非农业人口，16个火化乡镇死亡人员的全部殡葬火化任务，是新形势下构建和谐社会、落实</w:t>
      </w:r>
      <w:r>
        <w:rPr>
          <w:rFonts w:hint="eastAsia"/>
          <w:sz w:val="30"/>
          <w:szCs w:val="30"/>
        </w:rPr>
        <w:t>“</w:t>
      </w:r>
      <w:r>
        <w:rPr>
          <w:rFonts w:hint="eastAsia" w:ascii="仿宋_GB2312" w:eastAsia="仿宋_GB2312"/>
          <w:sz w:val="30"/>
          <w:szCs w:val="30"/>
        </w:rPr>
        <w:t>以人为本</w:t>
      </w:r>
      <w:r>
        <w:rPr>
          <w:rFonts w:hint="eastAsia"/>
          <w:sz w:val="30"/>
          <w:szCs w:val="30"/>
        </w:rPr>
        <w:t>”</w:t>
      </w:r>
      <w:r>
        <w:rPr>
          <w:rFonts w:hint="eastAsia" w:ascii="仿宋_GB2312" w:eastAsia="仿宋_GB2312"/>
          <w:sz w:val="30"/>
          <w:szCs w:val="30"/>
        </w:rPr>
        <w:t>科学发展观的具体体现，也是发展社会福利事业和完善社会保障制度的要求。</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2、项目实施情况</w:t>
      </w:r>
    </w:p>
    <w:p>
      <w:pPr>
        <w:ind w:firstLine="600" w:firstLineChars="200"/>
        <w:rPr>
          <w:rFonts w:hint="eastAsia" w:ascii="仿宋_GB2312" w:hAnsi="仿宋" w:eastAsia="仿宋_GB2312"/>
          <w:sz w:val="30"/>
          <w:szCs w:val="30"/>
        </w:rPr>
      </w:pPr>
      <w:r>
        <w:rPr>
          <w:rFonts w:hint="eastAsia" w:ascii="仿宋_GB2312" w:hAnsi="仿宋" w:eastAsia="仿宋_GB2312"/>
          <w:sz w:val="30"/>
          <w:szCs w:val="30"/>
        </w:rPr>
        <w:t>殡仪馆殡葬新建工程2555.31万元，其中：中央资金1700万元，市财政455.52万元，县财政399.79万元；用于殡仪馆殡葬新建工程。本项目支出资金1760.33万元，余额794.98万元。</w:t>
      </w:r>
      <w:r>
        <w:rPr>
          <w:rFonts w:hint="eastAsia" w:ascii="仿宋_GB2312" w:hAnsi="仿宋" w:eastAsia="仿宋_GB2312"/>
          <w:sz w:val="30"/>
          <w:szCs w:val="30"/>
        </w:rPr>
        <w:br w:type="textWrapping"/>
      </w:r>
      <w:r>
        <w:rPr>
          <w:rFonts w:hint="eastAsia" w:ascii="仿宋_GB2312" w:hAnsi="仿宋" w:eastAsia="仿宋_GB2312"/>
          <w:sz w:val="30"/>
          <w:szCs w:val="30"/>
        </w:rPr>
        <w:t xml:space="preserve">   3、项目经费</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2020年，丰都县殡仪馆服务楼新建工程项目资金总补助资金2555.31万元。其中：中央资金1700万元，市财政455.52万元，县财政399.79万元，资金到位率100%。</w:t>
      </w:r>
    </w:p>
    <w:p>
      <w:pPr>
        <w:spacing w:line="560" w:lineRule="exact"/>
        <w:ind w:firstLine="600" w:firstLineChars="200"/>
        <w:rPr>
          <w:rFonts w:hint="eastAsia" w:ascii="楷体_GB2312" w:hAnsi="仿宋" w:eastAsia="楷体_GB2312"/>
          <w:sz w:val="30"/>
          <w:szCs w:val="30"/>
        </w:rPr>
      </w:pPr>
      <w:r>
        <w:rPr>
          <w:rFonts w:hint="eastAsia" w:ascii="楷体_GB2312" w:hAnsi="仿宋" w:eastAsia="楷体_GB2312"/>
          <w:sz w:val="30"/>
          <w:szCs w:val="30"/>
        </w:rPr>
        <w:t>（二）项目绩效目标</w:t>
      </w:r>
    </w:p>
    <w:p>
      <w:pPr>
        <w:pStyle w:val="8"/>
        <w:topLinePunct/>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殡仪馆殡葬新建工程。绩效总目标是建成占地6667平方，总建筑面积7200平方，其中火花流水服务车间800平方，骨灰堂800平方，治丧大厅5600平方，主要建设内容包括土建、装饰、道路、边坡、土石方及设备工程。由于缺乏资金，工程尚未完工。</w:t>
      </w:r>
    </w:p>
    <w:p>
      <w:pPr>
        <w:numPr>
          <w:ilvl w:val="0"/>
          <w:numId w:val="2"/>
        </w:numPr>
        <w:spacing w:line="560" w:lineRule="exact"/>
        <w:ind w:firstLine="600" w:firstLineChars="200"/>
        <w:rPr>
          <w:rFonts w:hint="eastAsia" w:ascii="黑体" w:hAnsi="仿宋" w:eastAsia="黑体"/>
          <w:sz w:val="30"/>
          <w:szCs w:val="30"/>
        </w:rPr>
      </w:pPr>
      <w:r>
        <w:rPr>
          <w:rFonts w:hint="eastAsia" w:ascii="黑体" w:hAnsi="黑体" w:eastAsia="黑体"/>
          <w:sz w:val="30"/>
          <w:szCs w:val="30"/>
        </w:rPr>
        <w:t>项目绩效评价工作情况</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2020年2月20日，成立殡仪馆项目绩效评价工作组，负责绩效自评工作，工作组的主要成员及职责如下：</w:t>
      </w:r>
    </w:p>
    <w:p>
      <w:pPr>
        <w:spacing w:line="560" w:lineRule="exact"/>
        <w:ind w:firstLine="600" w:firstLineChars="200"/>
        <w:rPr>
          <w:rFonts w:hint="eastAsia" w:ascii="楷体_GB2312" w:hAnsi="仿宋" w:eastAsia="楷体_GB2312"/>
          <w:sz w:val="30"/>
          <w:szCs w:val="30"/>
        </w:rPr>
      </w:pPr>
      <w:r>
        <w:rPr>
          <w:rFonts w:hint="eastAsia" w:ascii="楷体_GB2312" w:hAnsi="仿宋" w:eastAsia="楷体_GB2312"/>
          <w:sz w:val="30"/>
          <w:szCs w:val="30"/>
        </w:rPr>
        <w:t>1、工作组成员</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组  长：胡志涛</w:t>
      </w:r>
    </w:p>
    <w:p>
      <w:pPr>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rPr>
        <w:t>副组长：王国</w:t>
      </w:r>
      <w:r>
        <w:rPr>
          <w:rFonts w:hint="eastAsia" w:ascii="仿宋_GB2312" w:hAnsi="仿宋" w:eastAsia="仿宋_GB2312"/>
          <w:sz w:val="30"/>
          <w:szCs w:val="30"/>
          <w:lang w:eastAsia="zh-CN"/>
        </w:rPr>
        <w:t>斌</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成  员：李娟华、杨能益</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办公室设在财务室。</w:t>
      </w:r>
    </w:p>
    <w:p>
      <w:pPr>
        <w:spacing w:line="560" w:lineRule="exact"/>
        <w:ind w:firstLine="600" w:firstLineChars="200"/>
        <w:rPr>
          <w:rFonts w:hint="eastAsia" w:ascii="楷体_GB2312" w:hAnsi="仿宋" w:eastAsia="楷体_GB2312"/>
          <w:sz w:val="30"/>
          <w:szCs w:val="30"/>
        </w:rPr>
      </w:pPr>
      <w:r>
        <w:rPr>
          <w:rFonts w:hint="eastAsia" w:ascii="楷体_GB2312" w:hAnsi="仿宋" w:eastAsia="楷体_GB2312"/>
          <w:sz w:val="30"/>
          <w:szCs w:val="30"/>
        </w:rPr>
        <w:t>2、工作职责</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（1）组长职责：审批绩效自评方案，监督、检查、核实绩效自评结果。</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（2）副组长职责：审核修改拟定的绩效自评方案，并提交考评工作组会议讨论通过；监督、部署、确认绩效自评过程及反馈意见的处理。</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60" w:lineRule="exact"/>
        <w:ind w:firstLine="600" w:firstLineChars="200"/>
        <w:rPr>
          <w:rFonts w:hint="eastAsia" w:ascii="仿宋_GB2312" w:eastAsia="仿宋_GB2312"/>
          <w:b/>
          <w:sz w:val="30"/>
          <w:szCs w:val="30"/>
        </w:rPr>
      </w:pPr>
      <w:r>
        <w:rPr>
          <w:rFonts w:hint="eastAsia" w:ascii="仿宋_GB2312" w:hAnsi="仿宋" w:eastAsia="仿宋_GB2312"/>
          <w:sz w:val="30"/>
          <w:szCs w:val="30"/>
        </w:rPr>
        <w:t>2021年2月22日，考评工作组按照项目批复文件、合同条款、项目设计概算等，开展自评检查工作，对项目整体实施情况和质量进行评定，核实资金拨付情况等。</w:t>
      </w:r>
    </w:p>
    <w:p>
      <w:pPr>
        <w:spacing w:line="560" w:lineRule="exact"/>
        <w:ind w:firstLine="600" w:firstLineChars="200"/>
        <w:rPr>
          <w:rFonts w:hint="eastAsia" w:ascii="楷体_GB2312" w:hAnsi="仿宋" w:eastAsia="楷体_GB2312"/>
          <w:sz w:val="30"/>
          <w:szCs w:val="30"/>
        </w:rPr>
      </w:pPr>
      <w:r>
        <w:rPr>
          <w:rFonts w:hint="eastAsia" w:ascii="楷体_GB2312" w:hAnsi="仿宋" w:eastAsia="楷体_GB2312"/>
          <w:sz w:val="30"/>
          <w:szCs w:val="30"/>
        </w:rPr>
        <w:t>3、工作进展</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本次绩效评价工作分为三个阶段：</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第一个阶段为评价准备阶段，考评工作组与中介机构沟通项目基本情况，梳理和研读了国家层面、市级层面、县级层面与本次评价项目有关的政策文件，获取项目资料。</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第二个阶段为实施评价阶段，中介机构于2021年2月22日至3月1日开展评价实施。取得殡仪馆评价项目的进度和资金筹集支出情况等资料，通过研读与搭建指标体系进行评价，并进行报告撰写。</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第三个阶段为评价完成阶段，2021年3月3日至3月11日，考评工作组对自评表与绩效评价初稿进行审核，按照项目文件、资金拨付资料，开展自评检查工作，对项目整体实施情况和质量进行评定。提出修改意见并与中介机构沟通，形成绩效报告。</w:t>
      </w:r>
    </w:p>
    <w:p>
      <w:pPr>
        <w:spacing w:line="560" w:lineRule="exact"/>
        <w:ind w:firstLine="600" w:firstLineChars="200"/>
        <w:rPr>
          <w:rFonts w:hint="eastAsia" w:ascii="楷体_GB2312" w:hAnsi="仿宋" w:eastAsia="楷体_GB2312"/>
          <w:sz w:val="30"/>
          <w:szCs w:val="30"/>
        </w:rPr>
      </w:pPr>
      <w:r>
        <w:rPr>
          <w:rFonts w:hint="eastAsia" w:ascii="黑体" w:hAnsi="黑体" w:eastAsia="黑体"/>
          <w:sz w:val="30"/>
          <w:szCs w:val="30"/>
        </w:rPr>
        <w:t>三、绩效分析及评价结论</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评价工作组通过资料收集分析、指标体系搭建等方式，对丰都县殡仪馆四大项目进行综合绩效评分。单个项目绩效指标分值为100分，其中投入20分，管理20分，产出与效益60分。</w:t>
      </w:r>
      <w:r>
        <w:rPr>
          <w:rFonts w:hint="eastAsia" w:ascii="仿宋_GB2312" w:hAnsi="仿宋" w:eastAsia="仿宋_GB2312"/>
          <w:sz w:val="30"/>
          <w:szCs w:val="30"/>
        </w:rPr>
        <w:br w:type="textWrapping"/>
      </w:r>
      <w:r>
        <w:rPr>
          <w:rFonts w:hint="eastAsia" w:ascii="仿宋_GB2312" w:hAnsi="仿宋" w:eastAsia="仿宋_GB2312"/>
          <w:sz w:val="30"/>
          <w:szCs w:val="30"/>
        </w:rPr>
        <w:t>殡仪馆服务楼新建工程绩效总得分91分，绩效评级为</w:t>
      </w:r>
      <w:r>
        <w:rPr>
          <w:rFonts w:hint="eastAsia" w:ascii="仿宋" w:hAnsi="仿宋" w:eastAsia="仿宋"/>
          <w:sz w:val="30"/>
          <w:szCs w:val="30"/>
        </w:rPr>
        <w:t>“</w:t>
      </w:r>
      <w:r>
        <w:rPr>
          <w:rFonts w:hint="eastAsia" w:ascii="仿宋_GB2312" w:hAnsi="仿宋" w:eastAsia="仿宋_GB2312"/>
          <w:sz w:val="30"/>
          <w:szCs w:val="30"/>
        </w:rPr>
        <w:t>优</w:t>
      </w:r>
      <w:r>
        <w:rPr>
          <w:rFonts w:hint="eastAsia" w:ascii="仿宋" w:hAnsi="仿宋" w:eastAsia="仿宋"/>
          <w:sz w:val="30"/>
          <w:szCs w:val="30"/>
        </w:rPr>
        <w:t>”</w:t>
      </w:r>
      <w:r>
        <w:rPr>
          <w:rFonts w:hint="eastAsia" w:ascii="仿宋_GB2312" w:hAnsi="仿宋" w:eastAsia="仿宋_GB2312"/>
          <w:sz w:val="30"/>
          <w:szCs w:val="30"/>
        </w:rPr>
        <w:t>。</w:t>
      </w:r>
    </w:p>
    <w:p>
      <w:pPr>
        <w:topLinePunct/>
        <w:ind w:firstLine="480" w:firstLineChars="200"/>
        <w:jc w:val="center"/>
        <w:rPr>
          <w:rFonts w:hint="eastAsia"/>
        </w:rPr>
      </w:pPr>
      <w:r>
        <w:rPr>
          <w:rFonts w:ascii="方正仿宋_GBK" w:hAnsi="方正仿宋_GBK"/>
          <w:bCs/>
        </w:rPr>
        <w:t>绩效项目得分表</w:t>
      </w:r>
    </w:p>
    <w:tbl>
      <w:tblPr>
        <w:tblStyle w:val="15"/>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116"/>
        <w:gridCol w:w="1197"/>
        <w:gridCol w:w="1173"/>
        <w:gridCol w:w="1294"/>
        <w:gridCol w:w="1025"/>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序号</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项目</w:t>
            </w: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投入</w:t>
            </w:r>
          </w:p>
          <w:p>
            <w:pPr>
              <w:widowControl/>
              <w:topLinePunct/>
              <w:spacing w:line="240" w:lineRule="atLeast"/>
              <w:jc w:val="center"/>
              <w:rPr>
                <w:rFonts w:ascii="方正仿宋_GBK" w:cs="Arial"/>
                <w:bCs/>
              </w:rPr>
            </w:pPr>
            <w:r>
              <w:rPr>
                <w:rFonts w:ascii="方正仿宋_GBK" w:hAnsi="方正仿宋_GBK"/>
                <w:bCs/>
              </w:rPr>
              <w:t>（</w:t>
            </w:r>
            <w:r>
              <w:rPr>
                <w:rFonts w:ascii="方正仿宋_GBK" w:hAnsi="方正仿宋_GBK" w:cs="Arial"/>
                <w:bCs/>
              </w:rPr>
              <w:t>20%）</w:t>
            </w: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管理</w:t>
            </w:r>
          </w:p>
          <w:p>
            <w:pPr>
              <w:widowControl/>
              <w:topLinePunct/>
              <w:spacing w:line="240" w:lineRule="atLeast"/>
              <w:jc w:val="center"/>
              <w:rPr>
                <w:rFonts w:ascii="方正仿宋_GBK" w:cs="Arial"/>
                <w:bCs/>
              </w:rPr>
            </w:pPr>
            <w:r>
              <w:rPr>
                <w:rFonts w:ascii="方正仿宋_GBK" w:hAnsi="方正仿宋_GBK"/>
                <w:bCs/>
              </w:rPr>
              <w:t>（</w:t>
            </w:r>
            <w:r>
              <w:rPr>
                <w:rFonts w:ascii="方正仿宋_GBK" w:hAnsi="方正仿宋_GBK" w:cs="Arial"/>
                <w:bCs/>
              </w:rPr>
              <w:t>20%）</w:t>
            </w: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产出与效益</w:t>
            </w:r>
            <w:r>
              <w:rPr>
                <w:rFonts w:ascii="方正仿宋_GBK" w:hAnsi="方正仿宋_GBK" w:cs="Arial"/>
                <w:bCs/>
              </w:rPr>
              <w:t xml:space="preserve"> （</w:t>
            </w:r>
            <w:r>
              <w:rPr>
                <w:rFonts w:ascii="方正仿宋_GBK" w:cs="Arial"/>
                <w:bCs/>
              </w:rPr>
              <w:t>60%）</w:t>
            </w: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总分</w:t>
            </w:r>
          </w:p>
          <w:p>
            <w:pPr>
              <w:widowControl/>
              <w:topLinePunct/>
              <w:spacing w:line="240" w:lineRule="atLeast"/>
              <w:jc w:val="center"/>
              <w:rPr>
                <w:rFonts w:ascii="方正仿宋_GBK" w:cs="Arial"/>
                <w:bCs/>
              </w:rPr>
            </w:pPr>
            <w:r>
              <w:rPr>
                <w:rFonts w:ascii="方正仿宋_GBK" w:hAnsi="方正仿宋_GBK"/>
                <w:bCs/>
              </w:rPr>
              <w:t>（</w:t>
            </w:r>
            <w:r>
              <w:rPr>
                <w:rFonts w:ascii="方正仿宋_GBK" w:hAnsi="方正仿宋_GBK" w:cs="Arial"/>
                <w:bCs/>
              </w:rPr>
              <w:t>100%）</w:t>
            </w: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绩效得分</w:t>
            </w:r>
          </w:p>
          <w:p>
            <w:pPr>
              <w:widowControl/>
              <w:topLinePunct/>
              <w:spacing w:line="240" w:lineRule="atLeast"/>
              <w:jc w:val="center"/>
              <w:rPr>
                <w:rFonts w:ascii="方正仿宋_GBK" w:cs="Arial"/>
                <w:bCs/>
              </w:rPr>
            </w:pPr>
            <w:r>
              <w:rPr>
                <w:rFonts w:ascii="方正仿宋_GBK" w:hAnsi="方正仿宋_GBK"/>
                <w:bCs/>
              </w:rPr>
              <w:t>（总分</w:t>
            </w:r>
            <w:r>
              <w:rPr>
                <w:rFonts w:ascii="方正仿宋_GBK" w:hAnsi="方正仿宋_GBK" w:cs="Arial"/>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1</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殡仪馆服务楼新建工程</w:t>
            </w:r>
            <w:r>
              <w:rPr>
                <w:rFonts w:ascii="方正仿宋_GBK" w:hAnsi="方正仿宋_GBK" w:cs="Arial"/>
                <w:bCs/>
              </w:rPr>
              <w:t xml:space="preserve"> </w:t>
            </w:r>
            <w:r>
              <w:rPr>
                <w:rFonts w:ascii="方正仿宋_GBK" w:hAnsi="方正仿宋_GBK"/>
                <w:bCs/>
              </w:rPr>
              <w:t xml:space="preserve"> </w:t>
            </w: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20</w:t>
            </w: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20</w:t>
            </w: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5</w:t>
            </w:r>
            <w:r>
              <w:rPr>
                <w:rFonts w:ascii="方正仿宋_GBK" w:hAnsi="方正仿宋_GBK"/>
                <w:bCs/>
                <w:color w:val="FF0000"/>
              </w:rPr>
              <w:t>1</w:t>
            </w: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91</w:t>
            </w: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3</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4</w:t>
            </w: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left"/>
              <w:rPr>
                <w:rFonts w:ascii="方正仿宋_GBK" w:cs="Arial"/>
                <w:bCs/>
              </w:rPr>
            </w:pP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left"/>
              <w:rPr>
                <w:rFonts w:ascii="方正仿宋_GBK" w:cs="Arial"/>
                <w:bCs/>
                <w:color w:val="FF0000"/>
              </w:rPr>
            </w:pP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2116"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color w:val="FF0000"/>
              </w:rPr>
            </w:pP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color w:val="FF0000"/>
              </w:rPr>
            </w:pP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合计</w:t>
            </w:r>
          </w:p>
        </w:tc>
        <w:tc>
          <w:tcPr>
            <w:tcW w:w="1197"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20</w:t>
            </w:r>
          </w:p>
        </w:tc>
        <w:tc>
          <w:tcPr>
            <w:tcW w:w="1173"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20</w:t>
            </w:r>
          </w:p>
        </w:tc>
        <w:tc>
          <w:tcPr>
            <w:tcW w:w="1294"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51</w:t>
            </w:r>
          </w:p>
        </w:tc>
        <w:tc>
          <w:tcPr>
            <w:tcW w:w="1025"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rPr>
            </w:pPr>
            <w:r>
              <w:rPr>
                <w:rFonts w:ascii="方正仿宋_GBK" w:hAnsi="方正仿宋_GBK"/>
                <w:bCs/>
              </w:rPr>
              <w:t>91</w:t>
            </w:r>
          </w:p>
        </w:tc>
        <w:tc>
          <w:tcPr>
            <w:tcW w:w="1589" w:type="dxa"/>
            <w:tcBorders>
              <w:top w:val="single" w:color="auto" w:sz="4" w:space="0"/>
              <w:left w:val="nil"/>
              <w:bottom w:val="single" w:color="auto" w:sz="4" w:space="0"/>
              <w:right w:val="single" w:color="auto" w:sz="4" w:space="0"/>
            </w:tcBorders>
            <w:vAlign w:val="center"/>
          </w:tcPr>
          <w:p>
            <w:pPr>
              <w:widowControl/>
              <w:topLinePunct/>
              <w:spacing w:line="240" w:lineRule="atLeast"/>
              <w:jc w:val="center"/>
              <w:rPr>
                <w:rFonts w:ascii="方正仿宋_GBK" w:cs="Arial"/>
                <w:bCs/>
                <w:color w:val="FF0000"/>
              </w:rPr>
            </w:pPr>
            <w:r>
              <w:rPr>
                <w:rFonts w:ascii="方正仿宋_GBK" w:hAnsi="方正仿宋_GBK"/>
                <w:bCs/>
                <w:color w:val="FF0000"/>
              </w:rPr>
              <w:t>18.2</w:t>
            </w:r>
          </w:p>
        </w:tc>
      </w:tr>
    </w:tbl>
    <w:p>
      <w:pPr>
        <w:spacing w:line="560" w:lineRule="exact"/>
        <w:ind w:firstLine="600" w:firstLineChars="200"/>
        <w:rPr>
          <w:rFonts w:hint="eastAsia" w:ascii="楷体_GB2312" w:hAnsi="仿宋" w:eastAsia="楷体_GB2312"/>
          <w:sz w:val="30"/>
          <w:szCs w:val="30"/>
        </w:rPr>
      </w:pPr>
      <w:r>
        <w:rPr>
          <w:rFonts w:hint="eastAsia" w:ascii="楷体_GB2312" w:hAnsi="仿宋" w:eastAsia="楷体_GB2312"/>
          <w:sz w:val="30"/>
          <w:szCs w:val="30"/>
        </w:rPr>
        <w:t>（一）投入</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投入类指标从殡仪馆殡葬服务楼新建工程，指标分值20分，得分20分。指标的得分情况如下表所示。</w:t>
      </w:r>
    </w:p>
    <w:p>
      <w:pPr>
        <w:topLinePunct/>
        <w:ind w:firstLine="480" w:firstLineChars="200"/>
        <w:jc w:val="center"/>
        <w:rPr>
          <w:rFonts w:hint="eastAsia"/>
          <w:bCs/>
        </w:rPr>
      </w:pPr>
      <w:r>
        <w:rPr>
          <w:rFonts w:ascii="方正仿宋_GBK" w:hAnsi="方正仿宋_GBK"/>
          <w:bCs/>
        </w:rPr>
        <w:t>投入类指标分值表</w:t>
      </w:r>
    </w:p>
    <w:tbl>
      <w:tblPr>
        <w:tblStyle w:val="14"/>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34"/>
        <w:gridCol w:w="2108"/>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序号</w:t>
            </w:r>
          </w:p>
        </w:tc>
        <w:tc>
          <w:tcPr>
            <w:tcW w:w="343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项目</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分值</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1</w:t>
            </w:r>
          </w:p>
        </w:tc>
        <w:tc>
          <w:tcPr>
            <w:tcW w:w="3434" w:type="dxa"/>
            <w:tcBorders>
              <w:top w:val="single" w:color="auto" w:sz="4" w:space="0"/>
              <w:left w:val="nil"/>
              <w:bottom w:val="single" w:color="auto" w:sz="4" w:space="0"/>
              <w:right w:val="single" w:color="auto" w:sz="4" w:space="0"/>
            </w:tcBorders>
            <w:vAlign w:val="center"/>
          </w:tcPr>
          <w:p>
            <w:pPr>
              <w:topLinePunct/>
              <w:spacing w:line="240" w:lineRule="atLeast"/>
              <w:jc w:val="center"/>
              <w:rPr>
                <w:rFonts w:ascii="方正仿宋_GBK" w:cs="Arial"/>
                <w:bCs/>
              </w:rPr>
            </w:pPr>
            <w:r>
              <w:rPr>
                <w:rFonts w:ascii="方正仿宋_GBK" w:hAnsi="方正仿宋_GBK"/>
                <w:bCs/>
              </w:rPr>
              <w:t>殡仪馆服务楼新建工程</w:t>
            </w:r>
            <w:r>
              <w:rPr>
                <w:rFonts w:ascii="方正仿宋_GBK" w:hAnsi="方正仿宋_GBK" w:cs="Arial"/>
                <w:bCs/>
              </w:rPr>
              <w:t xml:space="preserve"> </w:t>
            </w:r>
            <w:r>
              <w:rPr>
                <w:rFonts w:ascii="方正仿宋_GBK" w:hAnsi="方正仿宋_GBK"/>
                <w:bCs/>
              </w:rPr>
              <w:t xml:space="preserve"> </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20</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3</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4</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6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合计</w:t>
            </w: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20</w:t>
            </w: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20</w:t>
            </w:r>
          </w:p>
        </w:tc>
      </w:tr>
    </w:tbl>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投入类指标从项目立项、预算执行率、资金到位率进行考核。</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殡仪馆服务楼新建工程项目申请批复文件完整，工程类项目前期审查、审批程序严格，验收及审计档案资料完整。2020年度，丰都县馆殡仪馆服务楼新建工程项目资金总补助资金2555.31万元。其中：中央资金1700万元，市财政455.52万元，县财政399.79万元，根据评分细则，投入类指标满分20分，得分20分。</w:t>
      </w:r>
    </w:p>
    <w:p>
      <w:pPr>
        <w:spacing w:line="560" w:lineRule="exact"/>
        <w:ind w:firstLine="600" w:firstLineChars="200"/>
        <w:rPr>
          <w:rFonts w:hint="eastAsia"/>
          <w:sz w:val="30"/>
          <w:szCs w:val="30"/>
        </w:rPr>
      </w:pPr>
      <w:r>
        <w:rPr>
          <w:rFonts w:hint="eastAsia" w:ascii="楷体_GB2312" w:hAnsi="仿宋" w:eastAsia="楷体_GB2312"/>
          <w:sz w:val="30"/>
          <w:szCs w:val="30"/>
        </w:rPr>
        <w:t>（二）管理</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管理类指标从殡仪馆服务楼新建工程项目进行考核。指标分值20分，得分20分。指标的得分情况如下表所示。</w:t>
      </w:r>
    </w:p>
    <w:p>
      <w:pPr>
        <w:topLinePunct/>
        <w:ind w:firstLine="600" w:firstLineChars="200"/>
        <w:jc w:val="center"/>
        <w:rPr>
          <w:rFonts w:hint="eastAsia" w:ascii="方正仿宋_GBK" w:cs="Arial"/>
          <w:bCs/>
          <w:sz w:val="30"/>
          <w:szCs w:val="30"/>
        </w:rPr>
      </w:pPr>
      <w:r>
        <w:rPr>
          <w:rFonts w:ascii="方正仿宋_GBK" w:hAnsi="方正仿宋_GBK"/>
          <w:bCs/>
          <w:sz w:val="30"/>
          <w:szCs w:val="30"/>
        </w:rPr>
        <w:t>管理类指标分值表</w:t>
      </w:r>
    </w:p>
    <w:tbl>
      <w:tblPr>
        <w:tblStyle w:val="14"/>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34"/>
        <w:gridCol w:w="2108"/>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序号</w:t>
            </w:r>
          </w:p>
        </w:tc>
        <w:tc>
          <w:tcPr>
            <w:tcW w:w="343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项目</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分值</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1</w:t>
            </w:r>
          </w:p>
        </w:tc>
        <w:tc>
          <w:tcPr>
            <w:tcW w:w="3434" w:type="dxa"/>
            <w:tcBorders>
              <w:top w:val="single" w:color="auto" w:sz="4" w:space="0"/>
              <w:left w:val="nil"/>
              <w:bottom w:val="single" w:color="auto" w:sz="4" w:space="0"/>
              <w:right w:val="single" w:color="auto" w:sz="4" w:space="0"/>
            </w:tcBorders>
            <w:vAlign w:val="center"/>
          </w:tcPr>
          <w:p>
            <w:pPr>
              <w:topLinePunct/>
              <w:spacing w:line="240" w:lineRule="atLeast"/>
              <w:jc w:val="center"/>
              <w:rPr>
                <w:rFonts w:ascii="方正仿宋_GBK" w:cs="Arial"/>
                <w:bCs/>
              </w:rPr>
            </w:pPr>
            <w:r>
              <w:rPr>
                <w:rFonts w:hint="eastAsia" w:ascii="仿宋_GB2312" w:hAnsi="仿宋" w:eastAsia="仿宋_GB2312"/>
              </w:rPr>
              <w:t>殡仪馆服务楼新建工程项目</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20</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3</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6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合计</w:t>
            </w: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20</w:t>
            </w: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20</w:t>
            </w:r>
          </w:p>
        </w:tc>
      </w:tr>
    </w:tbl>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管理类指标从业务制度完整性、财务制度完整性进行考核。</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丰都县殡仪馆管理制度比较健全。对于建设项目，殡仪馆建立了《基本建设项目内部控制制度》，涵盖项目立项管理、招标与合同管理、项目实施管理、竣工验收与决算(结算)管理、修缮与维修管理、资金与财务管理、信息与档案管理等方面。</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对于资金管理，殡仪馆建立了《专项资金管理办法》，在实际运行中，殡仪馆按制度执行。</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根据评分细则，管理类指标满分20分，得分20分。</w:t>
      </w:r>
    </w:p>
    <w:p>
      <w:pPr>
        <w:spacing w:line="560" w:lineRule="exact"/>
        <w:ind w:firstLine="600" w:firstLineChars="200"/>
        <w:rPr>
          <w:rFonts w:hint="eastAsia" w:eastAsia="楷体_GB2312"/>
          <w:sz w:val="30"/>
          <w:szCs w:val="30"/>
        </w:rPr>
      </w:pPr>
      <w:r>
        <w:rPr>
          <w:rFonts w:hint="eastAsia" w:ascii="楷体_GB2312" w:hAnsi="仿宋" w:eastAsia="楷体_GB2312"/>
          <w:sz w:val="30"/>
          <w:szCs w:val="30"/>
        </w:rPr>
        <w:t>（三）产出与效益</w:t>
      </w:r>
    </w:p>
    <w:p>
      <w:pPr>
        <w:pStyle w:val="8"/>
        <w:topLinePunct/>
        <w:spacing w:line="560" w:lineRule="atLeast"/>
        <w:ind w:firstLine="600" w:firstLineChars="200"/>
        <w:rPr>
          <w:rFonts w:hint="eastAsia" w:ascii="仿宋_GB2312" w:hAnsi="仿宋" w:eastAsia="仿宋_GB2312"/>
          <w:sz w:val="30"/>
          <w:szCs w:val="30"/>
        </w:rPr>
      </w:pPr>
      <w:r>
        <w:rPr>
          <w:rFonts w:hint="eastAsia" w:ascii="仿宋_GB2312" w:hAnsi="仿宋" w:eastAsia="仿宋_GB2312"/>
          <w:sz w:val="30"/>
          <w:szCs w:val="30"/>
        </w:rPr>
        <w:t>产出与效益类指标从殡仪馆服务楼新建工程项目进行考核。指标分值合计60分，得分51分。指标的得分情况如下表所示。</w:t>
      </w:r>
    </w:p>
    <w:p>
      <w:pPr>
        <w:topLinePunct/>
        <w:ind w:firstLine="480" w:firstLineChars="200"/>
        <w:jc w:val="center"/>
        <w:rPr>
          <w:rFonts w:hint="eastAsia" w:ascii="仿宋_GB2312" w:hAnsi="仿宋" w:eastAsia="仿宋_GB2312"/>
        </w:rPr>
      </w:pPr>
      <w:r>
        <w:rPr>
          <w:rFonts w:ascii="方正仿宋_GBK" w:hAnsi="方正仿宋_GBK"/>
          <w:bCs/>
        </w:rPr>
        <w:t>产出与效益类指标分值表</w:t>
      </w:r>
    </w:p>
    <w:tbl>
      <w:tblPr>
        <w:tblStyle w:val="14"/>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34"/>
        <w:gridCol w:w="2108"/>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序号</w:t>
            </w:r>
          </w:p>
        </w:tc>
        <w:tc>
          <w:tcPr>
            <w:tcW w:w="343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项目</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分值</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1</w:t>
            </w:r>
          </w:p>
        </w:tc>
        <w:tc>
          <w:tcPr>
            <w:tcW w:w="3434" w:type="dxa"/>
            <w:tcBorders>
              <w:top w:val="single" w:color="auto" w:sz="4" w:space="0"/>
              <w:left w:val="nil"/>
              <w:bottom w:val="single" w:color="auto" w:sz="4" w:space="0"/>
              <w:right w:val="single" w:color="auto" w:sz="4" w:space="0"/>
            </w:tcBorders>
            <w:vAlign w:val="center"/>
          </w:tcPr>
          <w:p>
            <w:pPr>
              <w:topLinePunct/>
              <w:spacing w:line="240" w:lineRule="atLeast"/>
              <w:jc w:val="center"/>
              <w:rPr>
                <w:rFonts w:ascii="方正仿宋_GBK" w:cs="Arial"/>
                <w:bCs/>
              </w:rPr>
            </w:pPr>
            <w:r>
              <w:rPr>
                <w:rFonts w:ascii="方正仿宋_GBK" w:hAnsi="方正仿宋_GBK"/>
                <w:bCs/>
              </w:rPr>
              <w:t>殡仪馆服务楼新建工程</w:t>
            </w:r>
            <w:r>
              <w:rPr>
                <w:rFonts w:ascii="方正仿宋_GBK" w:hAnsi="方正仿宋_GBK" w:cs="Arial"/>
                <w:bCs/>
              </w:rPr>
              <w:t xml:space="preserve"> </w:t>
            </w:r>
            <w:r>
              <w:rPr>
                <w:rFonts w:ascii="方正仿宋_GBK" w:hAnsi="方正仿宋_GBK"/>
                <w:bCs/>
              </w:rPr>
              <w:t xml:space="preserve"> </w:t>
            </w:r>
          </w:p>
        </w:tc>
        <w:tc>
          <w:tcPr>
            <w:tcW w:w="2108"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60</w:t>
            </w:r>
          </w:p>
        </w:tc>
        <w:tc>
          <w:tcPr>
            <w:tcW w:w="2114" w:type="dxa"/>
            <w:tcBorders>
              <w:top w:val="single" w:color="auto" w:sz="4" w:space="0"/>
              <w:left w:val="nil"/>
              <w:bottom w:val="single" w:color="auto" w:sz="4" w:space="0"/>
              <w:right w:val="single" w:color="auto" w:sz="4" w:space="0"/>
            </w:tcBorders>
            <w:vAlign w:val="center"/>
          </w:tcPr>
          <w:p>
            <w:pPr>
              <w:topLinePunct/>
              <w:jc w:val="center"/>
              <w:rPr>
                <w:rFonts w:ascii="方正仿宋_GBK" w:cs="Arial"/>
                <w:bCs/>
              </w:rPr>
            </w:pPr>
            <w:r>
              <w:rPr>
                <w:rFonts w:ascii="方正仿宋_GBK" w:hAnsi="方正仿宋_GBK"/>
                <w:bCs/>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2</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3</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4</w:t>
            </w: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3434" w:type="dxa"/>
            <w:tcBorders>
              <w:top w:val="single" w:color="auto" w:sz="4" w:space="0"/>
              <w:left w:val="nil"/>
              <w:bottom w:val="single" w:color="auto" w:sz="4" w:space="0"/>
              <w:right w:val="single" w:color="auto" w:sz="4" w:space="0"/>
            </w:tcBorders>
            <w:shd w:val="clear" w:color="auto" w:fill="FFFFFF"/>
            <w:vAlign w:val="center"/>
          </w:tcPr>
          <w:p>
            <w:pPr>
              <w:topLinePunct/>
              <w:spacing w:line="240" w:lineRule="atLeast"/>
              <w:jc w:val="center"/>
              <w:rPr>
                <w:rFonts w:ascii="方正仿宋_GBK" w:cs="Arial"/>
                <w:bCs/>
              </w:rPr>
            </w:pP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6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合计</w:t>
            </w:r>
          </w:p>
        </w:tc>
        <w:tc>
          <w:tcPr>
            <w:tcW w:w="2108"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60</w:t>
            </w:r>
          </w:p>
        </w:tc>
        <w:tc>
          <w:tcPr>
            <w:tcW w:w="2114" w:type="dxa"/>
            <w:tcBorders>
              <w:top w:val="single" w:color="auto" w:sz="4" w:space="0"/>
              <w:left w:val="nil"/>
              <w:bottom w:val="single" w:color="auto" w:sz="4" w:space="0"/>
              <w:right w:val="single" w:color="auto" w:sz="4" w:space="0"/>
            </w:tcBorders>
            <w:shd w:val="clear" w:color="auto" w:fill="FFFFFF"/>
            <w:vAlign w:val="center"/>
          </w:tcPr>
          <w:p>
            <w:pPr>
              <w:topLinePunct/>
              <w:jc w:val="center"/>
              <w:rPr>
                <w:rFonts w:ascii="方正仿宋_GBK" w:cs="Arial"/>
                <w:bCs/>
              </w:rPr>
            </w:pPr>
            <w:r>
              <w:rPr>
                <w:rFonts w:ascii="方正仿宋_GBK" w:hAnsi="方正仿宋_GBK"/>
                <w:bCs/>
              </w:rPr>
              <w:t>51</w:t>
            </w:r>
          </w:p>
        </w:tc>
      </w:tr>
    </w:tbl>
    <w:p>
      <w:pPr>
        <w:autoSpaceDE w:val="0"/>
        <w:autoSpaceDN w:val="0"/>
        <w:adjustRightInd w:val="0"/>
        <w:spacing w:line="560" w:lineRule="atLeast"/>
        <w:ind w:firstLine="600" w:firstLineChars="200"/>
        <w:rPr>
          <w:rFonts w:hint="eastAsia" w:cs="Arial"/>
          <w:sz w:val="30"/>
          <w:szCs w:val="30"/>
        </w:rPr>
      </w:pPr>
      <w:r>
        <w:rPr>
          <w:rFonts w:hint="eastAsia"/>
          <w:sz w:val="30"/>
          <w:szCs w:val="30"/>
        </w:rPr>
        <w:t>四、问题</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今年以来,在县财政领导的关心和支持下,我馆整体工作较以往有所进步,也取得了一定的成绩,但仍存在一定的问题,离上级要求还存在一定差距。</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1、财务人员队伍素质有待提高,工作有待进一步细化。</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2、规章制度需进一步完善,管理需进一步规范。</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3、由于殡仪馆是特殊行业 ,工作内容特殊、职业风险大、存在社会歧视等原因,无法招聘到高素质的专业人员,更无法留住优秀人才,导致一线骨干极为缺乏,技术力量薄弱。</w:t>
      </w:r>
    </w:p>
    <w:p>
      <w:pPr>
        <w:topLinePunct/>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五、改进措施</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针对上述存在的问题,为进一步做好单位的财务工作,严格按照预算编制的相关制度和要求进行预算的编制,编制范围尽可能的全面、不漏项,进一步提高预算编制的科学性、合理性、严谨性和可控性。主要做好如下改进工作:</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(一)规范账务管理,提高财务信息质量</w:t>
      </w:r>
      <w:r>
        <w:rPr>
          <w:rFonts w:hint="eastAsia" w:ascii="仿宋" w:hAnsi="仿宋" w:eastAsia="仿宋"/>
          <w:sz w:val="30"/>
          <w:szCs w:val="30"/>
        </w:rPr>
        <w:t xml:space="preserve"> </w:t>
      </w:r>
      <w:r>
        <w:rPr>
          <w:rFonts w:hint="eastAsia" w:ascii="仿宋_GB2312" w:hAnsi="仿宋" w:eastAsia="仿宋_GB2312"/>
          <w:sz w:val="30"/>
          <w:szCs w:val="30"/>
        </w:rPr>
        <w:t>。</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严格按照《会计法》、《行政单位会计制度》、《行政单位财务规则》等规定执行财务核算,并结合实际情况,完整、准确地披露相关信息,加强预决算工作,做到决算与预算相衔接。</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(二)落实管理制度,进一步加强资产管理。</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加强往来款项的管理,按月对帐,固定资产按时盘点,加强资金使用效率和保证资产安全。</w:t>
      </w:r>
      <w:r>
        <w:rPr>
          <w:rFonts w:hint="eastAsia" w:ascii="仿宋" w:hAnsi="仿宋" w:eastAsia="仿宋"/>
          <w:sz w:val="30"/>
          <w:szCs w:val="30"/>
        </w:rPr>
        <w:t xml:space="preserve"> </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(三)加大资金投入,建立长效机制。</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我国即将步入老龄化社会,为保障殡葬事业健康有序发展,殡仪馆所需经费,应列入财政全额拨款预算,并建立动态保障机制。各级政府应将殡葬事业纳入国民经济和社会发展计划,逐步增加对殡葬福利事业的投入,加强基础设施建设,支持和鼓励社会力量多形式、多渠道投入,积极引导社会各界参与殡葬福利事业的建设,使殡葬福利事业与经济、社会协调发展。</w:t>
      </w:r>
    </w:p>
    <w:p>
      <w:pPr>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(四)完善队伍建设,提升管理、服务水平。</w:t>
      </w:r>
    </w:p>
    <w:p>
      <w:pPr>
        <w:pStyle w:val="24"/>
        <w:spacing w:before="0" w:beforeAutospacing="0"/>
        <w:rPr>
          <w:rFonts w:hint="eastAsia"/>
        </w:rPr>
      </w:pPr>
      <w:r>
        <w:rPr>
          <w:rStyle w:val="32"/>
          <w:rFonts w:hint="eastAsia" w:ascii="宋体" w:hAnsi="宋体"/>
          <w:sz w:val="36"/>
          <w:szCs w:val="36"/>
          <w:shd w:val="clear" w:color="auto" w:fill="FFFFFF"/>
        </w:rPr>
        <w:t>六、专业名词解释</w:t>
      </w:r>
    </w:p>
    <w:p>
      <w:pPr>
        <w:pStyle w:val="24"/>
        <w:spacing w:before="0" w:beforeAutospacing="0"/>
        <w:rPr>
          <w:rFonts w:hint="eastAsia"/>
        </w:rPr>
      </w:pPr>
      <w:r>
        <w:rPr>
          <w:rStyle w:val="32"/>
          <w:rFonts w:hint="eastAsia" w:ascii="宋体" w:hAnsi="宋体"/>
          <w:sz w:val="27"/>
          <w:szCs w:val="27"/>
          <w:shd w:val="clear" w:color="auto" w:fill="FFFFFF"/>
        </w:rPr>
        <w:t>（一）财政拨款收入</w:t>
      </w:r>
      <w:r>
        <w:rPr>
          <w:rFonts w:hint="eastAsia"/>
          <w:sz w:val="27"/>
          <w:szCs w:val="27"/>
          <w:shd w:val="clear" w:color="auto" w:fill="FFFFFF"/>
        </w:rPr>
        <w:t>：指本年度从本级财政部门取得的财政拨款，包括一般公共预算财政拨款和政府性基金预算财政拨款。</w:t>
      </w:r>
    </w:p>
    <w:p>
      <w:pPr>
        <w:pStyle w:val="24"/>
        <w:spacing w:before="0" w:beforeAutospacing="0"/>
        <w:rPr>
          <w:rFonts w:hint="eastAsia"/>
        </w:rPr>
      </w:pPr>
      <w:r>
        <w:rPr>
          <w:rStyle w:val="32"/>
          <w:rFonts w:hint="eastAsia" w:ascii="宋体" w:hAnsi="宋体"/>
          <w:sz w:val="27"/>
          <w:szCs w:val="27"/>
          <w:shd w:val="clear" w:color="auto" w:fill="FFFFFF"/>
        </w:rPr>
        <w:t>（二）事业收入</w:t>
      </w:r>
      <w:r>
        <w:rPr>
          <w:rFonts w:hint="eastAsia"/>
          <w:sz w:val="27"/>
          <w:szCs w:val="27"/>
          <w:shd w:val="clear" w:color="auto" w:fill="FFFFFF"/>
        </w:rPr>
        <w:t>：指事业单位开展专业业务活动及其辅助活动取得的现金流入；事业单位收到的财政专户实际核拨的教育收费等资金在此反映。</w:t>
      </w:r>
    </w:p>
    <w:p>
      <w:pPr>
        <w:pStyle w:val="24"/>
        <w:spacing w:before="0" w:beforeAutospacing="0"/>
        <w:rPr>
          <w:rFonts w:hint="eastAsia"/>
        </w:rPr>
      </w:pPr>
      <w:r>
        <w:rPr>
          <w:rStyle w:val="32"/>
          <w:rFonts w:hint="eastAsia" w:ascii="宋体" w:hAnsi="宋体"/>
          <w:sz w:val="27"/>
          <w:szCs w:val="27"/>
          <w:shd w:val="clear" w:color="auto" w:fill="FFFFFF"/>
        </w:rPr>
        <w:t>（三）经营收入</w:t>
      </w:r>
      <w:r>
        <w:rPr>
          <w:rFonts w:hint="eastAsia"/>
          <w:sz w:val="27"/>
          <w:szCs w:val="27"/>
          <w:shd w:val="clear" w:color="auto" w:fill="FFFFFF"/>
        </w:rPr>
        <w:t>：指事业单位在专业业务活动及其辅助活动之外开展非独立核算经营活动取得的现金流入。</w:t>
      </w:r>
    </w:p>
    <w:p>
      <w:pPr>
        <w:pStyle w:val="24"/>
        <w:spacing w:before="0" w:beforeAutospacing="0"/>
        <w:rPr>
          <w:rFonts w:hint="eastAsia"/>
        </w:rPr>
      </w:pPr>
      <w:r>
        <w:rPr>
          <w:rStyle w:val="32"/>
          <w:rFonts w:hint="eastAsia" w:ascii="宋体" w:hAnsi="宋体"/>
          <w:sz w:val="27"/>
          <w:szCs w:val="27"/>
          <w:shd w:val="clear" w:color="auto" w:fill="FFFFFF"/>
        </w:rPr>
        <w:t>（四）其他收入</w:t>
      </w:r>
      <w:r>
        <w:rPr>
          <w:rFonts w:hint="eastAsia"/>
          <w:sz w:val="27"/>
          <w:szCs w:val="27"/>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4"/>
        <w:spacing w:before="0" w:beforeAutospacing="0"/>
        <w:rPr>
          <w:rFonts w:hint="eastAsia"/>
        </w:rPr>
      </w:pPr>
      <w:r>
        <w:rPr>
          <w:rStyle w:val="32"/>
          <w:rFonts w:hint="eastAsia" w:ascii="宋体" w:hAnsi="宋体"/>
          <w:sz w:val="27"/>
          <w:szCs w:val="27"/>
          <w:shd w:val="clear" w:color="auto" w:fill="FFFFFF"/>
        </w:rPr>
        <w:t>（五）使用非财政拨款结余</w:t>
      </w:r>
      <w:r>
        <w:rPr>
          <w:rFonts w:hint="eastAsia"/>
          <w:sz w:val="27"/>
          <w:szCs w:val="27"/>
          <w:shd w:val="clear" w:color="auto" w:fill="FFFFFF"/>
        </w:rPr>
        <w:t>：指单位在当年的“财政拨款收入”“事业收入”“经营收入”“其他收入”等不足以安排当年支出的情况下，使用以前年度积累的非财政拨款结余弥补本年度收支缺口的资金。</w:t>
      </w:r>
    </w:p>
    <w:p>
      <w:pPr>
        <w:pStyle w:val="24"/>
        <w:spacing w:before="0" w:beforeAutospacing="0"/>
        <w:rPr>
          <w:rFonts w:hint="eastAsia"/>
        </w:rPr>
      </w:pPr>
      <w:r>
        <w:rPr>
          <w:rStyle w:val="32"/>
          <w:rFonts w:hint="eastAsia" w:ascii="宋体" w:hAnsi="宋体"/>
          <w:sz w:val="27"/>
          <w:szCs w:val="27"/>
          <w:shd w:val="clear" w:color="auto" w:fill="FFFFFF"/>
        </w:rPr>
        <w:t>（六）年初结转和结余</w:t>
      </w:r>
      <w:r>
        <w:rPr>
          <w:rFonts w:hint="eastAsia"/>
          <w:sz w:val="27"/>
          <w:szCs w:val="27"/>
          <w:shd w:val="clear" w:color="auto" w:fill="FFFFFF"/>
        </w:rPr>
        <w:t>：指单位上年结转本年使用的基本支出结转、项目支出结转和结余、经营结余。</w:t>
      </w:r>
    </w:p>
    <w:p>
      <w:pPr>
        <w:pStyle w:val="24"/>
        <w:spacing w:before="0" w:beforeAutospacing="0"/>
        <w:rPr>
          <w:rFonts w:hint="eastAsia"/>
        </w:rPr>
      </w:pPr>
      <w:r>
        <w:rPr>
          <w:rStyle w:val="32"/>
          <w:rFonts w:hint="eastAsia" w:ascii="宋体" w:hAnsi="宋体"/>
          <w:sz w:val="27"/>
          <w:szCs w:val="27"/>
          <w:shd w:val="clear" w:color="auto" w:fill="FFFFFF"/>
        </w:rPr>
        <w:t>（七）结余分配</w:t>
      </w:r>
      <w:r>
        <w:rPr>
          <w:rFonts w:hint="eastAsia"/>
          <w:sz w:val="27"/>
          <w:szCs w:val="27"/>
          <w:shd w:val="clear" w:color="auto" w:fill="FFFFFF"/>
        </w:rPr>
        <w:t>：指单位按照国家有关规定，缴纳所得税、提取专用基金、转入非财政拨款结余等当年结余的分配情况。</w:t>
      </w:r>
    </w:p>
    <w:p>
      <w:pPr>
        <w:pStyle w:val="24"/>
        <w:spacing w:before="0" w:beforeAutospacing="0"/>
        <w:rPr>
          <w:rFonts w:hint="eastAsia"/>
        </w:rPr>
      </w:pPr>
      <w:r>
        <w:rPr>
          <w:rStyle w:val="32"/>
          <w:rFonts w:hint="eastAsia" w:ascii="宋体" w:hAnsi="宋体"/>
          <w:sz w:val="27"/>
          <w:szCs w:val="27"/>
          <w:shd w:val="clear" w:color="auto" w:fill="FFFFFF"/>
        </w:rPr>
        <w:t>（八）年末结转和结余</w:t>
      </w:r>
      <w:r>
        <w:rPr>
          <w:rFonts w:hint="eastAsia"/>
          <w:sz w:val="27"/>
          <w:szCs w:val="27"/>
          <w:shd w:val="clear" w:color="auto" w:fill="FFFFFF"/>
        </w:rPr>
        <w:t>：指单位结转下年的基本支出结转、项目支出结转和结余、经营结余。</w:t>
      </w:r>
    </w:p>
    <w:p>
      <w:pPr>
        <w:pStyle w:val="24"/>
        <w:spacing w:before="0" w:beforeAutospacing="0"/>
        <w:rPr>
          <w:rFonts w:hint="eastAsia"/>
        </w:rPr>
      </w:pPr>
      <w:r>
        <w:rPr>
          <w:rStyle w:val="32"/>
          <w:rFonts w:hint="eastAsia" w:ascii="宋体" w:hAnsi="宋体"/>
          <w:sz w:val="27"/>
          <w:szCs w:val="27"/>
          <w:shd w:val="clear" w:color="auto" w:fill="FFFFFF"/>
        </w:rPr>
        <w:t>（九）基本支出</w:t>
      </w:r>
      <w:r>
        <w:rPr>
          <w:rFonts w:hint="eastAsia"/>
          <w:sz w:val="27"/>
          <w:szCs w:val="27"/>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4"/>
        <w:spacing w:before="0" w:beforeAutospacing="0"/>
        <w:rPr>
          <w:rFonts w:hint="eastAsia"/>
        </w:rPr>
      </w:pPr>
      <w:r>
        <w:rPr>
          <w:rStyle w:val="32"/>
          <w:rFonts w:hint="eastAsia" w:ascii="宋体" w:hAnsi="宋体"/>
          <w:sz w:val="27"/>
          <w:szCs w:val="27"/>
          <w:shd w:val="clear" w:color="auto" w:fill="FFFFFF"/>
        </w:rPr>
        <w:t>（十）项目支出</w:t>
      </w:r>
      <w:r>
        <w:rPr>
          <w:rFonts w:hint="eastAsia"/>
          <w:sz w:val="27"/>
          <w:szCs w:val="27"/>
          <w:shd w:val="clear" w:color="auto" w:fill="FFFFFF"/>
        </w:rPr>
        <w:t>：指在基本支出之外为完成特定行政任务和事业发展目标所发生的支出。</w:t>
      </w:r>
    </w:p>
    <w:p>
      <w:pPr>
        <w:pStyle w:val="24"/>
        <w:spacing w:before="0" w:beforeAutospacing="0"/>
        <w:rPr>
          <w:rFonts w:hint="eastAsia"/>
        </w:rPr>
      </w:pPr>
      <w:r>
        <w:rPr>
          <w:rStyle w:val="32"/>
          <w:rFonts w:hint="eastAsia" w:ascii="宋体" w:hAnsi="宋体"/>
          <w:sz w:val="27"/>
          <w:szCs w:val="27"/>
          <w:shd w:val="clear" w:color="auto" w:fill="FFFFFF"/>
        </w:rPr>
        <w:t>（十一）经营支出</w:t>
      </w:r>
      <w:r>
        <w:rPr>
          <w:rFonts w:hint="eastAsia"/>
          <w:sz w:val="27"/>
          <w:szCs w:val="27"/>
          <w:shd w:val="clear" w:color="auto" w:fill="FFFFFF"/>
        </w:rPr>
        <w:t>：指事业单位在专业业务活动及其辅助活动之外开展非独立核算经营活动发生的支出。</w:t>
      </w:r>
    </w:p>
    <w:p>
      <w:pPr>
        <w:pStyle w:val="24"/>
        <w:spacing w:before="0" w:beforeAutospacing="0"/>
        <w:rPr>
          <w:rFonts w:hint="eastAsia"/>
        </w:rPr>
      </w:pPr>
      <w:r>
        <w:rPr>
          <w:rStyle w:val="32"/>
          <w:rFonts w:hint="eastAsia" w:ascii="宋体" w:hAnsi="宋体"/>
          <w:sz w:val="27"/>
          <w:szCs w:val="27"/>
          <w:shd w:val="clear" w:color="auto" w:fill="FFFFFF"/>
        </w:rPr>
        <w:t>（十二）“三公”经费</w:t>
      </w:r>
      <w:r>
        <w:rPr>
          <w:rFonts w:hint="eastAsia"/>
          <w:sz w:val="27"/>
          <w:szCs w:val="27"/>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4"/>
        <w:spacing w:before="0" w:beforeAutospacing="0"/>
        <w:rPr>
          <w:rFonts w:hint="eastAsia"/>
        </w:rPr>
      </w:pPr>
      <w:r>
        <w:rPr>
          <w:rStyle w:val="32"/>
          <w:rFonts w:hint="eastAsia" w:ascii="宋体" w:hAnsi="宋体"/>
          <w:sz w:val="27"/>
          <w:szCs w:val="27"/>
          <w:shd w:val="clear" w:color="auto" w:fill="FFFFFF"/>
        </w:rPr>
        <w:t>（十三）机关运行经费</w:t>
      </w:r>
      <w:r>
        <w:rPr>
          <w:rFonts w:hint="eastAsia"/>
          <w:sz w:val="27"/>
          <w:szCs w:val="27"/>
          <w:shd w:val="clear" w:color="auto"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4"/>
        <w:spacing w:before="0" w:beforeAutospacing="0"/>
        <w:rPr>
          <w:rFonts w:hint="eastAsia"/>
        </w:rPr>
      </w:pPr>
      <w:r>
        <w:rPr>
          <w:rStyle w:val="32"/>
          <w:rFonts w:hint="eastAsia" w:ascii="宋体" w:hAnsi="宋体"/>
          <w:sz w:val="27"/>
          <w:szCs w:val="27"/>
          <w:shd w:val="clear" w:color="auto" w:fill="FFFFFF"/>
        </w:rPr>
        <w:t>（十四）工资福利支出（支出经济分类科目类级）</w:t>
      </w:r>
      <w:r>
        <w:rPr>
          <w:rFonts w:hint="eastAsia"/>
          <w:sz w:val="27"/>
          <w:szCs w:val="27"/>
          <w:shd w:val="clear" w:color="auto" w:fill="FFFFFF"/>
        </w:rPr>
        <w:t>：反映单位开支的在职职工和编制外长期聘用人员的各类劳动报酬，以及为上述人员缴纳的各项社会保险费等。</w:t>
      </w:r>
    </w:p>
    <w:p>
      <w:pPr>
        <w:pStyle w:val="24"/>
        <w:spacing w:before="0" w:beforeAutospacing="0"/>
        <w:rPr>
          <w:rFonts w:hint="eastAsia"/>
        </w:rPr>
      </w:pPr>
      <w:r>
        <w:rPr>
          <w:rStyle w:val="32"/>
          <w:rFonts w:hint="eastAsia" w:ascii="宋体" w:hAnsi="宋体"/>
          <w:sz w:val="27"/>
          <w:szCs w:val="27"/>
          <w:shd w:val="clear" w:color="auto" w:fill="FFFFFF"/>
        </w:rPr>
        <w:t>（十五）商品和服务支出（支出经济分类科目类级）</w:t>
      </w:r>
      <w:r>
        <w:rPr>
          <w:rFonts w:hint="eastAsia"/>
          <w:sz w:val="27"/>
          <w:szCs w:val="27"/>
          <w:shd w:val="clear" w:color="auto" w:fill="FFFFFF"/>
        </w:rPr>
        <w:t>：反映单位购买商品和服务的支出（不包括用于购置固定资产的支出、战略性和应急储备支出）。</w:t>
      </w:r>
    </w:p>
    <w:p>
      <w:pPr>
        <w:pStyle w:val="24"/>
        <w:spacing w:before="0" w:beforeAutospacing="0"/>
        <w:rPr>
          <w:rFonts w:hint="eastAsia"/>
        </w:rPr>
      </w:pPr>
      <w:r>
        <w:rPr>
          <w:rStyle w:val="32"/>
          <w:rFonts w:hint="eastAsia" w:ascii="宋体" w:hAnsi="宋体"/>
          <w:sz w:val="27"/>
          <w:szCs w:val="27"/>
          <w:shd w:val="clear" w:color="auto" w:fill="FFFFFF"/>
        </w:rPr>
        <w:t>（十六）对个人和家庭的补助（支出经济分类科目类级）</w:t>
      </w:r>
      <w:r>
        <w:rPr>
          <w:rFonts w:hint="eastAsia"/>
          <w:sz w:val="27"/>
          <w:szCs w:val="27"/>
          <w:shd w:val="clear" w:color="auto" w:fill="FFFFFF"/>
        </w:rPr>
        <w:t>：反映用于对个人和家庭的补助支出。</w:t>
      </w:r>
    </w:p>
    <w:p>
      <w:pPr>
        <w:pStyle w:val="24"/>
        <w:spacing w:before="0" w:beforeAutospacing="0"/>
        <w:rPr>
          <w:rFonts w:hint="eastAsia"/>
        </w:rPr>
      </w:pPr>
      <w:r>
        <w:rPr>
          <w:rStyle w:val="32"/>
          <w:rFonts w:hint="eastAsia" w:ascii="宋体" w:hAnsi="宋体"/>
          <w:sz w:val="27"/>
          <w:szCs w:val="27"/>
          <w:shd w:val="clear" w:color="auto" w:fill="FFFFFF"/>
        </w:rPr>
        <w:t>（十七）其他资本性支出（支出经济分类科目类级）</w:t>
      </w:r>
      <w:r>
        <w:rPr>
          <w:rFonts w:hint="eastAsia"/>
          <w:sz w:val="27"/>
          <w:szCs w:val="27"/>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24"/>
        <w:spacing w:before="0" w:beforeAutospacing="0"/>
        <w:rPr>
          <w:rFonts w:hint="eastAsia"/>
        </w:rPr>
      </w:pPr>
      <w:r>
        <w:rPr>
          <w:rStyle w:val="32"/>
          <w:rFonts w:hint="eastAsia" w:ascii="宋体" w:hAnsi="宋体"/>
          <w:sz w:val="36"/>
          <w:szCs w:val="36"/>
          <w:shd w:val="clear" w:color="auto" w:fill="FFFFFF"/>
        </w:rPr>
        <w:t>七、决算公开联系方式及信息反馈渠道</w:t>
      </w:r>
    </w:p>
    <w:p>
      <w:pPr>
        <w:pStyle w:val="23"/>
        <w:spacing w:before="0" w:beforeAutospacing="0"/>
        <w:rPr>
          <w:rFonts w:hint="eastAsia"/>
          <w:sz w:val="30"/>
          <w:szCs w:val="30"/>
        </w:rPr>
      </w:pPr>
      <w:r>
        <w:rPr>
          <w:rFonts w:hint="eastAsia"/>
          <w:sz w:val="30"/>
          <w:szCs w:val="30"/>
          <w:shd w:val="clear" w:color="auto" w:fill="FFFFFF"/>
        </w:rPr>
        <w:t>本单位决算公开信息反馈和联系方式：023-70605276</w:t>
      </w:r>
    </w:p>
    <w:p>
      <w:pPr>
        <w:pStyle w:val="24"/>
        <w:spacing w:before="0" w:beforeAutospacing="0"/>
        <w:rPr>
          <w:rFonts w:hint="eastAsia"/>
        </w:rPr>
      </w:pPr>
      <w:r>
        <w:rPr>
          <w:rFonts w:hint="eastAsia"/>
        </w:rPr>
        <w:t xml:space="preserve"> </w:t>
      </w:r>
    </w:p>
    <w:sectPr>
      <w:pgSz w:w="11915" w:h="1685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44640"/>
    <w:multiLevelType w:val="multilevel"/>
    <w:tmpl w:val="12F44640"/>
    <w:lvl w:ilvl="0" w:tentative="0">
      <w:start w:val="2"/>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5C6F5FF2"/>
    <w:multiLevelType w:val="multilevel"/>
    <w:tmpl w:val="5C6F5FF2"/>
    <w:lvl w:ilvl="0" w:tentative="0">
      <w:start w:val="2"/>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useFELayout/>
    <w:compatSetting w:name="compatibilityMode" w:uri="http://schemas.microsoft.com/office/word" w:val="12"/>
  </w:compat>
  <w:docVars>
    <w:docVar w:name="commondata" w:val="eyJoZGlkIjoiMDllNjc0MTc0ZGEwMDM2YWE5NTE2NDQwZGQ2NmQwNTYifQ=="/>
  </w:docVars>
  <w:rsids>
    <w:rsidRoot w:val="00E235DB"/>
    <w:rsid w:val="00882172"/>
    <w:rsid w:val="00E235DB"/>
    <w:rsid w:val="410605BE"/>
    <w:rsid w:val="691A6808"/>
    <w:rsid w:val="7C80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semiHidden="0" w:name="Table Simple 1"/>
    <w:lsdException w:uiPriority="99" w:semiHidden="0" w:name="Table Simple 2"/>
    <w:lsdException w:uiPriority="99" w:semiHidden="0" w:name="Table Simple 3"/>
    <w:lsdException w:uiPriority="99" w:semiHidden="0" w:name="Table Classic 1"/>
    <w:lsdException w:uiPriority="99" w:semiHidden="0" w:name="Table Classic 2"/>
    <w:lsdException w:uiPriority="99" w:semiHidden="0" w:name="Table Classic 3"/>
    <w:lsdException w:uiPriority="99" w:semiHidden="0" w:name="Table Classic 4"/>
    <w:lsdException w:uiPriority="99" w:semiHidden="0" w:name="Table Colorful 1"/>
    <w:lsdException w:uiPriority="99" w:semiHidden="0" w:name="Table Colorful 2"/>
    <w:lsdException w:uiPriority="99" w:semiHidden="0" w:name="Table Colorful 3"/>
    <w:lsdException w:uiPriority="99" w:semiHidden="0" w:name="Table Columns 1"/>
    <w:lsdException w:uiPriority="99" w:semiHidden="0" w:name="Table Columns 2"/>
    <w:lsdException w:uiPriority="99" w:semiHidden="0" w:name="Table Columns 3"/>
    <w:lsdException w:uiPriority="99" w:semiHidden="0" w:name="Table Columns 4"/>
    <w:lsdException w:uiPriority="99" w:semiHidden="0" w:name="Table Columns 5"/>
    <w:lsdException w:uiPriority="99" w:semiHidden="0" w:name="Table Grid 1"/>
    <w:lsdException w:uiPriority="99" w:semiHidden="0" w:name="Table Grid 2"/>
    <w:lsdException w:uiPriority="99" w:semiHidden="0" w:name="Table Grid 3"/>
    <w:lsdException w:uiPriority="99" w:semiHidden="0" w:name="Table Grid 4"/>
    <w:lsdException w:uiPriority="99" w:semiHidden="0" w:name="Table Grid 5"/>
    <w:lsdException w:uiPriority="99" w:semiHidden="0" w:name="Table Grid 6"/>
    <w:lsdException w:uiPriority="99" w:semiHidden="0" w:name="Table Grid 7"/>
    <w:lsdException w:uiPriority="99" w:semiHidden="0" w:name="Table Grid 8"/>
    <w:lsdException w:uiPriority="99" w:semiHidden="0" w:name="Table List 1"/>
    <w:lsdException w:uiPriority="99" w:semiHidden="0" w:name="Table List 2"/>
    <w:lsdException w:uiPriority="99" w:semiHidden="0" w:name="Table List 3"/>
    <w:lsdException w:uiPriority="99" w:semiHidden="0" w:name="Table List 4"/>
    <w:lsdException w:uiPriority="99" w:semiHidden="0" w:name="Table List 5"/>
    <w:lsdException w:uiPriority="99" w:semiHidden="0" w:name="Table List 6"/>
    <w:lsdException w:uiPriority="99" w:semiHidden="0" w:name="Table List 7"/>
    <w:lsdException w:uiPriority="99" w:semiHidden="0" w:name="Table List 8"/>
    <w:lsdException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uiPriority="99" w:semiHidden="0" w:name="Table Subtle 1"/>
    <w:lsdException w:uiPriority="99" w:semiHidden="0" w:name="Table Subtle 2"/>
    <w:lsdException w:uiPriority="99" w:semiHidden="0" w:name="Table Web 1"/>
    <w:lsdException w:uiPriority="99" w:semiHidden="0" w:name="Table Web 2"/>
    <w:lsdException w:uiPriority="99" w:semiHidden="0" w:name="Table Web 3"/>
    <w:lsdException w:unhideWhenUsed="0" w:uiPriority="0" w:semiHidden="0" w:name="Balloon Text"/>
    <w:lsdException w:qFormat="1"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8"/>
    <w:qFormat/>
    <w:uiPriority w:val="0"/>
    <w:pPr>
      <w:spacing w:before="100" w:beforeAutospacing="1" w:after="100" w:afterAutospacing="1"/>
      <w:outlineLvl w:val="0"/>
    </w:pPr>
    <w:rPr>
      <w:b/>
      <w:bCs/>
      <w:kern w:val="44"/>
      <w:sz w:val="48"/>
      <w:szCs w:val="48"/>
    </w:rPr>
  </w:style>
  <w:style w:type="paragraph" w:styleId="4">
    <w:name w:val="heading 2"/>
    <w:basedOn w:val="1"/>
    <w:next w:val="1"/>
    <w:link w:val="19"/>
    <w:qFormat/>
    <w:uiPriority w:val="0"/>
    <w:pPr>
      <w:spacing w:before="100" w:beforeAutospacing="1" w:after="100" w:afterAutospacing="1"/>
      <w:outlineLvl w:val="1"/>
    </w:pPr>
    <w:rPr>
      <w:b/>
      <w:bCs/>
      <w:sz w:val="36"/>
      <w:szCs w:val="36"/>
    </w:rPr>
  </w:style>
  <w:style w:type="paragraph" w:styleId="5">
    <w:name w:val="heading 3"/>
    <w:basedOn w:val="1"/>
    <w:next w:val="1"/>
    <w:link w:val="20"/>
    <w:qFormat/>
    <w:uiPriority w:val="0"/>
    <w:pPr>
      <w:spacing w:before="100" w:beforeAutospacing="1" w:after="100" w:afterAutospacing="1"/>
      <w:outlineLvl w:val="2"/>
    </w:pPr>
    <w:rPr>
      <w:b/>
      <w:bCs/>
      <w:sz w:val="27"/>
      <w:szCs w:val="27"/>
    </w:rPr>
  </w:style>
  <w:style w:type="paragraph" w:styleId="6">
    <w:name w:val="heading 4"/>
    <w:basedOn w:val="1"/>
    <w:next w:val="1"/>
    <w:link w:val="21"/>
    <w:qFormat/>
    <w:uiPriority w:val="0"/>
    <w:pPr>
      <w:spacing w:before="100" w:beforeAutospacing="1" w:after="100" w:afterAutospacing="1"/>
      <w:outlineLvl w:val="3"/>
    </w:pPr>
    <w:rPr>
      <w:b/>
      <w:bCs/>
    </w:rPr>
  </w:style>
  <w:style w:type="paragraph" w:styleId="7">
    <w:name w:val="heading 5"/>
    <w:basedOn w:val="1"/>
    <w:next w:val="1"/>
    <w:link w:val="22"/>
    <w:qFormat/>
    <w:uiPriority w:val="0"/>
    <w:pPr>
      <w:spacing w:before="100" w:beforeAutospacing="1" w:after="100" w:afterAutospacing="1"/>
      <w:outlineLvl w:val="4"/>
    </w:pPr>
    <w:rPr>
      <w:b/>
      <w:bCs/>
      <w:sz w:val="20"/>
      <w:szCs w:val="20"/>
    </w:rPr>
  </w:style>
  <w:style w:type="paragraph" w:styleId="2">
    <w:name w:val="heading 6"/>
    <w:basedOn w:val="1"/>
    <w:next w:val="1"/>
    <w:link w:val="17"/>
    <w:qFormat/>
    <w:uiPriority w:val="0"/>
    <w:pPr>
      <w:spacing w:before="100" w:beforeAutospacing="1" w:after="100" w:afterAutospacing="1"/>
      <w:outlineLvl w:val="5"/>
    </w:pPr>
    <w:rPr>
      <w:b/>
      <w:bCs/>
      <w:sz w:val="15"/>
      <w:szCs w:val="15"/>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25"/>
    <w:qFormat/>
    <w:uiPriority w:val="99"/>
    <w:rPr>
      <w:sz w:val="32"/>
      <w:szCs w:val="32"/>
    </w:rPr>
  </w:style>
  <w:style w:type="paragraph" w:styleId="9">
    <w:name w:val="Plain Text"/>
    <w:basedOn w:val="1"/>
    <w:link w:val="26"/>
    <w:qFormat/>
    <w:uiPriority w:val="0"/>
    <w:rPr>
      <w:rFonts w:hAnsi="Courier New" w:cs="Courier New"/>
    </w:rPr>
  </w:style>
  <w:style w:type="paragraph" w:styleId="10">
    <w:name w:val="footer"/>
    <w:basedOn w:val="1"/>
    <w:link w:val="36"/>
    <w:qFormat/>
    <w:uiPriority w:val="0"/>
    <w:pPr>
      <w:tabs>
        <w:tab w:val="center" w:pos="4153"/>
        <w:tab w:val="right" w:pos="8306"/>
      </w:tabs>
      <w:snapToGrid w:val="0"/>
    </w:pPr>
    <w:rPr>
      <w:sz w:val="18"/>
      <w:szCs w:val="18"/>
    </w:rPr>
  </w:style>
  <w:style w:type="paragraph" w:styleId="11">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7"/>
    <w:qFormat/>
    <w:uiPriority w:val="0"/>
  </w:style>
  <w:style w:type="paragraph" w:styleId="13">
    <w:name w:val="Normal (Web)"/>
    <w:basedOn w:val="1"/>
    <w:qFormat/>
    <w:uiPriority w:val="0"/>
    <w:pPr>
      <w:spacing w:before="100" w:beforeAutospacing="1" w:after="100" w:afterAutospacing="1"/>
    </w:p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标题 6 Char"/>
    <w:basedOn w:val="16"/>
    <w:link w:val="2"/>
    <w:qFormat/>
    <w:uiPriority w:val="0"/>
    <w:rPr>
      <w:rFonts w:asciiTheme="majorHAnsi" w:hAnsiTheme="majorHAnsi" w:eastAsiaTheme="majorEastAsia" w:cstheme="majorBidi"/>
      <w:b/>
      <w:bCs/>
      <w:sz w:val="24"/>
      <w:szCs w:val="24"/>
    </w:rPr>
  </w:style>
  <w:style w:type="character" w:customStyle="1" w:styleId="18">
    <w:name w:val="标题 1 Char"/>
    <w:basedOn w:val="16"/>
    <w:link w:val="3"/>
    <w:uiPriority w:val="0"/>
    <w:rPr>
      <w:rFonts w:ascii="宋体" w:hAnsi="宋体" w:eastAsia="宋体" w:cs="宋体"/>
      <w:b/>
      <w:bCs/>
      <w:kern w:val="44"/>
      <w:sz w:val="44"/>
      <w:szCs w:val="44"/>
    </w:rPr>
  </w:style>
  <w:style w:type="character" w:customStyle="1" w:styleId="19">
    <w:name w:val="标题 2 Char"/>
    <w:basedOn w:val="16"/>
    <w:link w:val="4"/>
    <w:qFormat/>
    <w:uiPriority w:val="0"/>
    <w:rPr>
      <w:rFonts w:asciiTheme="majorHAnsi" w:hAnsiTheme="majorHAnsi" w:eastAsiaTheme="majorEastAsia" w:cstheme="majorBidi"/>
      <w:b/>
      <w:bCs/>
      <w:sz w:val="32"/>
      <w:szCs w:val="32"/>
    </w:rPr>
  </w:style>
  <w:style w:type="character" w:customStyle="1" w:styleId="20">
    <w:name w:val="标题 3 Char"/>
    <w:basedOn w:val="16"/>
    <w:link w:val="5"/>
    <w:uiPriority w:val="0"/>
    <w:rPr>
      <w:rFonts w:ascii="宋体" w:hAnsi="宋体" w:eastAsia="宋体" w:cs="宋体"/>
      <w:b/>
      <w:bCs/>
      <w:sz w:val="32"/>
      <w:szCs w:val="32"/>
    </w:rPr>
  </w:style>
  <w:style w:type="character" w:customStyle="1" w:styleId="21">
    <w:name w:val="标题 4 Char"/>
    <w:basedOn w:val="16"/>
    <w:link w:val="6"/>
    <w:uiPriority w:val="0"/>
    <w:rPr>
      <w:rFonts w:asciiTheme="majorHAnsi" w:hAnsiTheme="majorHAnsi" w:eastAsiaTheme="majorEastAsia" w:cstheme="majorBidi"/>
      <w:b/>
      <w:bCs/>
      <w:sz w:val="28"/>
      <w:szCs w:val="28"/>
    </w:rPr>
  </w:style>
  <w:style w:type="character" w:customStyle="1" w:styleId="22">
    <w:name w:val="标题 5 Char"/>
    <w:basedOn w:val="16"/>
    <w:link w:val="7"/>
    <w:uiPriority w:val="0"/>
    <w:rPr>
      <w:rFonts w:ascii="宋体" w:hAnsi="宋体" w:eastAsia="宋体" w:cs="宋体"/>
      <w:b/>
      <w:bCs/>
      <w:sz w:val="28"/>
      <w:szCs w:val="28"/>
    </w:rPr>
  </w:style>
  <w:style w:type="paragraph" w:customStyle="1" w:styleId="23">
    <w:name w:val="普通(网站) Char"/>
    <w:basedOn w:val="1"/>
    <w:qFormat/>
    <w:uiPriority w:val="0"/>
    <w:pPr>
      <w:spacing w:before="100" w:beforeAutospacing="1" w:after="100" w:afterAutospacing="1"/>
    </w:pPr>
  </w:style>
  <w:style w:type="paragraph" w:customStyle="1" w:styleId="24">
    <w:name w:val="普通(网站) Char Char"/>
    <w:basedOn w:val="1"/>
    <w:qFormat/>
    <w:uiPriority w:val="0"/>
    <w:pPr>
      <w:spacing w:before="100" w:beforeAutospacing="1" w:after="100" w:afterAutospacing="1"/>
    </w:pPr>
  </w:style>
  <w:style w:type="character" w:customStyle="1" w:styleId="25">
    <w:name w:val="正文文本 Char"/>
    <w:basedOn w:val="16"/>
    <w:link w:val="8"/>
    <w:qFormat/>
    <w:uiPriority w:val="99"/>
    <w:rPr>
      <w:rFonts w:ascii="宋体" w:hAnsi="宋体" w:eastAsia="宋体" w:cs="宋体"/>
      <w:sz w:val="24"/>
      <w:szCs w:val="24"/>
    </w:rPr>
  </w:style>
  <w:style w:type="character" w:customStyle="1" w:styleId="26">
    <w:name w:val="纯文本 Char"/>
    <w:basedOn w:val="16"/>
    <w:link w:val="9"/>
    <w:qFormat/>
    <w:uiPriority w:val="0"/>
    <w:rPr>
      <w:rFonts w:ascii="宋体" w:hAnsi="Courier New" w:eastAsia="宋体" w:cs="Courier New"/>
      <w:sz w:val="21"/>
      <w:szCs w:val="21"/>
    </w:rPr>
  </w:style>
  <w:style w:type="character" w:customStyle="1" w:styleId="27">
    <w:name w:val="HTML 预设格式 Char"/>
    <w:basedOn w:val="16"/>
    <w:link w:val="12"/>
    <w:qFormat/>
    <w:uiPriority w:val="0"/>
    <w:rPr>
      <w:rFonts w:ascii="Courier New" w:hAnsi="Courier New" w:eastAsia="宋体" w:cs="Courier New"/>
    </w:rPr>
  </w:style>
  <w:style w:type="paragraph" w:customStyle="1" w:styleId="28">
    <w:name w:val="HTML 预设格式 Char1"/>
    <w:basedOn w:val="1"/>
    <w:qFormat/>
    <w:uiPriority w:val="0"/>
  </w:style>
  <w:style w:type="paragraph" w:customStyle="1" w:styleId="29">
    <w:name w:val="普通(网站) Char Char Char"/>
    <w:basedOn w:val="1"/>
    <w:qFormat/>
    <w:uiPriority w:val="0"/>
    <w:pPr>
      <w:spacing w:before="100" w:beforeAutospacing="1" w:after="100" w:afterAutospacing="1"/>
    </w:pPr>
  </w:style>
  <w:style w:type="paragraph" w:customStyle="1" w:styleId="30">
    <w:name w:val="HTML 预设格式 Char Char"/>
    <w:basedOn w:val="1"/>
    <w:qFormat/>
    <w:uiPriority w:val="0"/>
  </w:style>
  <w:style w:type="character" w:customStyle="1" w:styleId="31">
    <w:name w:val="10"/>
    <w:basedOn w:val="16"/>
    <w:qFormat/>
    <w:uiPriority w:val="0"/>
    <w:rPr>
      <w:rFonts w:hint="default" w:ascii="Times New Roman" w:hAnsi="Times New Roman" w:cs="Times New Roman"/>
    </w:rPr>
  </w:style>
  <w:style w:type="character" w:customStyle="1" w:styleId="32">
    <w:name w:val="15"/>
    <w:basedOn w:val="16"/>
    <w:qFormat/>
    <w:uiPriority w:val="0"/>
    <w:rPr>
      <w:rFonts w:hint="default" w:ascii="Times New Roman" w:hAnsi="Times New Roman" w:cs="Times New Roman"/>
      <w:b/>
    </w:rPr>
  </w:style>
  <w:style w:type="character" w:customStyle="1" w:styleId="33">
    <w:name w:val="16"/>
    <w:basedOn w:val="16"/>
    <w:uiPriority w:val="0"/>
    <w:rPr>
      <w:rFonts w:hint="default" w:ascii="Times New Roman" w:hAnsi="Times New Roman" w:cs="Times New Roman"/>
    </w:rPr>
  </w:style>
  <w:style w:type="character" w:customStyle="1" w:styleId="34">
    <w:name w:val="17"/>
    <w:basedOn w:val="16"/>
    <w:uiPriority w:val="0"/>
    <w:rPr>
      <w:rFonts w:hint="default" w:ascii="Times New Roman" w:hAnsi="Times New Roman" w:cs="Times New Roman"/>
    </w:rPr>
  </w:style>
  <w:style w:type="character" w:customStyle="1" w:styleId="35">
    <w:name w:val="页眉 Char"/>
    <w:basedOn w:val="16"/>
    <w:link w:val="11"/>
    <w:qFormat/>
    <w:uiPriority w:val="0"/>
    <w:rPr>
      <w:rFonts w:ascii="宋体" w:hAnsi="宋体" w:eastAsia="宋体" w:cs="宋体"/>
      <w:sz w:val="18"/>
      <w:szCs w:val="18"/>
    </w:rPr>
  </w:style>
  <w:style w:type="character" w:customStyle="1" w:styleId="36">
    <w:name w:val="页脚 Char"/>
    <w:basedOn w:val="16"/>
    <w:link w:val="10"/>
    <w:uiPriority w:val="0"/>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8014</Words>
  <Characters>8829</Characters>
  <Lines>66</Lines>
  <Paragraphs>18</Paragraphs>
  <TotalTime>4</TotalTime>
  <ScaleCrop>false</ScaleCrop>
  <LinksUpToDate>false</LinksUpToDate>
  <CharactersWithSpaces>8884</CharactersWithSpaces>
  <Application>WPS Office_11.1.0.13609_F1E327BC-269C-435d-A152-05C5408002CA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2021-11-30T07:30:00Z</dcterms:created>
  <dc:creator>Administrator</dc:creator>
  <cp:lastModifiedBy>WPS_1666744378</cp:lastModifiedBy>
  <dcterms:modified xsi:type="dcterms:W3CDTF">2022-12-27T01:12:14Z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2052-11.1.0.13609</vt:lpwstr>
  </property>
  <property fmtid="{D5CDD505-2E9C-101B-9397-08002B2CF9AE}" pid="3" name="ICV">
    <vt:lpwstr>937E5530FAE646D8817E177AAAF40FAB</vt:lpwstr>
  </property>
</Properties>
</file>