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239" w:rsidRDefault="00093239" w:rsidP="00093239">
      <w:pPr>
        <w:pStyle w:val="a6"/>
        <w:spacing w:before="0" w:beforeAutospacing="0" w:after="0" w:afterAutospacing="0" w:line="57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丰都县林业局</w:t>
      </w:r>
    </w:p>
    <w:p w:rsidR="00093239" w:rsidRDefault="00093239" w:rsidP="00093239">
      <w:pPr>
        <w:pStyle w:val="a6"/>
        <w:spacing w:before="0" w:beforeAutospacing="0" w:after="0" w:afterAutospacing="0" w:line="57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2022年度部门决算情况说明</w:t>
      </w:r>
    </w:p>
    <w:p w:rsidR="00093239" w:rsidRDefault="00093239" w:rsidP="00093239">
      <w:pPr>
        <w:pStyle w:val="a6"/>
        <w:spacing w:before="0" w:beforeAutospacing="0" w:after="0" w:afterAutospacing="0" w:line="570" w:lineRule="exact"/>
        <w:rPr>
          <w:rStyle w:val="a5"/>
          <w:sz w:val="30"/>
          <w:szCs w:val="30"/>
        </w:rPr>
      </w:pPr>
      <w:r>
        <w:rPr>
          <w:rStyle w:val="a5"/>
          <w:sz w:val="30"/>
          <w:szCs w:val="30"/>
        </w:rPr>
        <w:t xml:space="preserve">  </w:t>
      </w:r>
      <w:r>
        <w:rPr>
          <w:rStyle w:val="a5"/>
          <w:rFonts w:hint="eastAsia"/>
          <w:sz w:val="30"/>
          <w:szCs w:val="30"/>
        </w:rPr>
        <w:t xml:space="preserve"> </w:t>
      </w:r>
    </w:p>
    <w:p w:rsidR="00093239" w:rsidRDefault="00093239" w:rsidP="00093239">
      <w:pPr>
        <w:pStyle w:val="a6"/>
        <w:spacing w:before="0" w:beforeAutospacing="0" w:after="0" w:afterAutospacing="0" w:line="570" w:lineRule="exact"/>
        <w:ind w:firstLineChars="200" w:firstLine="600"/>
        <w:rPr>
          <w:rFonts w:ascii="方正黑体_GBK" w:eastAsia="方正黑体_GBK" w:hAnsi="方正黑体_GBK" w:cs="方正黑体_GBK"/>
        </w:rPr>
      </w:pPr>
      <w:r>
        <w:rPr>
          <w:rStyle w:val="a5"/>
          <w:rFonts w:ascii="方正黑体_GBK" w:eastAsia="方正黑体_GBK" w:hAnsi="方正黑体_GBK" w:cs="方正黑体_GBK" w:hint="eastAsia"/>
          <w:b w:val="0"/>
          <w:bCs w:val="0"/>
          <w:sz w:val="30"/>
          <w:szCs w:val="30"/>
        </w:rPr>
        <w:t>一、部门基本情况</w:t>
      </w:r>
    </w:p>
    <w:p w:rsidR="00093239" w:rsidRDefault="00093239" w:rsidP="00093239">
      <w:pPr>
        <w:pStyle w:val="a6"/>
        <w:spacing w:before="0" w:beforeAutospacing="0" w:after="0" w:afterAutospacing="0" w:line="570" w:lineRule="exact"/>
        <w:rPr>
          <w:rFonts w:ascii="Times New Roman" w:eastAsia="方正仿宋_GBK" w:hAnsi="Times New Roman" w:cs="Times New Roman"/>
          <w:snapToGrid w:val="0"/>
          <w:sz w:val="32"/>
          <w:szCs w:val="32"/>
        </w:rPr>
      </w:pPr>
      <w:r>
        <w:rPr>
          <w:rStyle w:val="a5"/>
          <w:sz w:val="30"/>
          <w:szCs w:val="30"/>
        </w:rPr>
        <w:t xml:space="preserve">  </w:t>
      </w:r>
      <w:r>
        <w:rPr>
          <w:rStyle w:val="a5"/>
          <w:rFonts w:ascii="方正楷体_GBK" w:eastAsia="方正楷体_GBK" w:hAnsi="方正楷体_GBK" w:cs="方正楷体_GBK" w:hint="eastAsia"/>
          <w:b w:val="0"/>
          <w:bCs w:val="0"/>
          <w:sz w:val="30"/>
          <w:szCs w:val="30"/>
        </w:rPr>
        <w:t>（一）职能职责。</w:t>
      </w:r>
      <w:r>
        <w:rPr>
          <w:rFonts w:ascii="Times New Roman" w:eastAsia="方正仿宋_GBK" w:hAnsi="Times New Roman" w:cs="Times New Roman"/>
          <w:snapToGrid w:val="0"/>
          <w:sz w:val="32"/>
          <w:szCs w:val="32"/>
        </w:rPr>
        <w:t>根据丰都府办发〔</w:t>
      </w:r>
      <w:r>
        <w:rPr>
          <w:rFonts w:ascii="Times New Roman" w:eastAsia="方正仿宋_GBK" w:hAnsi="Times New Roman" w:cs="Times New Roman"/>
          <w:snapToGrid w:val="0"/>
          <w:sz w:val="32"/>
          <w:szCs w:val="32"/>
        </w:rPr>
        <w:t>2019</w:t>
      </w:r>
      <w:r>
        <w:rPr>
          <w:rFonts w:ascii="Times New Roman" w:eastAsia="方正仿宋_GBK" w:hAnsi="Times New Roman" w:cs="Times New Roman"/>
          <w:snapToGrid w:val="0"/>
          <w:sz w:val="32"/>
          <w:szCs w:val="32"/>
        </w:rPr>
        <w:t>〕</w:t>
      </w:r>
      <w:r>
        <w:rPr>
          <w:rFonts w:ascii="Times New Roman" w:eastAsia="方正仿宋_GBK" w:hAnsi="Times New Roman" w:cs="Times New Roman"/>
          <w:snapToGrid w:val="0"/>
          <w:sz w:val="32"/>
          <w:szCs w:val="32"/>
        </w:rPr>
        <w:t>29</w:t>
      </w:r>
      <w:r>
        <w:rPr>
          <w:rFonts w:ascii="Times New Roman" w:eastAsia="方正仿宋_GBK" w:hAnsi="Times New Roman" w:cs="Times New Roman"/>
          <w:snapToGrid w:val="0"/>
          <w:sz w:val="32"/>
          <w:szCs w:val="32"/>
        </w:rPr>
        <w:t>号文件规定，丰都县林业局的职能职责是：负责林业和草原及其生态保护修复的监督管理</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牵头组织实施林业和草原等生态保护修复和造林绿化工作</w:t>
      </w:r>
      <w:r>
        <w:rPr>
          <w:rFonts w:ascii="Times New Roman" w:eastAsia="方正仿宋_GBK" w:hAnsi="Times New Roman" w:cs="Times New Roman"/>
          <w:snapToGrid w:val="0"/>
          <w:sz w:val="32"/>
          <w:szCs w:val="32"/>
        </w:rPr>
        <w:t>;</w:t>
      </w:r>
      <w:r>
        <w:rPr>
          <w:rFonts w:ascii="Times New Roman" w:eastAsia="方正仿宋_GBK" w:hAnsi="Times New Roman" w:cs="Times New Roman"/>
          <w:snapToGrid w:val="0"/>
          <w:sz w:val="32"/>
          <w:szCs w:val="32"/>
        </w:rPr>
        <w:t>负责森林、草原、湿地资源的监督管理；组织开展森林、草原、湿地、石漠化和陆生野生动植物资源动态监测</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负责监督管理石漠化防治工作</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负责陆生野生动植物资源的监督管理</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负责监督管理各类自然保护地</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负责推进林业和草原改革发展相关工作</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负责森林资源开发利用的监督管理</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指导国有林场基本建设和发展，组织林木种子、草种种质资源普查、收集、评价、利用，组织建立种质资源库，指导良种选育推广、林木种子种苗及草种生产经营行为，监管林木种子种苗质量、草种质量</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负责林业和草原领域的相关行政执法工作的监管，指导有关林业行政执法、林区社会治安治理工作</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负责落实综合防灾减灾规划相关要求，组织编制森林和草原火灾防治规划和防护计划并指导实施，指导开展防火巡护、火源管理、防火设施建设等工作</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负责管理林业和草原及其生态保护县级以上资金和国有资产，提出林业、草原、湿地和石漠化防治预算内投资、财政性资金安排建议</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负</w:t>
      </w:r>
      <w:r>
        <w:rPr>
          <w:rFonts w:ascii="Times New Roman" w:eastAsia="方正仿宋_GBK" w:hAnsi="Times New Roman" w:cs="Times New Roman"/>
          <w:snapToGrid w:val="0"/>
          <w:sz w:val="32"/>
          <w:szCs w:val="32"/>
        </w:rPr>
        <w:lastRenderedPageBreak/>
        <w:t>责林业和草原科技、教育和外事工作，指导全县林业人才队伍、林业科技创新体系、林业技术推广体系建设和林业科技教育培训。</w:t>
      </w:r>
    </w:p>
    <w:p w:rsidR="00093239" w:rsidRDefault="00093239" w:rsidP="00093239">
      <w:pPr>
        <w:pStyle w:val="a6"/>
        <w:spacing w:before="0" w:beforeAutospacing="0" w:after="0" w:afterAutospacing="0" w:line="570" w:lineRule="exact"/>
        <w:ind w:firstLineChars="200" w:firstLine="640"/>
        <w:rPr>
          <w:rFonts w:ascii="Times New Roman" w:eastAsia="方正仿宋_GBK" w:hAnsi="Times New Roman" w:cs="Times New Roman"/>
          <w:snapToGrid w:val="0"/>
          <w:sz w:val="32"/>
          <w:szCs w:val="32"/>
        </w:rPr>
      </w:pPr>
      <w:r>
        <w:rPr>
          <w:rStyle w:val="a5"/>
          <w:rFonts w:ascii="方正楷体_GBK" w:eastAsia="方正楷体_GBK" w:hAnsi="方正楷体_GBK" w:cs="方正楷体_GBK" w:hint="eastAsia"/>
          <w:b w:val="0"/>
          <w:bCs w:val="0"/>
          <w:sz w:val="32"/>
          <w:szCs w:val="32"/>
        </w:rPr>
        <w:t>（二）机构设置。</w:t>
      </w:r>
      <w:r>
        <w:rPr>
          <w:rFonts w:ascii="Times New Roman" w:eastAsia="方正仿宋_GBK" w:hAnsi="Times New Roman" w:cs="Times New Roman"/>
          <w:snapToGrid w:val="0"/>
          <w:sz w:val="32"/>
          <w:szCs w:val="32"/>
        </w:rPr>
        <w:t>丰都县林业局是县政府工作部门，由县规划和自然资源局归口管理。内设办公室、财务科、资源管理科、生态发展科、行政审批服务科、法规科</w:t>
      </w:r>
      <w:r>
        <w:rPr>
          <w:rFonts w:ascii="Times New Roman" w:eastAsia="方正仿宋_GBK" w:hAnsi="Times New Roman" w:cs="Times New Roman"/>
          <w:snapToGrid w:val="0"/>
          <w:sz w:val="32"/>
          <w:szCs w:val="32"/>
        </w:rPr>
        <w:t>6</w:t>
      </w:r>
      <w:r>
        <w:rPr>
          <w:rFonts w:ascii="Times New Roman" w:eastAsia="方正仿宋_GBK" w:hAnsi="Times New Roman" w:cs="Times New Roman"/>
          <w:snapToGrid w:val="0"/>
          <w:sz w:val="32"/>
          <w:szCs w:val="32"/>
        </w:rPr>
        <w:t>个科室，下设县林业行政执法支队、县森林病虫害防治站、县林业产业发展中心、县湿地保护管理中心、县林木种苗管理站、县风景名胜管理中心、县三抚林场、县楠木林场、县七跃山林场</w:t>
      </w:r>
      <w:r>
        <w:rPr>
          <w:rFonts w:ascii="Times New Roman" w:eastAsia="方正仿宋_GBK" w:hAnsi="Times New Roman" w:cs="Times New Roman"/>
          <w:snapToGrid w:val="0"/>
          <w:sz w:val="32"/>
          <w:szCs w:val="32"/>
        </w:rPr>
        <w:t>9</w:t>
      </w:r>
      <w:r>
        <w:rPr>
          <w:rFonts w:ascii="Times New Roman" w:eastAsia="方正仿宋_GBK" w:hAnsi="Times New Roman" w:cs="Times New Roman"/>
          <w:snapToGrid w:val="0"/>
          <w:sz w:val="32"/>
          <w:szCs w:val="32"/>
        </w:rPr>
        <w:t>个单位。</w:t>
      </w:r>
    </w:p>
    <w:p w:rsidR="00093239" w:rsidRDefault="00093239" w:rsidP="00093239">
      <w:pPr>
        <w:pStyle w:val="a6"/>
        <w:spacing w:before="0" w:beforeAutospacing="0" w:after="0" w:afterAutospacing="0" w:line="570" w:lineRule="exact"/>
        <w:ind w:firstLineChars="200" w:firstLine="640"/>
        <w:rPr>
          <w:rFonts w:ascii="Times New Roman" w:eastAsia="方正仿宋_GBK" w:hAnsi="Times New Roman" w:cs="Times New Roman"/>
          <w:snapToGrid w:val="0"/>
          <w:sz w:val="32"/>
          <w:szCs w:val="32"/>
        </w:rPr>
      </w:pPr>
      <w:r>
        <w:rPr>
          <w:rStyle w:val="a5"/>
          <w:rFonts w:ascii="方正楷体_GBK" w:eastAsia="方正楷体_GBK" w:hAnsi="方正楷体_GBK" w:cs="方正楷体_GBK" w:hint="eastAsia"/>
          <w:b w:val="0"/>
          <w:bCs w:val="0"/>
          <w:sz w:val="32"/>
          <w:szCs w:val="32"/>
        </w:rPr>
        <w:t>（三）单位构成。</w:t>
      </w:r>
      <w:r>
        <w:rPr>
          <w:rFonts w:ascii="Times New Roman" w:eastAsia="方正仿宋_GBK" w:hAnsi="Times New Roman" w:cs="Times New Roman"/>
          <w:snapToGrid w:val="0"/>
          <w:sz w:val="32"/>
          <w:szCs w:val="32"/>
        </w:rPr>
        <w:t>从预算单位构成看，纳入本部门</w:t>
      </w:r>
      <w:r>
        <w:rPr>
          <w:rFonts w:ascii="Times New Roman" w:eastAsia="方正仿宋_GBK" w:hAnsi="Times New Roman" w:cs="Times New Roman"/>
          <w:snapToGrid w:val="0"/>
          <w:sz w:val="32"/>
          <w:szCs w:val="32"/>
        </w:rPr>
        <w:t>2022</w:t>
      </w:r>
      <w:r>
        <w:rPr>
          <w:rFonts w:ascii="Times New Roman" w:eastAsia="方正仿宋_GBK" w:hAnsi="Times New Roman" w:cs="Times New Roman"/>
          <w:snapToGrid w:val="0"/>
          <w:sz w:val="32"/>
          <w:szCs w:val="32"/>
        </w:rPr>
        <w:t>年度决算编制的二级预算单位有</w:t>
      </w:r>
      <w:r>
        <w:rPr>
          <w:rFonts w:ascii="Times New Roman" w:eastAsia="方正仿宋_GBK" w:hAnsi="Times New Roman" w:cs="Times New Roman"/>
          <w:snapToGrid w:val="0"/>
          <w:sz w:val="32"/>
          <w:szCs w:val="32"/>
        </w:rPr>
        <w:t>5</w:t>
      </w:r>
      <w:r>
        <w:rPr>
          <w:rFonts w:ascii="Times New Roman" w:eastAsia="方正仿宋_GBK" w:hAnsi="Times New Roman" w:cs="Times New Roman"/>
          <w:snapToGrid w:val="0"/>
          <w:sz w:val="32"/>
          <w:szCs w:val="32"/>
        </w:rPr>
        <w:t>个，主要包括：丰都县林业局</w:t>
      </w:r>
      <w:r>
        <w:rPr>
          <w:rFonts w:ascii="Times New Roman" w:eastAsia="方正仿宋_GBK" w:hAnsi="Times New Roman" w:cs="Times New Roman"/>
          <w:snapToGrid w:val="0"/>
          <w:sz w:val="32"/>
          <w:szCs w:val="32"/>
        </w:rPr>
        <w:t>1</w:t>
      </w:r>
      <w:r>
        <w:rPr>
          <w:rFonts w:ascii="Times New Roman" w:eastAsia="方正仿宋_GBK" w:hAnsi="Times New Roman" w:cs="Times New Roman"/>
          <w:snapToGrid w:val="0"/>
          <w:sz w:val="32"/>
          <w:szCs w:val="32"/>
        </w:rPr>
        <w:t>个全额预算的行政单位，丰都县三抚林场、楠木林场、七跃山林场和风景名胜管理中心</w:t>
      </w:r>
      <w:r>
        <w:rPr>
          <w:rFonts w:ascii="Times New Roman" w:eastAsia="方正仿宋_GBK" w:hAnsi="Times New Roman" w:cs="Times New Roman"/>
          <w:snapToGrid w:val="0"/>
          <w:sz w:val="32"/>
          <w:szCs w:val="32"/>
        </w:rPr>
        <w:t>4</w:t>
      </w:r>
      <w:r>
        <w:rPr>
          <w:rFonts w:ascii="Times New Roman" w:eastAsia="方正仿宋_GBK" w:hAnsi="Times New Roman" w:cs="Times New Roman"/>
          <w:snapToGrid w:val="0"/>
          <w:sz w:val="32"/>
          <w:szCs w:val="32"/>
        </w:rPr>
        <w:t>个全额预算事业单位。</w:t>
      </w:r>
    </w:p>
    <w:p w:rsidR="00093239" w:rsidRDefault="00093239" w:rsidP="00093239">
      <w:pPr>
        <w:pStyle w:val="a6"/>
        <w:spacing w:before="0" w:beforeAutospacing="0" w:after="0" w:afterAutospacing="0" w:line="570" w:lineRule="exact"/>
        <w:ind w:firstLineChars="200" w:firstLine="640"/>
        <w:rPr>
          <w:rStyle w:val="a5"/>
          <w:rFonts w:ascii="方正黑体_GBK" w:eastAsia="方正黑体_GBK" w:hAnsi="方正黑体_GBK" w:cs="方正黑体_GBK"/>
          <w:b w:val="0"/>
          <w:bCs w:val="0"/>
          <w:sz w:val="32"/>
          <w:szCs w:val="32"/>
        </w:rPr>
      </w:pPr>
      <w:r>
        <w:rPr>
          <w:rStyle w:val="a5"/>
          <w:rFonts w:ascii="方正黑体_GBK" w:eastAsia="方正黑体_GBK" w:hAnsi="方正黑体_GBK" w:cs="方正黑体_GBK" w:hint="eastAsia"/>
          <w:b w:val="0"/>
          <w:bCs w:val="0"/>
          <w:sz w:val="32"/>
          <w:szCs w:val="32"/>
        </w:rPr>
        <w:t>二、部门决算情况说明</w:t>
      </w:r>
    </w:p>
    <w:p w:rsidR="00093239" w:rsidRPr="00A638A7" w:rsidRDefault="00093239" w:rsidP="00093239">
      <w:pPr>
        <w:pStyle w:val="a6"/>
        <w:spacing w:before="0" w:beforeAutospacing="0" w:after="0" w:afterAutospacing="0" w:line="570" w:lineRule="exact"/>
        <w:ind w:firstLineChars="200" w:firstLine="640"/>
        <w:rPr>
          <w:rFonts w:ascii="方正黑体_GBK" w:eastAsia="方正黑体_GBK" w:hAnsi="方正黑体_GBK" w:cs="方正黑体_GBK"/>
          <w:sz w:val="32"/>
          <w:szCs w:val="32"/>
        </w:rPr>
      </w:pPr>
      <w:r w:rsidRPr="00A638A7">
        <w:rPr>
          <w:rStyle w:val="a5"/>
          <w:rFonts w:ascii="方正楷体_GBK" w:eastAsia="方正楷体_GBK" w:hAnsi="方正楷体_GBK" w:cs="方正楷体_GBK" w:hint="eastAsia"/>
          <w:b w:val="0"/>
          <w:bCs w:val="0"/>
          <w:sz w:val="32"/>
          <w:szCs w:val="32"/>
        </w:rPr>
        <w:t>（一）</w:t>
      </w:r>
      <w:r>
        <w:rPr>
          <w:rStyle w:val="a5"/>
          <w:rFonts w:ascii="方正楷体_GBK" w:eastAsia="方正楷体_GBK" w:hAnsi="方正楷体_GBK" w:cs="方正楷体_GBK" w:hint="eastAsia"/>
          <w:b w:val="0"/>
          <w:bCs w:val="0"/>
          <w:sz w:val="32"/>
          <w:szCs w:val="32"/>
        </w:rPr>
        <w:t>收入支出决算总体情况说明</w:t>
      </w:r>
    </w:p>
    <w:p w:rsidR="00093239" w:rsidRDefault="00093239" w:rsidP="00093239">
      <w:pPr>
        <w:pStyle w:val="a6"/>
        <w:spacing w:before="0" w:beforeAutospacing="0" w:after="0" w:afterAutospacing="0" w:line="570" w:lineRule="exact"/>
        <w:rPr>
          <w:rFonts w:ascii="Times New Roman" w:eastAsia="方正仿宋_GBK" w:hAnsi="Times New Roman" w:cs="Times New Roman"/>
          <w:snapToGrid w:val="0"/>
          <w:sz w:val="32"/>
          <w:szCs w:val="32"/>
        </w:rPr>
      </w:pPr>
      <w:r>
        <w:rPr>
          <w:rFonts w:ascii="Times New Roman" w:eastAsia="方正仿宋_GBK" w:hAnsi="Times New Roman" w:cs="Times New Roman"/>
          <w:sz w:val="32"/>
          <w:szCs w:val="32"/>
        </w:rPr>
        <w:t xml:space="preserve">    </w:t>
      </w:r>
      <w:r>
        <w:rPr>
          <w:rFonts w:ascii="Times New Roman" w:eastAsia="方正仿宋_GBK" w:hAnsi="Times New Roman" w:cs="Times New Roman"/>
          <w:b/>
          <w:sz w:val="32"/>
          <w:szCs w:val="32"/>
        </w:rPr>
        <w:t>1.</w:t>
      </w:r>
      <w:r>
        <w:rPr>
          <w:rStyle w:val="a5"/>
          <w:rFonts w:ascii="Times New Roman" w:eastAsia="方正仿宋_GBK" w:hAnsi="Times New Roman" w:cs="Times New Roman"/>
          <w:sz w:val="32"/>
          <w:szCs w:val="32"/>
        </w:rPr>
        <w:t>总体情况。</w:t>
      </w:r>
      <w:r>
        <w:rPr>
          <w:rFonts w:ascii="Times New Roman" w:eastAsia="方正仿宋_GBK" w:hAnsi="Times New Roman" w:cs="Times New Roman"/>
          <w:snapToGrid w:val="0"/>
          <w:sz w:val="32"/>
          <w:szCs w:val="32"/>
        </w:rPr>
        <w:t>2022</w:t>
      </w:r>
      <w:r>
        <w:rPr>
          <w:rFonts w:ascii="Times New Roman" w:eastAsia="方正仿宋_GBK" w:hAnsi="Times New Roman" w:cs="Times New Roman"/>
          <w:snapToGrid w:val="0"/>
          <w:sz w:val="32"/>
          <w:szCs w:val="32"/>
        </w:rPr>
        <w:t>年度收入总计</w:t>
      </w:r>
      <w:r>
        <w:rPr>
          <w:rFonts w:ascii="Times New Roman" w:eastAsia="方正仿宋_GBK" w:hAnsi="Times New Roman" w:cs="Times New Roman"/>
          <w:snapToGrid w:val="0"/>
          <w:sz w:val="32"/>
          <w:szCs w:val="32"/>
        </w:rPr>
        <w:t>18514.16</w:t>
      </w:r>
      <w:r>
        <w:rPr>
          <w:rFonts w:ascii="Times New Roman" w:eastAsia="方正仿宋_GBK" w:hAnsi="Times New Roman" w:cs="Times New Roman"/>
          <w:snapToGrid w:val="0"/>
          <w:sz w:val="32"/>
          <w:szCs w:val="32"/>
        </w:rPr>
        <w:t>万元，支出总计</w:t>
      </w:r>
      <w:r>
        <w:rPr>
          <w:rFonts w:ascii="Times New Roman" w:eastAsia="方正仿宋_GBK" w:hAnsi="Times New Roman" w:cs="Times New Roman"/>
          <w:snapToGrid w:val="0"/>
          <w:sz w:val="32"/>
          <w:szCs w:val="32"/>
        </w:rPr>
        <w:t>18514.16</w:t>
      </w:r>
      <w:r>
        <w:rPr>
          <w:rFonts w:ascii="Times New Roman" w:eastAsia="方正仿宋_GBK" w:hAnsi="Times New Roman" w:cs="Times New Roman"/>
          <w:snapToGrid w:val="0"/>
          <w:sz w:val="32"/>
          <w:szCs w:val="32"/>
        </w:rPr>
        <w:t>万元。收支较上年决算数减少</w:t>
      </w:r>
      <w:r>
        <w:rPr>
          <w:rFonts w:ascii="Times New Roman" w:eastAsia="方正仿宋_GBK" w:hAnsi="Times New Roman" w:cs="Times New Roman"/>
          <w:snapToGrid w:val="0"/>
          <w:sz w:val="32"/>
          <w:szCs w:val="32"/>
        </w:rPr>
        <w:t>3310.75</w:t>
      </w:r>
      <w:r>
        <w:rPr>
          <w:rFonts w:ascii="Times New Roman" w:eastAsia="方正仿宋_GBK" w:hAnsi="Times New Roman" w:cs="Times New Roman"/>
          <w:snapToGrid w:val="0"/>
          <w:sz w:val="32"/>
          <w:szCs w:val="32"/>
        </w:rPr>
        <w:t>万元、下降</w:t>
      </w:r>
      <w:r>
        <w:rPr>
          <w:rFonts w:ascii="Times New Roman" w:eastAsia="方正仿宋_GBK" w:hAnsi="Times New Roman" w:cs="Times New Roman"/>
          <w:snapToGrid w:val="0"/>
          <w:sz w:val="32"/>
          <w:szCs w:val="32"/>
        </w:rPr>
        <w:t>15.17%</w:t>
      </w:r>
      <w:r>
        <w:rPr>
          <w:rFonts w:ascii="Times New Roman" w:eastAsia="方正仿宋_GBK" w:hAnsi="Times New Roman" w:cs="Times New Roman"/>
          <w:snapToGrid w:val="0"/>
          <w:sz w:val="32"/>
          <w:szCs w:val="32"/>
        </w:rPr>
        <w:t>，主要原因是我部门一般公共预算拨款的项目资金及其他收入资金较上年有所减少。</w:t>
      </w:r>
    </w:p>
    <w:p w:rsidR="00093239" w:rsidRDefault="00093239" w:rsidP="00093239">
      <w:pPr>
        <w:pStyle w:val="a6"/>
        <w:spacing w:before="0" w:beforeAutospacing="0" w:after="0" w:afterAutospacing="0" w:line="570" w:lineRule="exact"/>
        <w:ind w:firstLineChars="200" w:firstLine="643"/>
        <w:rPr>
          <w:rFonts w:ascii="Times New Roman" w:eastAsia="方正仿宋_GBK" w:hAnsi="Times New Roman" w:cs="Times New Roman"/>
          <w:snapToGrid w:val="0"/>
          <w:sz w:val="32"/>
          <w:szCs w:val="32"/>
        </w:rPr>
      </w:pPr>
      <w:r>
        <w:rPr>
          <w:rStyle w:val="a5"/>
          <w:rFonts w:ascii="Times New Roman" w:eastAsia="方正仿宋_GBK" w:hAnsi="Times New Roman" w:cs="Times New Roman"/>
          <w:sz w:val="32"/>
          <w:szCs w:val="32"/>
        </w:rPr>
        <w:t>2.</w:t>
      </w:r>
      <w:r>
        <w:rPr>
          <w:rStyle w:val="a5"/>
          <w:rFonts w:ascii="Times New Roman" w:eastAsia="方正仿宋_GBK" w:hAnsi="Times New Roman" w:cs="Times New Roman"/>
          <w:sz w:val="32"/>
          <w:szCs w:val="32"/>
        </w:rPr>
        <w:t>收入情况。</w:t>
      </w:r>
      <w:r>
        <w:rPr>
          <w:rFonts w:ascii="Times New Roman" w:eastAsia="方正仿宋_GBK" w:hAnsi="Times New Roman" w:cs="Times New Roman"/>
          <w:snapToGrid w:val="0"/>
          <w:sz w:val="32"/>
          <w:szCs w:val="32"/>
        </w:rPr>
        <w:t>2022</w:t>
      </w:r>
      <w:r>
        <w:rPr>
          <w:rFonts w:ascii="Times New Roman" w:eastAsia="方正仿宋_GBK" w:hAnsi="Times New Roman" w:cs="Times New Roman"/>
          <w:snapToGrid w:val="0"/>
          <w:sz w:val="32"/>
          <w:szCs w:val="32"/>
        </w:rPr>
        <w:t>年度收入合计</w:t>
      </w:r>
      <w:r>
        <w:rPr>
          <w:rFonts w:ascii="Times New Roman" w:eastAsia="方正仿宋_GBK" w:hAnsi="Times New Roman" w:cs="Times New Roman"/>
          <w:snapToGrid w:val="0"/>
          <w:sz w:val="32"/>
          <w:szCs w:val="32"/>
        </w:rPr>
        <w:t>18315.03</w:t>
      </w:r>
      <w:r>
        <w:rPr>
          <w:rFonts w:ascii="Times New Roman" w:eastAsia="方正仿宋_GBK" w:hAnsi="Times New Roman" w:cs="Times New Roman"/>
          <w:snapToGrid w:val="0"/>
          <w:sz w:val="32"/>
          <w:szCs w:val="32"/>
        </w:rPr>
        <w:t>万元，较上年决算数减少</w:t>
      </w:r>
      <w:r>
        <w:rPr>
          <w:rFonts w:ascii="Times New Roman" w:eastAsia="方正仿宋_GBK" w:hAnsi="Times New Roman" w:cs="Times New Roman"/>
          <w:snapToGrid w:val="0"/>
          <w:sz w:val="32"/>
          <w:szCs w:val="32"/>
        </w:rPr>
        <w:t>2284.35</w:t>
      </w:r>
      <w:r>
        <w:rPr>
          <w:rFonts w:ascii="Times New Roman" w:eastAsia="方正仿宋_GBK" w:hAnsi="Times New Roman" w:cs="Times New Roman"/>
          <w:snapToGrid w:val="0"/>
          <w:sz w:val="32"/>
          <w:szCs w:val="32"/>
        </w:rPr>
        <w:t>万元，下降</w:t>
      </w:r>
      <w:r>
        <w:rPr>
          <w:rFonts w:ascii="Times New Roman" w:eastAsia="方正仿宋_GBK" w:hAnsi="Times New Roman" w:cs="Times New Roman"/>
          <w:snapToGrid w:val="0"/>
          <w:sz w:val="32"/>
          <w:szCs w:val="32"/>
        </w:rPr>
        <w:t>11.11%</w:t>
      </w:r>
      <w:r>
        <w:rPr>
          <w:rFonts w:ascii="Times New Roman" w:eastAsia="方正仿宋_GBK" w:hAnsi="Times New Roman" w:cs="Times New Roman"/>
          <w:snapToGrid w:val="0"/>
          <w:sz w:val="32"/>
          <w:szCs w:val="32"/>
        </w:rPr>
        <w:t>，主要原因是部门一般公共预算拨款的项目资金及其他收入资金较上年有所减少。其中：财</w:t>
      </w:r>
      <w:r>
        <w:rPr>
          <w:rFonts w:ascii="Times New Roman" w:eastAsia="方正仿宋_GBK" w:hAnsi="Times New Roman" w:cs="Times New Roman"/>
          <w:snapToGrid w:val="0"/>
          <w:sz w:val="32"/>
          <w:szCs w:val="32"/>
        </w:rPr>
        <w:lastRenderedPageBreak/>
        <w:t>政拨款收入</w:t>
      </w:r>
      <w:r>
        <w:rPr>
          <w:rFonts w:ascii="Times New Roman" w:eastAsia="方正仿宋_GBK" w:hAnsi="Times New Roman" w:cs="Times New Roman"/>
          <w:snapToGrid w:val="0"/>
          <w:sz w:val="32"/>
          <w:szCs w:val="32"/>
        </w:rPr>
        <w:t>18315.03</w:t>
      </w:r>
      <w:r>
        <w:rPr>
          <w:rFonts w:ascii="Times New Roman" w:eastAsia="方正仿宋_GBK" w:hAnsi="Times New Roman" w:cs="Times New Roman"/>
          <w:snapToGrid w:val="0"/>
          <w:sz w:val="32"/>
          <w:szCs w:val="32"/>
        </w:rPr>
        <w:t>万元，占</w:t>
      </w:r>
      <w:r>
        <w:rPr>
          <w:rFonts w:ascii="Times New Roman" w:eastAsia="方正仿宋_GBK" w:hAnsi="Times New Roman" w:cs="Times New Roman"/>
          <w:snapToGrid w:val="0"/>
          <w:sz w:val="32"/>
          <w:szCs w:val="32"/>
        </w:rPr>
        <w:t>100%</w:t>
      </w:r>
      <w:r>
        <w:rPr>
          <w:rFonts w:ascii="Times New Roman" w:eastAsia="方正仿宋_GBK" w:hAnsi="Times New Roman" w:cs="Times New Roman"/>
          <w:snapToGrid w:val="0"/>
          <w:sz w:val="32"/>
          <w:szCs w:val="32"/>
        </w:rPr>
        <w:t>。此外，</w:t>
      </w:r>
      <w:r>
        <w:rPr>
          <w:rFonts w:ascii="Times New Roman" w:eastAsia="方正仿宋_GBK" w:hAnsi="Times New Roman" w:cs="Times New Roman" w:hint="eastAsia"/>
          <w:snapToGrid w:val="0"/>
          <w:sz w:val="32"/>
          <w:szCs w:val="32"/>
        </w:rPr>
        <w:t>使用非财政拨款结余</w:t>
      </w:r>
      <w:r>
        <w:rPr>
          <w:rFonts w:ascii="Times New Roman" w:eastAsia="方正仿宋_GBK" w:hAnsi="Times New Roman" w:cs="Times New Roman" w:hint="eastAsia"/>
          <w:snapToGrid w:val="0"/>
          <w:sz w:val="32"/>
          <w:szCs w:val="32"/>
        </w:rPr>
        <w:t>0</w:t>
      </w:r>
      <w:r>
        <w:rPr>
          <w:rFonts w:ascii="Times New Roman" w:eastAsia="方正仿宋_GBK" w:hAnsi="Times New Roman" w:cs="Times New Roman" w:hint="eastAsia"/>
          <w:snapToGrid w:val="0"/>
          <w:sz w:val="32"/>
          <w:szCs w:val="32"/>
        </w:rPr>
        <w:t>万元，</w:t>
      </w:r>
      <w:r>
        <w:rPr>
          <w:rFonts w:ascii="Times New Roman" w:eastAsia="方正仿宋_GBK" w:hAnsi="Times New Roman" w:cs="Times New Roman"/>
          <w:snapToGrid w:val="0"/>
          <w:sz w:val="32"/>
          <w:szCs w:val="32"/>
        </w:rPr>
        <w:t>年初结转和结余</w:t>
      </w:r>
      <w:r>
        <w:rPr>
          <w:rFonts w:ascii="Times New Roman" w:eastAsia="方正仿宋_GBK" w:hAnsi="Times New Roman" w:cs="Times New Roman" w:hint="eastAsia"/>
          <w:snapToGrid w:val="0"/>
          <w:sz w:val="32"/>
          <w:szCs w:val="32"/>
        </w:rPr>
        <w:t>199.13</w:t>
      </w:r>
      <w:r>
        <w:rPr>
          <w:rFonts w:ascii="Times New Roman" w:eastAsia="方正仿宋_GBK" w:hAnsi="Times New Roman" w:cs="Times New Roman"/>
          <w:snapToGrid w:val="0"/>
          <w:sz w:val="32"/>
          <w:szCs w:val="32"/>
        </w:rPr>
        <w:t>万元。</w:t>
      </w:r>
    </w:p>
    <w:p w:rsidR="00093239" w:rsidRDefault="00093239" w:rsidP="00093239">
      <w:pPr>
        <w:pStyle w:val="a6"/>
        <w:spacing w:before="0" w:beforeAutospacing="0" w:after="0" w:afterAutospacing="0" w:line="570" w:lineRule="exact"/>
        <w:ind w:firstLineChars="200" w:firstLine="643"/>
        <w:rPr>
          <w:rFonts w:ascii="Times New Roman" w:eastAsia="方正仿宋_GBK" w:hAnsi="Times New Roman" w:cs="Times New Roman"/>
          <w:snapToGrid w:val="0"/>
          <w:sz w:val="32"/>
          <w:szCs w:val="32"/>
        </w:rPr>
      </w:pPr>
      <w:r>
        <w:rPr>
          <w:rStyle w:val="a5"/>
          <w:rFonts w:ascii="Times New Roman" w:eastAsia="方正仿宋_GBK" w:hAnsi="Times New Roman" w:cs="Times New Roman"/>
          <w:sz w:val="32"/>
          <w:szCs w:val="32"/>
        </w:rPr>
        <w:t> 3.</w:t>
      </w:r>
      <w:r>
        <w:rPr>
          <w:rStyle w:val="a5"/>
          <w:rFonts w:ascii="Times New Roman" w:eastAsia="方正仿宋_GBK" w:hAnsi="Times New Roman" w:cs="Times New Roman"/>
          <w:sz w:val="32"/>
          <w:szCs w:val="32"/>
        </w:rPr>
        <w:t>支出情况。</w:t>
      </w:r>
      <w:r>
        <w:rPr>
          <w:rFonts w:ascii="Times New Roman" w:eastAsia="方正仿宋_GBK" w:hAnsi="Times New Roman" w:cs="Times New Roman"/>
          <w:snapToGrid w:val="0"/>
          <w:sz w:val="32"/>
          <w:szCs w:val="32"/>
        </w:rPr>
        <w:t>2022</w:t>
      </w:r>
      <w:r>
        <w:rPr>
          <w:rFonts w:ascii="Times New Roman" w:eastAsia="方正仿宋_GBK" w:hAnsi="Times New Roman" w:cs="Times New Roman"/>
          <w:snapToGrid w:val="0"/>
          <w:sz w:val="32"/>
          <w:szCs w:val="32"/>
        </w:rPr>
        <w:t>年度支出合计</w:t>
      </w:r>
      <w:r>
        <w:rPr>
          <w:rFonts w:ascii="Times New Roman" w:eastAsia="方正仿宋_GBK" w:hAnsi="Times New Roman" w:cs="Times New Roman"/>
          <w:snapToGrid w:val="0"/>
          <w:sz w:val="32"/>
          <w:szCs w:val="32"/>
        </w:rPr>
        <w:t>18318.64</w:t>
      </w:r>
      <w:r>
        <w:rPr>
          <w:rFonts w:ascii="Times New Roman" w:eastAsia="方正仿宋_GBK" w:hAnsi="Times New Roman" w:cs="Times New Roman"/>
          <w:snapToGrid w:val="0"/>
          <w:sz w:val="32"/>
          <w:szCs w:val="32"/>
        </w:rPr>
        <w:t>万元，较上年决算数减少</w:t>
      </w:r>
      <w:r>
        <w:rPr>
          <w:rFonts w:ascii="Times New Roman" w:eastAsia="方正仿宋_GBK" w:hAnsi="Times New Roman" w:cs="Times New Roman"/>
          <w:snapToGrid w:val="0"/>
          <w:sz w:val="32"/>
          <w:szCs w:val="32"/>
        </w:rPr>
        <w:t>3293.57</w:t>
      </w:r>
      <w:r>
        <w:rPr>
          <w:rFonts w:ascii="Times New Roman" w:eastAsia="方正仿宋_GBK" w:hAnsi="Times New Roman" w:cs="Times New Roman"/>
          <w:snapToGrid w:val="0"/>
          <w:sz w:val="32"/>
          <w:szCs w:val="32"/>
        </w:rPr>
        <w:t>万元，下降</w:t>
      </w:r>
      <w:r>
        <w:rPr>
          <w:rFonts w:ascii="Times New Roman" w:eastAsia="方正仿宋_GBK" w:hAnsi="Times New Roman" w:cs="Times New Roman"/>
          <w:snapToGrid w:val="0"/>
          <w:sz w:val="32"/>
          <w:szCs w:val="32"/>
        </w:rPr>
        <w:t>15.24%</w:t>
      </w:r>
      <w:r>
        <w:rPr>
          <w:rFonts w:ascii="Times New Roman" w:eastAsia="方正仿宋_GBK" w:hAnsi="Times New Roman" w:cs="Times New Roman"/>
          <w:snapToGrid w:val="0"/>
          <w:sz w:val="32"/>
          <w:szCs w:val="32"/>
        </w:rPr>
        <w:t>，主要原因是项目拨款收入减少，相应的支出减少。其中：基本支出</w:t>
      </w:r>
      <w:r>
        <w:rPr>
          <w:rFonts w:ascii="Times New Roman" w:eastAsia="方正仿宋_GBK" w:hAnsi="Times New Roman" w:cs="Times New Roman"/>
          <w:snapToGrid w:val="0"/>
          <w:sz w:val="32"/>
          <w:szCs w:val="32"/>
        </w:rPr>
        <w:t>6288.91</w:t>
      </w:r>
      <w:r>
        <w:rPr>
          <w:rFonts w:ascii="Times New Roman" w:eastAsia="方正仿宋_GBK" w:hAnsi="Times New Roman" w:cs="Times New Roman"/>
          <w:snapToGrid w:val="0"/>
          <w:sz w:val="32"/>
          <w:szCs w:val="32"/>
        </w:rPr>
        <w:t>万元，占</w:t>
      </w:r>
      <w:r>
        <w:rPr>
          <w:rFonts w:ascii="Times New Roman" w:eastAsia="方正仿宋_GBK" w:hAnsi="Times New Roman" w:cs="Times New Roman"/>
          <w:snapToGrid w:val="0"/>
          <w:sz w:val="32"/>
          <w:szCs w:val="32"/>
        </w:rPr>
        <w:t>34.33%</w:t>
      </w:r>
      <w:r>
        <w:rPr>
          <w:rFonts w:ascii="Times New Roman" w:eastAsia="方正仿宋_GBK" w:hAnsi="Times New Roman" w:cs="Times New Roman"/>
          <w:snapToGrid w:val="0"/>
          <w:sz w:val="32"/>
          <w:szCs w:val="32"/>
        </w:rPr>
        <w:t>；项目支出</w:t>
      </w:r>
      <w:r>
        <w:rPr>
          <w:rFonts w:ascii="Times New Roman" w:eastAsia="方正仿宋_GBK" w:hAnsi="Times New Roman" w:cs="Times New Roman"/>
          <w:snapToGrid w:val="0"/>
          <w:sz w:val="32"/>
          <w:szCs w:val="32"/>
        </w:rPr>
        <w:t>12029.73</w:t>
      </w:r>
      <w:r>
        <w:rPr>
          <w:rFonts w:ascii="Times New Roman" w:eastAsia="方正仿宋_GBK" w:hAnsi="Times New Roman" w:cs="Times New Roman"/>
          <w:snapToGrid w:val="0"/>
          <w:sz w:val="32"/>
          <w:szCs w:val="32"/>
        </w:rPr>
        <w:t>万元，</w:t>
      </w:r>
      <w:r>
        <w:rPr>
          <w:rFonts w:ascii="Times New Roman" w:eastAsia="方正仿宋_GBK" w:hAnsi="Times New Roman" w:cs="Times New Roman"/>
          <w:snapToGrid w:val="0"/>
          <w:sz w:val="32"/>
          <w:szCs w:val="32"/>
        </w:rPr>
        <w:t>65.67%</w:t>
      </w:r>
      <w:r>
        <w:rPr>
          <w:rFonts w:ascii="Times New Roman" w:eastAsia="方正仿宋_GBK" w:hAnsi="Times New Roman" w:cs="Times New Roman"/>
          <w:snapToGrid w:val="0"/>
          <w:sz w:val="32"/>
          <w:szCs w:val="32"/>
        </w:rPr>
        <w:t>。</w:t>
      </w:r>
      <w:r>
        <w:rPr>
          <w:rFonts w:ascii="Times New Roman" w:eastAsia="方正仿宋_GBK" w:hAnsi="Times New Roman"/>
          <w:sz w:val="32"/>
          <w:szCs w:val="32"/>
        </w:rPr>
        <w:t>此外，结余分配</w:t>
      </w:r>
      <w:r>
        <w:rPr>
          <w:rFonts w:ascii="Times New Roman" w:eastAsia="方正仿宋_GBK" w:hAnsi="Times New Roman" w:hint="eastAsia"/>
          <w:sz w:val="32"/>
          <w:szCs w:val="32"/>
        </w:rPr>
        <w:t>0</w:t>
      </w:r>
      <w:r>
        <w:rPr>
          <w:rFonts w:ascii="Times New Roman" w:eastAsia="方正仿宋_GBK" w:hAnsi="Times New Roman"/>
          <w:sz w:val="32"/>
          <w:szCs w:val="32"/>
        </w:rPr>
        <w:t>万元。</w:t>
      </w:r>
    </w:p>
    <w:p w:rsidR="00093239" w:rsidRDefault="00093239" w:rsidP="00093239">
      <w:pPr>
        <w:pStyle w:val="a6"/>
        <w:spacing w:before="0" w:beforeAutospacing="0" w:after="0" w:afterAutospacing="0" w:line="570" w:lineRule="exact"/>
        <w:ind w:firstLineChars="200" w:firstLine="643"/>
        <w:rPr>
          <w:rFonts w:ascii="Times New Roman" w:eastAsia="方正仿宋_GBK" w:hAnsi="Times New Roman" w:cs="Times New Roman"/>
          <w:snapToGrid w:val="0"/>
          <w:sz w:val="32"/>
          <w:szCs w:val="32"/>
        </w:rPr>
      </w:pPr>
      <w:r>
        <w:rPr>
          <w:rStyle w:val="a5"/>
          <w:rFonts w:ascii="Times New Roman" w:eastAsia="方正仿宋_GBK" w:hAnsi="Times New Roman" w:cs="Times New Roman"/>
          <w:sz w:val="32"/>
          <w:szCs w:val="32"/>
        </w:rPr>
        <w:t> 4.</w:t>
      </w:r>
      <w:r>
        <w:rPr>
          <w:rStyle w:val="a5"/>
          <w:rFonts w:ascii="Times New Roman" w:eastAsia="方正仿宋_GBK" w:hAnsi="Times New Roman" w:cs="Times New Roman"/>
          <w:sz w:val="32"/>
          <w:szCs w:val="32"/>
        </w:rPr>
        <w:t>结转结余情况。</w:t>
      </w:r>
      <w:r>
        <w:rPr>
          <w:rFonts w:ascii="Times New Roman" w:eastAsia="方正仿宋_GBK" w:hAnsi="Times New Roman" w:cs="Times New Roman"/>
          <w:snapToGrid w:val="0"/>
          <w:sz w:val="32"/>
          <w:szCs w:val="32"/>
        </w:rPr>
        <w:t>2022</w:t>
      </w:r>
      <w:r>
        <w:rPr>
          <w:rFonts w:ascii="Times New Roman" w:eastAsia="方正仿宋_GBK" w:hAnsi="Times New Roman" w:cs="Times New Roman"/>
          <w:snapToGrid w:val="0"/>
          <w:sz w:val="32"/>
          <w:szCs w:val="32"/>
        </w:rPr>
        <w:t>年度年末结转和结余</w:t>
      </w:r>
      <w:r>
        <w:rPr>
          <w:rFonts w:ascii="Times New Roman" w:eastAsia="方正仿宋_GBK" w:hAnsi="Times New Roman" w:cs="Times New Roman"/>
          <w:snapToGrid w:val="0"/>
          <w:sz w:val="32"/>
          <w:szCs w:val="32"/>
        </w:rPr>
        <w:t>35.58</w:t>
      </w:r>
      <w:r>
        <w:rPr>
          <w:rFonts w:ascii="Times New Roman" w:eastAsia="方正仿宋_GBK" w:hAnsi="Times New Roman" w:cs="Times New Roman"/>
          <w:snapToGrid w:val="0"/>
          <w:sz w:val="32"/>
          <w:szCs w:val="32"/>
        </w:rPr>
        <w:t>万元，较上年决算数减少</w:t>
      </w:r>
      <w:r>
        <w:rPr>
          <w:rFonts w:ascii="Times New Roman" w:eastAsia="方正仿宋_GBK" w:hAnsi="Times New Roman" w:cs="Times New Roman"/>
          <w:snapToGrid w:val="0"/>
          <w:sz w:val="32"/>
          <w:szCs w:val="32"/>
        </w:rPr>
        <w:t>177.11</w:t>
      </w:r>
      <w:r>
        <w:rPr>
          <w:rFonts w:ascii="Times New Roman" w:eastAsia="方正仿宋_GBK" w:hAnsi="Times New Roman" w:cs="Times New Roman"/>
          <w:snapToGrid w:val="0"/>
          <w:sz w:val="32"/>
          <w:szCs w:val="32"/>
        </w:rPr>
        <w:t>万元，下降</w:t>
      </w:r>
      <w:r>
        <w:rPr>
          <w:rFonts w:ascii="Times New Roman" w:eastAsia="方正仿宋_GBK" w:hAnsi="Times New Roman" w:cs="Times New Roman"/>
          <w:snapToGrid w:val="0"/>
          <w:sz w:val="32"/>
          <w:szCs w:val="32"/>
        </w:rPr>
        <w:t>83.27%</w:t>
      </w:r>
      <w:r>
        <w:rPr>
          <w:rFonts w:ascii="Times New Roman" w:eastAsia="方正仿宋_GBK" w:hAnsi="Times New Roman" w:cs="Times New Roman"/>
          <w:snapToGrid w:val="0"/>
          <w:sz w:val="32"/>
          <w:szCs w:val="32"/>
        </w:rPr>
        <w:t>，主要原因是单位用上年结转的项目资金支付了项目工程款。</w:t>
      </w:r>
    </w:p>
    <w:p w:rsidR="00093239" w:rsidRDefault="00093239" w:rsidP="00093239">
      <w:pPr>
        <w:pStyle w:val="a6"/>
        <w:spacing w:before="0" w:beforeAutospacing="0" w:after="0" w:afterAutospacing="0" w:line="570" w:lineRule="exact"/>
        <w:ind w:firstLineChars="200" w:firstLine="643"/>
        <w:rPr>
          <w:rFonts w:ascii="Times New Roman" w:eastAsia="方正仿宋_GBK" w:hAnsi="Times New Roman" w:cs="Times New Roman"/>
          <w:sz w:val="32"/>
          <w:szCs w:val="32"/>
        </w:rPr>
      </w:pPr>
      <w:r>
        <w:rPr>
          <w:rStyle w:val="a5"/>
          <w:rFonts w:ascii="Times New Roman" w:eastAsia="方正仿宋_GBK" w:hAnsi="Times New Roman" w:cs="Times New Roman"/>
          <w:sz w:val="32"/>
          <w:szCs w:val="32"/>
        </w:rPr>
        <w:t> </w:t>
      </w:r>
      <w:r>
        <w:rPr>
          <w:rStyle w:val="a5"/>
          <w:rFonts w:ascii="方正楷体_GBK" w:eastAsia="方正楷体_GBK" w:hAnsi="方正楷体_GBK" w:cs="方正楷体_GBK" w:hint="eastAsia"/>
          <w:b w:val="0"/>
          <w:bCs w:val="0"/>
          <w:sz w:val="32"/>
          <w:szCs w:val="32"/>
        </w:rPr>
        <w:t>（二）财政拨款收入支出决算总体情况说明</w:t>
      </w:r>
    </w:p>
    <w:p w:rsidR="00093239" w:rsidRDefault="00093239" w:rsidP="00093239">
      <w:pPr>
        <w:pStyle w:val="a6"/>
        <w:spacing w:before="0" w:beforeAutospacing="0" w:after="0" w:afterAutospacing="0" w:line="570" w:lineRule="exact"/>
        <w:ind w:firstLineChars="200" w:firstLine="640"/>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2022</w:t>
      </w:r>
      <w:r>
        <w:rPr>
          <w:rFonts w:ascii="Times New Roman" w:eastAsia="方正仿宋_GBK" w:hAnsi="Times New Roman" w:cs="Times New Roman"/>
          <w:snapToGrid w:val="0"/>
          <w:sz w:val="32"/>
          <w:szCs w:val="32"/>
        </w:rPr>
        <w:t>年度财政拨款收、支总计</w:t>
      </w:r>
      <w:r>
        <w:rPr>
          <w:rFonts w:ascii="Times New Roman" w:eastAsia="方正仿宋_GBK" w:hAnsi="Times New Roman" w:cs="Times New Roman"/>
          <w:snapToGrid w:val="0"/>
          <w:sz w:val="32"/>
          <w:szCs w:val="32"/>
        </w:rPr>
        <w:t>18354.22</w:t>
      </w:r>
      <w:r>
        <w:rPr>
          <w:rFonts w:ascii="Times New Roman" w:eastAsia="方正仿宋_GBK" w:hAnsi="Times New Roman" w:cs="Times New Roman"/>
          <w:snapToGrid w:val="0"/>
          <w:sz w:val="32"/>
          <w:szCs w:val="32"/>
        </w:rPr>
        <w:t>万元。与</w:t>
      </w:r>
      <w:r>
        <w:rPr>
          <w:rFonts w:ascii="Times New Roman" w:eastAsia="方正仿宋_GBK" w:hAnsi="Times New Roman" w:cs="Times New Roman"/>
          <w:snapToGrid w:val="0"/>
          <w:sz w:val="32"/>
          <w:szCs w:val="32"/>
        </w:rPr>
        <w:t>2021</w:t>
      </w:r>
      <w:r>
        <w:rPr>
          <w:rFonts w:ascii="Times New Roman" w:eastAsia="方正仿宋_GBK" w:hAnsi="Times New Roman" w:cs="Times New Roman"/>
          <w:snapToGrid w:val="0"/>
          <w:sz w:val="32"/>
          <w:szCs w:val="32"/>
        </w:rPr>
        <w:t>年相比，财政拨款收、支总计各减少</w:t>
      </w:r>
      <w:r>
        <w:rPr>
          <w:rFonts w:ascii="Times New Roman" w:eastAsia="方正仿宋_GBK" w:hAnsi="Times New Roman" w:cs="Times New Roman"/>
          <w:snapToGrid w:val="0"/>
          <w:sz w:val="32"/>
          <w:szCs w:val="32"/>
        </w:rPr>
        <w:t>3309.54</w:t>
      </w:r>
      <w:r>
        <w:rPr>
          <w:rFonts w:ascii="Times New Roman" w:eastAsia="方正仿宋_GBK" w:hAnsi="Times New Roman" w:cs="Times New Roman"/>
          <w:snapToGrid w:val="0"/>
          <w:sz w:val="32"/>
          <w:szCs w:val="32"/>
        </w:rPr>
        <w:t>万元，下降</w:t>
      </w:r>
      <w:r>
        <w:rPr>
          <w:rFonts w:ascii="Times New Roman" w:eastAsia="方正仿宋_GBK" w:hAnsi="Times New Roman" w:cs="Times New Roman"/>
          <w:snapToGrid w:val="0"/>
          <w:sz w:val="32"/>
          <w:szCs w:val="32"/>
        </w:rPr>
        <w:t>15.28%</w:t>
      </w:r>
      <w:r>
        <w:rPr>
          <w:rFonts w:ascii="Times New Roman" w:eastAsia="方正仿宋_GBK" w:hAnsi="Times New Roman" w:cs="Times New Roman"/>
          <w:snapToGrid w:val="0"/>
          <w:sz w:val="32"/>
          <w:szCs w:val="32"/>
        </w:rPr>
        <w:t>。主要原因是今年部门的一般公共预算拨款的项目资金及其他收入资金较上年有所下降。</w:t>
      </w:r>
    </w:p>
    <w:p w:rsidR="00093239" w:rsidRDefault="00093239" w:rsidP="00093239">
      <w:pPr>
        <w:pStyle w:val="a6"/>
        <w:spacing w:before="0" w:beforeAutospacing="0" w:after="0" w:afterAutospacing="0" w:line="570" w:lineRule="exact"/>
        <w:ind w:firstLineChars="200" w:firstLine="640"/>
        <w:rPr>
          <w:rFonts w:ascii="Times New Roman" w:eastAsia="方正仿宋_GBK" w:hAnsi="Times New Roman" w:cs="Times New Roman"/>
          <w:sz w:val="32"/>
          <w:szCs w:val="32"/>
        </w:rPr>
      </w:pPr>
      <w:r>
        <w:rPr>
          <w:rStyle w:val="a5"/>
          <w:rFonts w:ascii="方正楷体_GBK" w:eastAsia="方正楷体_GBK" w:hAnsi="方正楷体_GBK" w:cs="方正楷体_GBK" w:hint="eastAsia"/>
          <w:b w:val="0"/>
          <w:bCs w:val="0"/>
          <w:sz w:val="32"/>
          <w:szCs w:val="32"/>
        </w:rPr>
        <w:t>（三）一般公共预算财政拨款支出决算情况说明</w:t>
      </w:r>
    </w:p>
    <w:p w:rsidR="00093239" w:rsidRDefault="00093239" w:rsidP="00093239">
      <w:pPr>
        <w:pStyle w:val="a6"/>
        <w:spacing w:before="0" w:beforeAutospacing="0" w:after="0" w:afterAutospacing="0" w:line="570" w:lineRule="exact"/>
        <w:ind w:firstLineChars="200" w:firstLine="643"/>
        <w:rPr>
          <w:rFonts w:ascii="Times New Roman" w:eastAsia="方正仿宋_GBK" w:hAnsi="Times New Roman" w:cs="Times New Roman"/>
          <w:snapToGrid w:val="0"/>
          <w:sz w:val="32"/>
          <w:szCs w:val="32"/>
        </w:rPr>
      </w:pPr>
      <w:r>
        <w:rPr>
          <w:rStyle w:val="a5"/>
          <w:rFonts w:ascii="Times New Roman" w:eastAsia="方正仿宋_GBK" w:hAnsi="Times New Roman" w:cs="Times New Roman"/>
          <w:sz w:val="32"/>
          <w:szCs w:val="32"/>
        </w:rPr>
        <w:t> 1.</w:t>
      </w:r>
      <w:r>
        <w:rPr>
          <w:rStyle w:val="a5"/>
          <w:rFonts w:ascii="Times New Roman" w:eastAsia="方正仿宋_GBK" w:hAnsi="Times New Roman" w:cs="Times New Roman"/>
          <w:sz w:val="32"/>
          <w:szCs w:val="32"/>
        </w:rPr>
        <w:t>收入情况。</w:t>
      </w:r>
      <w:r>
        <w:rPr>
          <w:rFonts w:ascii="Times New Roman" w:eastAsia="方正仿宋_GBK" w:hAnsi="Times New Roman" w:cs="Times New Roman"/>
          <w:snapToGrid w:val="0"/>
          <w:sz w:val="32"/>
          <w:szCs w:val="32"/>
        </w:rPr>
        <w:t>2022</w:t>
      </w:r>
      <w:r>
        <w:rPr>
          <w:rFonts w:ascii="Times New Roman" w:eastAsia="方正仿宋_GBK" w:hAnsi="Times New Roman" w:cs="Times New Roman"/>
          <w:snapToGrid w:val="0"/>
          <w:sz w:val="32"/>
          <w:szCs w:val="32"/>
        </w:rPr>
        <w:t>年度一般公共预算财政拨款收入</w:t>
      </w:r>
      <w:r>
        <w:rPr>
          <w:rFonts w:ascii="Times New Roman" w:eastAsia="方正仿宋_GBK" w:hAnsi="Times New Roman" w:cs="Times New Roman"/>
          <w:snapToGrid w:val="0"/>
          <w:sz w:val="32"/>
          <w:szCs w:val="32"/>
        </w:rPr>
        <w:t>17992.8</w:t>
      </w:r>
      <w:r>
        <w:rPr>
          <w:rFonts w:ascii="Times New Roman" w:eastAsia="方正仿宋_GBK" w:hAnsi="Times New Roman" w:cs="Times New Roman"/>
          <w:snapToGrid w:val="0"/>
          <w:sz w:val="32"/>
          <w:szCs w:val="32"/>
        </w:rPr>
        <w:t>万元，较上年决算数减少</w:t>
      </w:r>
      <w:r>
        <w:rPr>
          <w:rFonts w:ascii="Times New Roman" w:eastAsia="方正仿宋_GBK" w:hAnsi="Times New Roman" w:cs="Times New Roman"/>
          <w:snapToGrid w:val="0"/>
          <w:sz w:val="32"/>
          <w:szCs w:val="32"/>
        </w:rPr>
        <w:t>402.18</w:t>
      </w:r>
      <w:r>
        <w:rPr>
          <w:rFonts w:ascii="Times New Roman" w:eastAsia="方正仿宋_GBK" w:hAnsi="Times New Roman" w:cs="Times New Roman"/>
          <w:snapToGrid w:val="0"/>
          <w:sz w:val="32"/>
          <w:szCs w:val="32"/>
        </w:rPr>
        <w:t>万元，下降</w:t>
      </w:r>
      <w:r>
        <w:rPr>
          <w:rFonts w:ascii="Times New Roman" w:eastAsia="方正仿宋_GBK" w:hAnsi="Times New Roman" w:cs="Times New Roman"/>
          <w:snapToGrid w:val="0"/>
          <w:sz w:val="32"/>
          <w:szCs w:val="32"/>
        </w:rPr>
        <w:t>2.19%</w:t>
      </w:r>
      <w:r>
        <w:rPr>
          <w:rFonts w:ascii="Times New Roman" w:eastAsia="方正仿宋_GBK" w:hAnsi="Times New Roman" w:cs="Times New Roman"/>
          <w:snapToGrid w:val="0"/>
          <w:sz w:val="32"/>
          <w:szCs w:val="32"/>
        </w:rPr>
        <w:t>。主要原因是部门的一般公共预算拨款的项目资金及其他收入资金较上年有所下降。较年初预算数增加</w:t>
      </w:r>
      <w:r>
        <w:rPr>
          <w:rFonts w:ascii="Times New Roman" w:eastAsia="方正仿宋_GBK" w:hAnsi="Times New Roman" w:cs="Times New Roman"/>
          <w:snapToGrid w:val="0"/>
          <w:sz w:val="32"/>
          <w:szCs w:val="32"/>
        </w:rPr>
        <w:t>2398.83</w:t>
      </w:r>
      <w:r>
        <w:rPr>
          <w:rFonts w:ascii="Times New Roman" w:eastAsia="方正仿宋_GBK" w:hAnsi="Times New Roman" w:cs="Times New Roman"/>
          <w:snapToGrid w:val="0"/>
          <w:sz w:val="32"/>
          <w:szCs w:val="32"/>
        </w:rPr>
        <w:t>万元，增长</w:t>
      </w:r>
      <w:r>
        <w:rPr>
          <w:rFonts w:ascii="Times New Roman" w:eastAsia="方正仿宋_GBK" w:hAnsi="Times New Roman" w:cs="Times New Roman"/>
          <w:snapToGrid w:val="0"/>
          <w:sz w:val="32"/>
          <w:szCs w:val="32"/>
        </w:rPr>
        <w:t>15.38%</w:t>
      </w:r>
      <w:r>
        <w:rPr>
          <w:rFonts w:ascii="Times New Roman" w:eastAsia="方正仿宋_GBK" w:hAnsi="Times New Roman" w:cs="Times New Roman"/>
          <w:snapToGrid w:val="0"/>
          <w:sz w:val="32"/>
          <w:szCs w:val="32"/>
        </w:rPr>
        <w:t>。主要原因是市级拨入的林业生态保护与恢复资金及林业改革发展资金较年初预算拨款增加</w:t>
      </w:r>
      <w:r>
        <w:rPr>
          <w:rFonts w:ascii="Times New Roman" w:eastAsia="方正仿宋_GBK" w:hAnsi="Times New Roman" w:cs="Times New Roman"/>
          <w:snapToGrid w:val="0"/>
          <w:sz w:val="32"/>
          <w:szCs w:val="32"/>
        </w:rPr>
        <w:t xml:space="preserve">, </w:t>
      </w:r>
      <w:r>
        <w:rPr>
          <w:rFonts w:ascii="Times New Roman" w:eastAsia="方正仿宋_GBK" w:hAnsi="Times New Roman" w:cs="Times New Roman"/>
          <w:snapToGrid w:val="0"/>
          <w:sz w:val="32"/>
          <w:szCs w:val="32"/>
        </w:rPr>
        <w:t>一般公共预算拨款的基本支出拨款较年初预算增加。此外，年初财政拨款结转和结余</w:t>
      </w:r>
      <w:r>
        <w:rPr>
          <w:rFonts w:ascii="Times New Roman" w:eastAsia="方正仿宋_GBK" w:hAnsi="Times New Roman" w:cs="Times New Roman"/>
          <w:snapToGrid w:val="0"/>
          <w:sz w:val="32"/>
          <w:szCs w:val="32"/>
        </w:rPr>
        <w:t>39.19</w:t>
      </w:r>
      <w:r>
        <w:rPr>
          <w:rFonts w:ascii="Times New Roman" w:eastAsia="方正仿宋_GBK" w:hAnsi="Times New Roman" w:cs="Times New Roman"/>
          <w:snapToGrid w:val="0"/>
          <w:sz w:val="32"/>
          <w:szCs w:val="32"/>
        </w:rPr>
        <w:t>万元。</w:t>
      </w:r>
    </w:p>
    <w:p w:rsidR="00093239" w:rsidRDefault="00093239" w:rsidP="00093239">
      <w:pPr>
        <w:pStyle w:val="a6"/>
        <w:spacing w:before="0" w:beforeAutospacing="0" w:after="0" w:afterAutospacing="0" w:line="570" w:lineRule="exact"/>
        <w:ind w:firstLineChars="200" w:firstLine="643"/>
        <w:rPr>
          <w:rFonts w:ascii="Times New Roman" w:eastAsia="方正仿宋_GBK" w:hAnsi="Times New Roman" w:cs="Times New Roman"/>
          <w:snapToGrid w:val="0"/>
          <w:sz w:val="32"/>
          <w:szCs w:val="32"/>
        </w:rPr>
      </w:pPr>
      <w:r>
        <w:rPr>
          <w:rStyle w:val="a5"/>
          <w:rFonts w:ascii="Times New Roman" w:eastAsia="方正仿宋_GBK" w:hAnsi="Times New Roman" w:cs="Times New Roman"/>
          <w:sz w:val="32"/>
          <w:szCs w:val="32"/>
        </w:rPr>
        <w:lastRenderedPageBreak/>
        <w:t> 2.</w:t>
      </w:r>
      <w:r>
        <w:rPr>
          <w:rStyle w:val="a5"/>
          <w:rFonts w:ascii="Times New Roman" w:eastAsia="方正仿宋_GBK" w:hAnsi="Times New Roman" w:cs="Times New Roman"/>
          <w:sz w:val="32"/>
          <w:szCs w:val="32"/>
        </w:rPr>
        <w:t>支出情况。</w:t>
      </w:r>
      <w:r>
        <w:rPr>
          <w:rFonts w:ascii="Times New Roman" w:eastAsia="方正仿宋_GBK" w:hAnsi="Times New Roman" w:cs="Times New Roman"/>
          <w:snapToGrid w:val="0"/>
          <w:sz w:val="32"/>
          <w:szCs w:val="32"/>
        </w:rPr>
        <w:t>2022</w:t>
      </w:r>
      <w:r>
        <w:rPr>
          <w:rFonts w:ascii="Times New Roman" w:eastAsia="方正仿宋_GBK" w:hAnsi="Times New Roman" w:cs="Times New Roman"/>
          <w:snapToGrid w:val="0"/>
          <w:sz w:val="32"/>
          <w:szCs w:val="32"/>
        </w:rPr>
        <w:t>年度一般公共预算财政拨款支出</w:t>
      </w:r>
      <w:r>
        <w:rPr>
          <w:rFonts w:ascii="Times New Roman" w:eastAsia="方正仿宋_GBK" w:hAnsi="Times New Roman" w:cs="Times New Roman"/>
          <w:snapToGrid w:val="0"/>
          <w:sz w:val="32"/>
          <w:szCs w:val="32"/>
        </w:rPr>
        <w:t>17996.41</w:t>
      </w:r>
      <w:r>
        <w:rPr>
          <w:rFonts w:ascii="Times New Roman" w:eastAsia="方正仿宋_GBK" w:hAnsi="Times New Roman" w:cs="Times New Roman"/>
          <w:snapToGrid w:val="0"/>
          <w:sz w:val="32"/>
          <w:szCs w:val="32"/>
        </w:rPr>
        <w:t>万元，较上年决算数减少</w:t>
      </w:r>
      <w:r>
        <w:rPr>
          <w:rFonts w:ascii="Times New Roman" w:eastAsia="方正仿宋_GBK" w:hAnsi="Times New Roman" w:cs="Times New Roman"/>
          <w:snapToGrid w:val="0"/>
          <w:sz w:val="32"/>
          <w:szCs w:val="32"/>
        </w:rPr>
        <w:t>1415.8</w:t>
      </w:r>
      <w:r>
        <w:rPr>
          <w:rFonts w:ascii="Times New Roman" w:eastAsia="方正仿宋_GBK" w:hAnsi="Times New Roman" w:cs="Times New Roman"/>
          <w:snapToGrid w:val="0"/>
          <w:sz w:val="32"/>
          <w:szCs w:val="32"/>
        </w:rPr>
        <w:t>万元，下降</w:t>
      </w:r>
      <w:r>
        <w:rPr>
          <w:rFonts w:ascii="Times New Roman" w:eastAsia="方正仿宋_GBK" w:hAnsi="Times New Roman" w:cs="Times New Roman"/>
          <w:snapToGrid w:val="0"/>
          <w:sz w:val="32"/>
          <w:szCs w:val="32"/>
        </w:rPr>
        <w:t>7.29%</w:t>
      </w:r>
      <w:r>
        <w:rPr>
          <w:rFonts w:ascii="Times New Roman" w:eastAsia="方正仿宋_GBK" w:hAnsi="Times New Roman" w:cs="Times New Roman"/>
          <w:snapToGrid w:val="0"/>
          <w:sz w:val="32"/>
          <w:szCs w:val="32"/>
        </w:rPr>
        <w:t>。主要原因是项目资金收入减少，相应的支出减少。较年初预算数增加</w:t>
      </w:r>
      <w:r>
        <w:rPr>
          <w:rFonts w:ascii="Times New Roman" w:eastAsia="方正仿宋_GBK" w:hAnsi="Times New Roman" w:cs="Times New Roman"/>
          <w:snapToGrid w:val="0"/>
          <w:sz w:val="32"/>
          <w:szCs w:val="32"/>
        </w:rPr>
        <w:t>6822.78</w:t>
      </w:r>
      <w:r>
        <w:rPr>
          <w:rFonts w:ascii="Times New Roman" w:eastAsia="方正仿宋_GBK" w:hAnsi="Times New Roman" w:cs="Times New Roman"/>
          <w:snapToGrid w:val="0"/>
          <w:sz w:val="32"/>
          <w:szCs w:val="32"/>
        </w:rPr>
        <w:t>万元，增长</w:t>
      </w:r>
      <w:r>
        <w:rPr>
          <w:rFonts w:ascii="Times New Roman" w:eastAsia="方正仿宋_GBK" w:hAnsi="Times New Roman" w:cs="Times New Roman"/>
          <w:snapToGrid w:val="0"/>
          <w:sz w:val="32"/>
          <w:szCs w:val="32"/>
        </w:rPr>
        <w:t>61.06%</w:t>
      </w:r>
      <w:r>
        <w:rPr>
          <w:rFonts w:ascii="Times New Roman" w:eastAsia="方正仿宋_GBK" w:hAnsi="Times New Roman" w:cs="Times New Roman"/>
          <w:snapToGrid w:val="0"/>
          <w:sz w:val="32"/>
          <w:szCs w:val="32"/>
        </w:rPr>
        <w:t>。主要原因是林业生态保护与恢复资金及林业改革发展资金较年初预算增加，一般公共预算拨款的基本支出拨款较年初预算增加，支出相应增加。</w:t>
      </w:r>
    </w:p>
    <w:p w:rsidR="00093239" w:rsidRDefault="00093239" w:rsidP="00093239">
      <w:pPr>
        <w:pStyle w:val="a6"/>
        <w:spacing w:before="0" w:beforeAutospacing="0" w:after="0" w:afterAutospacing="0" w:line="570" w:lineRule="exact"/>
        <w:ind w:firstLineChars="200" w:firstLine="643"/>
        <w:rPr>
          <w:rFonts w:ascii="Times New Roman" w:eastAsia="方正仿宋_GBK" w:hAnsi="Times New Roman" w:cs="Times New Roman"/>
          <w:snapToGrid w:val="0"/>
          <w:sz w:val="32"/>
          <w:szCs w:val="32"/>
        </w:rPr>
      </w:pPr>
      <w:r>
        <w:rPr>
          <w:rStyle w:val="a5"/>
          <w:rFonts w:ascii="Times New Roman" w:eastAsia="方正仿宋_GBK" w:hAnsi="Times New Roman" w:cs="Times New Roman"/>
          <w:sz w:val="32"/>
          <w:szCs w:val="32"/>
        </w:rPr>
        <w:t> 3.</w:t>
      </w:r>
      <w:r>
        <w:rPr>
          <w:rStyle w:val="a5"/>
          <w:rFonts w:ascii="Times New Roman" w:eastAsia="方正仿宋_GBK" w:hAnsi="Times New Roman" w:cs="Times New Roman"/>
          <w:sz w:val="32"/>
          <w:szCs w:val="32"/>
        </w:rPr>
        <w:t>结转结余情况。</w:t>
      </w:r>
      <w:r>
        <w:rPr>
          <w:rFonts w:ascii="Times New Roman" w:eastAsia="方正仿宋_GBK" w:hAnsi="Times New Roman" w:cs="Times New Roman"/>
          <w:snapToGrid w:val="0"/>
          <w:sz w:val="32"/>
          <w:szCs w:val="32"/>
        </w:rPr>
        <w:t>2022</w:t>
      </w:r>
      <w:r>
        <w:rPr>
          <w:rFonts w:ascii="Times New Roman" w:eastAsia="方正仿宋_GBK" w:hAnsi="Times New Roman" w:cs="Times New Roman"/>
          <w:snapToGrid w:val="0"/>
          <w:sz w:val="32"/>
          <w:szCs w:val="32"/>
        </w:rPr>
        <w:t>年度年末结转和结余</w:t>
      </w:r>
      <w:r>
        <w:rPr>
          <w:rFonts w:ascii="Times New Roman" w:eastAsia="方正仿宋_GBK" w:hAnsi="Times New Roman" w:cs="Times New Roman"/>
          <w:snapToGrid w:val="0"/>
          <w:sz w:val="32"/>
          <w:szCs w:val="32"/>
        </w:rPr>
        <w:t>35.58</w:t>
      </w:r>
      <w:r>
        <w:rPr>
          <w:rFonts w:ascii="Times New Roman" w:eastAsia="方正仿宋_GBK" w:hAnsi="Times New Roman" w:cs="Times New Roman"/>
          <w:snapToGrid w:val="0"/>
          <w:sz w:val="32"/>
          <w:szCs w:val="32"/>
        </w:rPr>
        <w:t>万元，较上年决算数减少</w:t>
      </w:r>
      <w:r>
        <w:rPr>
          <w:rFonts w:ascii="Times New Roman" w:eastAsia="方正仿宋_GBK" w:hAnsi="Times New Roman" w:cs="Times New Roman"/>
          <w:snapToGrid w:val="0"/>
          <w:sz w:val="32"/>
          <w:szCs w:val="32"/>
        </w:rPr>
        <w:t>177.11</w:t>
      </w:r>
      <w:r>
        <w:rPr>
          <w:rFonts w:ascii="Times New Roman" w:eastAsia="方正仿宋_GBK" w:hAnsi="Times New Roman" w:cs="Times New Roman"/>
          <w:snapToGrid w:val="0"/>
          <w:sz w:val="32"/>
          <w:szCs w:val="32"/>
        </w:rPr>
        <w:t>万元，下降</w:t>
      </w:r>
      <w:r>
        <w:rPr>
          <w:rFonts w:ascii="Times New Roman" w:eastAsia="方正仿宋_GBK" w:hAnsi="Times New Roman" w:cs="Times New Roman"/>
          <w:snapToGrid w:val="0"/>
          <w:sz w:val="32"/>
          <w:szCs w:val="32"/>
        </w:rPr>
        <w:t>83.27%</w:t>
      </w:r>
      <w:r>
        <w:rPr>
          <w:rFonts w:ascii="Times New Roman" w:eastAsia="方正仿宋_GBK" w:hAnsi="Times New Roman" w:cs="Times New Roman"/>
          <w:snapToGrid w:val="0"/>
          <w:sz w:val="32"/>
          <w:szCs w:val="32"/>
        </w:rPr>
        <w:t>，主要原因是单位用上年结转的项目资金支付了项目工程款。</w:t>
      </w:r>
    </w:p>
    <w:p w:rsidR="00093239" w:rsidRDefault="00093239" w:rsidP="00093239">
      <w:pPr>
        <w:pStyle w:val="a6"/>
        <w:snapToGrid w:val="0"/>
        <w:spacing w:before="0" w:beforeAutospacing="0" w:after="0" w:afterAutospacing="0" w:line="570" w:lineRule="exact"/>
        <w:ind w:firstLineChars="200" w:firstLine="643"/>
        <w:rPr>
          <w:rFonts w:ascii="Times New Roman" w:eastAsia="方正仿宋_GBK" w:hAnsi="Times New Roman" w:cs="Times New Roman"/>
          <w:snapToGrid w:val="0"/>
          <w:sz w:val="32"/>
          <w:szCs w:val="32"/>
        </w:rPr>
      </w:pPr>
      <w:r>
        <w:rPr>
          <w:rStyle w:val="a5"/>
          <w:rFonts w:ascii="Times New Roman" w:eastAsia="方正仿宋_GBK" w:hAnsi="Times New Roman" w:cs="Times New Roman"/>
          <w:sz w:val="32"/>
          <w:szCs w:val="32"/>
        </w:rPr>
        <w:t> 4.</w:t>
      </w:r>
      <w:r>
        <w:rPr>
          <w:rStyle w:val="a5"/>
          <w:rFonts w:ascii="Times New Roman" w:eastAsia="方正仿宋_GBK" w:hAnsi="Times New Roman" w:cs="Times New Roman"/>
          <w:sz w:val="32"/>
          <w:szCs w:val="32"/>
        </w:rPr>
        <w:t>比较情况。</w:t>
      </w:r>
      <w:r>
        <w:rPr>
          <w:rFonts w:ascii="Times New Roman" w:eastAsia="方正仿宋_GBK" w:hAnsi="Times New Roman" w:cs="Times New Roman"/>
          <w:snapToGrid w:val="0"/>
          <w:sz w:val="32"/>
          <w:szCs w:val="32"/>
        </w:rPr>
        <w:t>本部门</w:t>
      </w:r>
      <w:r>
        <w:rPr>
          <w:rFonts w:ascii="Times New Roman" w:eastAsia="方正仿宋_GBK" w:hAnsi="Times New Roman" w:cs="Times New Roman"/>
          <w:snapToGrid w:val="0"/>
          <w:sz w:val="32"/>
          <w:szCs w:val="32"/>
        </w:rPr>
        <w:t>2022</w:t>
      </w:r>
      <w:r>
        <w:rPr>
          <w:rFonts w:ascii="Times New Roman" w:eastAsia="方正仿宋_GBK" w:hAnsi="Times New Roman" w:cs="Times New Roman"/>
          <w:snapToGrid w:val="0"/>
          <w:sz w:val="32"/>
          <w:szCs w:val="32"/>
        </w:rPr>
        <w:t>年度一般公共预算财政拨款支出主要用于以下几个方面：</w:t>
      </w:r>
      <w:r>
        <w:rPr>
          <w:rFonts w:ascii="Times New Roman" w:eastAsia="方正仿宋_GBK" w:hAnsi="Times New Roman" w:cs="Times New Roman"/>
          <w:snapToGrid w:val="0"/>
          <w:sz w:val="32"/>
          <w:szCs w:val="32"/>
        </w:rPr>
        <w:t xml:space="preserve"> </w:t>
      </w:r>
    </w:p>
    <w:p w:rsidR="00093239" w:rsidRDefault="00093239" w:rsidP="00093239">
      <w:pPr>
        <w:pStyle w:val="a6"/>
        <w:snapToGrid w:val="0"/>
        <w:spacing w:before="0" w:beforeAutospacing="0" w:after="0" w:afterAutospacing="0" w:line="570" w:lineRule="exact"/>
        <w:ind w:firstLineChars="200" w:firstLine="640"/>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w:t>
      </w:r>
      <w:r>
        <w:rPr>
          <w:rFonts w:ascii="Times New Roman" w:eastAsia="方正仿宋_GBK" w:hAnsi="Times New Roman" w:cs="Times New Roman"/>
          <w:snapToGrid w:val="0"/>
          <w:sz w:val="32"/>
          <w:szCs w:val="32"/>
        </w:rPr>
        <w:t>1</w:t>
      </w:r>
      <w:r>
        <w:rPr>
          <w:rFonts w:ascii="Times New Roman" w:eastAsia="方正仿宋_GBK" w:hAnsi="Times New Roman" w:cs="Times New Roman"/>
          <w:snapToGrid w:val="0"/>
          <w:sz w:val="32"/>
          <w:szCs w:val="32"/>
        </w:rPr>
        <w:t>）一般公共服务支出</w:t>
      </w:r>
      <w:r>
        <w:rPr>
          <w:rFonts w:ascii="Times New Roman" w:eastAsia="方正仿宋_GBK" w:hAnsi="Times New Roman" w:cs="Times New Roman"/>
          <w:snapToGrid w:val="0"/>
          <w:sz w:val="32"/>
          <w:szCs w:val="32"/>
        </w:rPr>
        <w:t>3.89</w:t>
      </w:r>
      <w:r>
        <w:rPr>
          <w:rFonts w:ascii="Times New Roman" w:eastAsia="方正仿宋_GBK" w:hAnsi="Times New Roman" w:cs="Times New Roman"/>
          <w:snapToGrid w:val="0"/>
          <w:sz w:val="32"/>
          <w:szCs w:val="32"/>
        </w:rPr>
        <w:t>万元，占</w:t>
      </w:r>
      <w:r>
        <w:rPr>
          <w:rFonts w:ascii="Times New Roman" w:eastAsia="方正仿宋_GBK" w:hAnsi="Times New Roman" w:cs="Times New Roman"/>
          <w:snapToGrid w:val="0"/>
          <w:sz w:val="32"/>
          <w:szCs w:val="32"/>
        </w:rPr>
        <w:t>0.02%</w:t>
      </w:r>
      <w:r>
        <w:rPr>
          <w:rFonts w:ascii="Times New Roman" w:eastAsia="方正仿宋_GBK" w:hAnsi="Times New Roman" w:cs="Times New Roman"/>
          <w:snapToGrid w:val="0"/>
          <w:sz w:val="32"/>
          <w:szCs w:val="32"/>
        </w:rPr>
        <w:t>，较年初预算数增加</w:t>
      </w:r>
      <w:r>
        <w:rPr>
          <w:rFonts w:ascii="Times New Roman" w:eastAsia="方正仿宋_GBK" w:hAnsi="Times New Roman" w:cs="Times New Roman"/>
          <w:snapToGrid w:val="0"/>
          <w:sz w:val="32"/>
          <w:szCs w:val="32"/>
        </w:rPr>
        <w:t>3.89</w:t>
      </w:r>
      <w:r>
        <w:rPr>
          <w:rFonts w:ascii="Times New Roman" w:eastAsia="方正仿宋_GBK" w:hAnsi="Times New Roman" w:cs="Times New Roman"/>
          <w:snapToGrid w:val="0"/>
          <w:sz w:val="32"/>
          <w:szCs w:val="32"/>
        </w:rPr>
        <w:t>万元，增长</w:t>
      </w:r>
      <w:r>
        <w:rPr>
          <w:rFonts w:ascii="Times New Roman" w:eastAsia="方正仿宋_GBK" w:hAnsi="Times New Roman" w:cs="Times New Roman"/>
          <w:snapToGrid w:val="0"/>
          <w:sz w:val="32"/>
          <w:szCs w:val="32"/>
        </w:rPr>
        <w:t>%</w:t>
      </w:r>
      <w:r>
        <w:rPr>
          <w:rFonts w:ascii="Times New Roman" w:eastAsia="方正仿宋_GBK" w:hAnsi="Times New Roman" w:cs="Times New Roman"/>
          <w:snapToGrid w:val="0"/>
          <w:sz w:val="32"/>
          <w:szCs w:val="32"/>
        </w:rPr>
        <w:t>，主要原因是增加的信访事务支出及招商引资支出。</w:t>
      </w:r>
    </w:p>
    <w:p w:rsidR="00093239" w:rsidRDefault="00093239" w:rsidP="00093239">
      <w:pPr>
        <w:pStyle w:val="a6"/>
        <w:snapToGrid w:val="0"/>
        <w:spacing w:before="0" w:beforeAutospacing="0" w:after="0" w:afterAutospacing="0" w:line="570" w:lineRule="exact"/>
        <w:ind w:firstLineChars="200" w:firstLine="640"/>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w:t>
      </w:r>
      <w:r>
        <w:rPr>
          <w:rFonts w:ascii="Times New Roman" w:eastAsia="方正仿宋_GBK" w:hAnsi="Times New Roman" w:cs="Times New Roman"/>
          <w:snapToGrid w:val="0"/>
          <w:sz w:val="32"/>
          <w:szCs w:val="32"/>
        </w:rPr>
        <w:t>2</w:t>
      </w:r>
      <w:r>
        <w:rPr>
          <w:rFonts w:ascii="Times New Roman" w:eastAsia="方正仿宋_GBK" w:hAnsi="Times New Roman" w:cs="Times New Roman"/>
          <w:snapToGrid w:val="0"/>
          <w:sz w:val="32"/>
          <w:szCs w:val="32"/>
        </w:rPr>
        <w:t>）社会保障与就业支出</w:t>
      </w:r>
      <w:r>
        <w:rPr>
          <w:rFonts w:ascii="Times New Roman" w:eastAsia="方正仿宋_GBK" w:hAnsi="Times New Roman" w:cs="Times New Roman"/>
          <w:snapToGrid w:val="0"/>
          <w:sz w:val="32"/>
          <w:szCs w:val="32"/>
        </w:rPr>
        <w:t>1193.84</w:t>
      </w:r>
      <w:r>
        <w:rPr>
          <w:rFonts w:ascii="Times New Roman" w:eastAsia="方正仿宋_GBK" w:hAnsi="Times New Roman" w:cs="Times New Roman"/>
          <w:snapToGrid w:val="0"/>
          <w:sz w:val="32"/>
          <w:szCs w:val="32"/>
        </w:rPr>
        <w:t>万元，占</w:t>
      </w:r>
      <w:r>
        <w:rPr>
          <w:rFonts w:ascii="Times New Roman" w:eastAsia="方正仿宋_GBK" w:hAnsi="Times New Roman" w:cs="Times New Roman"/>
          <w:snapToGrid w:val="0"/>
          <w:sz w:val="32"/>
          <w:szCs w:val="32"/>
        </w:rPr>
        <w:t>6.63%</w:t>
      </w:r>
      <w:r>
        <w:rPr>
          <w:rFonts w:ascii="Times New Roman" w:eastAsia="方正仿宋_GBK" w:hAnsi="Times New Roman" w:cs="Times New Roman"/>
          <w:snapToGrid w:val="0"/>
          <w:sz w:val="32"/>
          <w:szCs w:val="32"/>
        </w:rPr>
        <w:t>，较年初预算数增加</w:t>
      </w:r>
      <w:r>
        <w:rPr>
          <w:rFonts w:ascii="Times New Roman" w:eastAsia="方正仿宋_GBK" w:hAnsi="Times New Roman" w:cs="Times New Roman"/>
          <w:snapToGrid w:val="0"/>
          <w:sz w:val="32"/>
          <w:szCs w:val="32"/>
        </w:rPr>
        <w:t>158.63</w:t>
      </w:r>
      <w:r>
        <w:rPr>
          <w:rFonts w:ascii="Times New Roman" w:eastAsia="方正仿宋_GBK" w:hAnsi="Times New Roman" w:cs="Times New Roman"/>
          <w:snapToGrid w:val="0"/>
          <w:sz w:val="32"/>
          <w:szCs w:val="32"/>
        </w:rPr>
        <w:t>万元，增长</w:t>
      </w:r>
      <w:r>
        <w:rPr>
          <w:rFonts w:ascii="Times New Roman" w:eastAsia="方正仿宋_GBK" w:hAnsi="Times New Roman" w:cs="Times New Roman"/>
          <w:snapToGrid w:val="0"/>
          <w:sz w:val="32"/>
          <w:szCs w:val="32"/>
        </w:rPr>
        <w:t>15.32%</w:t>
      </w:r>
      <w:r>
        <w:rPr>
          <w:rFonts w:ascii="Times New Roman" w:eastAsia="方正仿宋_GBK" w:hAnsi="Times New Roman" w:cs="Times New Roman"/>
          <w:snapToGrid w:val="0"/>
          <w:sz w:val="32"/>
          <w:szCs w:val="32"/>
        </w:rPr>
        <w:t>，主要原因是人员调入及人员工资调资晋级、社会保障缴费标准调整。</w:t>
      </w:r>
    </w:p>
    <w:p w:rsidR="00093239" w:rsidRDefault="00093239" w:rsidP="00093239">
      <w:pPr>
        <w:pStyle w:val="a6"/>
        <w:snapToGrid w:val="0"/>
        <w:spacing w:before="0" w:beforeAutospacing="0" w:after="0" w:afterAutospacing="0" w:line="570" w:lineRule="exact"/>
        <w:ind w:firstLineChars="200" w:firstLine="640"/>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w:t>
      </w:r>
      <w:r>
        <w:rPr>
          <w:rFonts w:ascii="Times New Roman" w:eastAsia="方正仿宋_GBK" w:hAnsi="Times New Roman" w:cs="Times New Roman"/>
          <w:snapToGrid w:val="0"/>
          <w:sz w:val="32"/>
          <w:szCs w:val="32"/>
        </w:rPr>
        <w:t>3</w:t>
      </w:r>
      <w:r>
        <w:rPr>
          <w:rFonts w:ascii="Times New Roman" w:eastAsia="方正仿宋_GBK" w:hAnsi="Times New Roman" w:cs="Times New Roman"/>
          <w:snapToGrid w:val="0"/>
          <w:sz w:val="32"/>
          <w:szCs w:val="32"/>
        </w:rPr>
        <w:t>）卫生健康支出</w:t>
      </w:r>
      <w:r>
        <w:rPr>
          <w:rFonts w:ascii="Times New Roman" w:eastAsia="方正仿宋_GBK" w:hAnsi="Times New Roman" w:cs="Times New Roman"/>
          <w:snapToGrid w:val="0"/>
          <w:sz w:val="32"/>
          <w:szCs w:val="32"/>
        </w:rPr>
        <w:t>308.22</w:t>
      </w:r>
      <w:r>
        <w:rPr>
          <w:rFonts w:ascii="Times New Roman" w:eastAsia="方正仿宋_GBK" w:hAnsi="Times New Roman" w:cs="Times New Roman"/>
          <w:snapToGrid w:val="0"/>
          <w:sz w:val="32"/>
          <w:szCs w:val="32"/>
        </w:rPr>
        <w:t>万元，占</w:t>
      </w:r>
      <w:r>
        <w:rPr>
          <w:rFonts w:ascii="Times New Roman" w:eastAsia="方正仿宋_GBK" w:hAnsi="Times New Roman" w:cs="Times New Roman"/>
          <w:snapToGrid w:val="0"/>
          <w:sz w:val="32"/>
          <w:szCs w:val="32"/>
        </w:rPr>
        <w:t>1.71%</w:t>
      </w:r>
      <w:r>
        <w:rPr>
          <w:rFonts w:ascii="Times New Roman" w:eastAsia="方正仿宋_GBK" w:hAnsi="Times New Roman" w:cs="Times New Roman"/>
          <w:snapToGrid w:val="0"/>
          <w:sz w:val="32"/>
          <w:szCs w:val="32"/>
        </w:rPr>
        <w:t>，较年初预算数减少</w:t>
      </w:r>
      <w:r>
        <w:rPr>
          <w:rFonts w:ascii="Times New Roman" w:eastAsia="方正仿宋_GBK" w:hAnsi="Times New Roman" w:cs="Times New Roman"/>
          <w:snapToGrid w:val="0"/>
          <w:sz w:val="32"/>
          <w:szCs w:val="32"/>
        </w:rPr>
        <w:t>9.83</w:t>
      </w:r>
      <w:r>
        <w:rPr>
          <w:rFonts w:ascii="Times New Roman" w:eastAsia="方正仿宋_GBK" w:hAnsi="Times New Roman" w:cs="Times New Roman"/>
          <w:snapToGrid w:val="0"/>
          <w:sz w:val="32"/>
          <w:szCs w:val="32"/>
        </w:rPr>
        <w:t>万元，下降</w:t>
      </w:r>
      <w:r>
        <w:rPr>
          <w:rFonts w:ascii="Times New Roman" w:eastAsia="方正仿宋_GBK" w:hAnsi="Times New Roman" w:cs="Times New Roman"/>
          <w:snapToGrid w:val="0"/>
          <w:sz w:val="32"/>
          <w:szCs w:val="32"/>
        </w:rPr>
        <w:t>3.09%</w:t>
      </w:r>
      <w:r>
        <w:rPr>
          <w:rFonts w:ascii="Times New Roman" w:eastAsia="方正仿宋_GBK" w:hAnsi="Times New Roman" w:cs="Times New Roman"/>
          <w:snapToGrid w:val="0"/>
          <w:sz w:val="32"/>
          <w:szCs w:val="32"/>
        </w:rPr>
        <w:t>，主要原因是人员退休减少等导致缴费减少。</w:t>
      </w:r>
    </w:p>
    <w:p w:rsidR="00093239" w:rsidRDefault="00093239" w:rsidP="00093239">
      <w:pPr>
        <w:pStyle w:val="a6"/>
        <w:snapToGrid w:val="0"/>
        <w:spacing w:before="0" w:beforeAutospacing="0" w:after="0" w:afterAutospacing="0" w:line="570" w:lineRule="exact"/>
        <w:ind w:firstLineChars="200" w:firstLine="640"/>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lastRenderedPageBreak/>
        <w:t>（</w:t>
      </w:r>
      <w:r>
        <w:rPr>
          <w:rFonts w:ascii="Times New Roman" w:eastAsia="方正仿宋_GBK" w:hAnsi="Times New Roman" w:cs="Times New Roman"/>
          <w:snapToGrid w:val="0"/>
          <w:sz w:val="32"/>
          <w:szCs w:val="32"/>
        </w:rPr>
        <w:t>4</w:t>
      </w:r>
      <w:r>
        <w:rPr>
          <w:rFonts w:ascii="Times New Roman" w:eastAsia="方正仿宋_GBK" w:hAnsi="Times New Roman" w:cs="Times New Roman"/>
          <w:snapToGrid w:val="0"/>
          <w:sz w:val="32"/>
          <w:szCs w:val="32"/>
        </w:rPr>
        <w:t>）节能环保支出</w:t>
      </w:r>
      <w:r>
        <w:rPr>
          <w:rFonts w:ascii="Times New Roman" w:eastAsia="方正仿宋_GBK" w:hAnsi="Times New Roman" w:cs="Times New Roman"/>
          <w:snapToGrid w:val="0"/>
          <w:sz w:val="32"/>
          <w:szCs w:val="32"/>
        </w:rPr>
        <w:t>4672.69</w:t>
      </w:r>
      <w:r>
        <w:rPr>
          <w:rFonts w:ascii="Times New Roman" w:eastAsia="方正仿宋_GBK" w:hAnsi="Times New Roman" w:cs="Times New Roman"/>
          <w:snapToGrid w:val="0"/>
          <w:sz w:val="32"/>
          <w:szCs w:val="32"/>
        </w:rPr>
        <w:t>万元，占</w:t>
      </w:r>
      <w:r>
        <w:rPr>
          <w:rFonts w:ascii="Times New Roman" w:eastAsia="方正仿宋_GBK" w:hAnsi="Times New Roman" w:cs="Times New Roman"/>
          <w:snapToGrid w:val="0"/>
          <w:sz w:val="32"/>
          <w:szCs w:val="32"/>
        </w:rPr>
        <w:t>25.96%</w:t>
      </w:r>
      <w:r>
        <w:rPr>
          <w:rFonts w:ascii="Times New Roman" w:eastAsia="方正仿宋_GBK" w:hAnsi="Times New Roman" w:cs="Times New Roman"/>
          <w:snapToGrid w:val="0"/>
          <w:sz w:val="32"/>
          <w:szCs w:val="32"/>
        </w:rPr>
        <w:t>，较年初预算数增加</w:t>
      </w:r>
      <w:r>
        <w:rPr>
          <w:rFonts w:ascii="Times New Roman" w:eastAsia="方正仿宋_GBK" w:hAnsi="Times New Roman" w:cs="Times New Roman"/>
          <w:snapToGrid w:val="0"/>
          <w:sz w:val="32"/>
          <w:szCs w:val="32"/>
        </w:rPr>
        <w:t>2349.69</w:t>
      </w:r>
      <w:r>
        <w:rPr>
          <w:rFonts w:ascii="Times New Roman" w:eastAsia="方正仿宋_GBK" w:hAnsi="Times New Roman" w:cs="Times New Roman"/>
          <w:snapToGrid w:val="0"/>
          <w:sz w:val="32"/>
          <w:szCs w:val="32"/>
        </w:rPr>
        <w:t>万元，增长</w:t>
      </w:r>
      <w:r>
        <w:rPr>
          <w:rFonts w:ascii="Times New Roman" w:eastAsia="方正仿宋_GBK" w:hAnsi="Times New Roman" w:cs="Times New Roman"/>
          <w:snapToGrid w:val="0"/>
          <w:sz w:val="32"/>
          <w:szCs w:val="32"/>
        </w:rPr>
        <w:t>101.15%</w:t>
      </w:r>
      <w:r>
        <w:rPr>
          <w:rFonts w:ascii="Times New Roman" w:eastAsia="方正仿宋_GBK" w:hAnsi="Times New Roman" w:cs="Times New Roman"/>
          <w:snapToGrid w:val="0"/>
          <w:sz w:val="32"/>
          <w:szCs w:val="32"/>
        </w:rPr>
        <w:t>，主要原因是林业生态保护与恢复资金的节能环保建设资金拨入增加，相应的支出增加。</w:t>
      </w:r>
    </w:p>
    <w:p w:rsidR="00093239" w:rsidRDefault="00093239" w:rsidP="00093239">
      <w:pPr>
        <w:pStyle w:val="a6"/>
        <w:snapToGrid w:val="0"/>
        <w:spacing w:before="0" w:beforeAutospacing="0" w:after="0" w:afterAutospacing="0" w:line="570" w:lineRule="exact"/>
        <w:ind w:firstLineChars="200" w:firstLine="640"/>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w:t>
      </w:r>
      <w:r>
        <w:rPr>
          <w:rFonts w:ascii="Times New Roman" w:eastAsia="方正仿宋_GBK" w:hAnsi="Times New Roman" w:cs="Times New Roman"/>
          <w:snapToGrid w:val="0"/>
          <w:sz w:val="32"/>
          <w:szCs w:val="32"/>
        </w:rPr>
        <w:t>5</w:t>
      </w:r>
      <w:r>
        <w:rPr>
          <w:rFonts w:ascii="Times New Roman" w:eastAsia="方正仿宋_GBK" w:hAnsi="Times New Roman" w:cs="Times New Roman"/>
          <w:snapToGrid w:val="0"/>
          <w:sz w:val="32"/>
          <w:szCs w:val="32"/>
        </w:rPr>
        <w:t>）农林水支出</w:t>
      </w:r>
      <w:r>
        <w:rPr>
          <w:rFonts w:ascii="Times New Roman" w:eastAsia="方正仿宋_GBK" w:hAnsi="Times New Roman" w:cs="Times New Roman"/>
          <w:snapToGrid w:val="0"/>
          <w:sz w:val="32"/>
          <w:szCs w:val="32"/>
        </w:rPr>
        <w:t>10302.24</w:t>
      </w:r>
      <w:r>
        <w:rPr>
          <w:rFonts w:ascii="Times New Roman" w:eastAsia="方正仿宋_GBK" w:hAnsi="Times New Roman" w:cs="Times New Roman"/>
          <w:snapToGrid w:val="0"/>
          <w:sz w:val="32"/>
          <w:szCs w:val="32"/>
        </w:rPr>
        <w:t>万元，占</w:t>
      </w:r>
      <w:r>
        <w:rPr>
          <w:rFonts w:ascii="Times New Roman" w:eastAsia="方正仿宋_GBK" w:hAnsi="Times New Roman" w:cs="Times New Roman"/>
          <w:snapToGrid w:val="0"/>
          <w:sz w:val="32"/>
          <w:szCs w:val="32"/>
        </w:rPr>
        <w:t>57.25%</w:t>
      </w:r>
      <w:r>
        <w:rPr>
          <w:rFonts w:ascii="Times New Roman" w:eastAsia="方正仿宋_GBK" w:hAnsi="Times New Roman" w:cs="Times New Roman"/>
          <w:snapToGrid w:val="0"/>
          <w:sz w:val="32"/>
          <w:szCs w:val="32"/>
        </w:rPr>
        <w:t>，较年初预算数减少</w:t>
      </w:r>
      <w:r>
        <w:rPr>
          <w:rFonts w:ascii="Times New Roman" w:eastAsia="方正仿宋_GBK" w:hAnsi="Times New Roman" w:cs="Times New Roman"/>
          <w:snapToGrid w:val="0"/>
          <w:sz w:val="32"/>
          <w:szCs w:val="32"/>
        </w:rPr>
        <w:t>1356.51</w:t>
      </w:r>
      <w:r>
        <w:rPr>
          <w:rFonts w:ascii="Times New Roman" w:eastAsia="方正仿宋_GBK" w:hAnsi="Times New Roman" w:cs="Times New Roman"/>
          <w:snapToGrid w:val="0"/>
          <w:sz w:val="32"/>
          <w:szCs w:val="32"/>
        </w:rPr>
        <w:t>万元，下降</w:t>
      </w:r>
      <w:r>
        <w:rPr>
          <w:rFonts w:ascii="Times New Roman" w:eastAsia="方正仿宋_GBK" w:hAnsi="Times New Roman" w:cs="Times New Roman"/>
          <w:snapToGrid w:val="0"/>
          <w:sz w:val="32"/>
          <w:szCs w:val="32"/>
        </w:rPr>
        <w:t>11.64%</w:t>
      </w:r>
      <w:r>
        <w:rPr>
          <w:rFonts w:ascii="Times New Roman" w:eastAsia="方正仿宋_GBK" w:hAnsi="Times New Roman" w:cs="Times New Roman"/>
          <w:snapToGrid w:val="0"/>
          <w:sz w:val="32"/>
          <w:szCs w:val="32"/>
        </w:rPr>
        <w:t>，主要原因是一般公共预算拨款的项目资金减少，相应的支出减少。</w:t>
      </w:r>
    </w:p>
    <w:p w:rsidR="00093239" w:rsidRDefault="00093239" w:rsidP="00093239">
      <w:pPr>
        <w:pStyle w:val="a6"/>
        <w:snapToGrid w:val="0"/>
        <w:spacing w:before="0" w:beforeAutospacing="0" w:after="0" w:afterAutospacing="0" w:line="570" w:lineRule="exact"/>
        <w:ind w:firstLineChars="200" w:firstLine="640"/>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w:t>
      </w:r>
      <w:r>
        <w:rPr>
          <w:rFonts w:ascii="Times New Roman" w:eastAsia="方正仿宋_GBK" w:hAnsi="Times New Roman" w:cs="Times New Roman"/>
          <w:snapToGrid w:val="0"/>
          <w:sz w:val="32"/>
          <w:szCs w:val="32"/>
        </w:rPr>
        <w:t>6</w:t>
      </w:r>
      <w:r>
        <w:rPr>
          <w:rFonts w:ascii="Times New Roman" w:eastAsia="方正仿宋_GBK" w:hAnsi="Times New Roman" w:cs="Times New Roman"/>
          <w:snapToGrid w:val="0"/>
          <w:sz w:val="32"/>
          <w:szCs w:val="32"/>
        </w:rPr>
        <w:t>）自然资源海洋气象等支出</w:t>
      </w:r>
      <w:r>
        <w:rPr>
          <w:rFonts w:ascii="Times New Roman" w:eastAsia="方正仿宋_GBK" w:hAnsi="Times New Roman" w:cs="Times New Roman"/>
          <w:snapToGrid w:val="0"/>
          <w:sz w:val="32"/>
          <w:szCs w:val="32"/>
        </w:rPr>
        <w:t>1250</w:t>
      </w:r>
      <w:r>
        <w:rPr>
          <w:rFonts w:ascii="Times New Roman" w:eastAsia="方正仿宋_GBK" w:hAnsi="Times New Roman" w:cs="Times New Roman"/>
          <w:snapToGrid w:val="0"/>
          <w:sz w:val="32"/>
          <w:szCs w:val="32"/>
        </w:rPr>
        <w:t>万元，占</w:t>
      </w:r>
      <w:r>
        <w:rPr>
          <w:rFonts w:ascii="Times New Roman" w:eastAsia="方正仿宋_GBK" w:hAnsi="Times New Roman" w:cs="Times New Roman"/>
          <w:snapToGrid w:val="0"/>
          <w:sz w:val="32"/>
          <w:szCs w:val="32"/>
        </w:rPr>
        <w:t>6.95%</w:t>
      </w:r>
      <w:r>
        <w:rPr>
          <w:rFonts w:ascii="Times New Roman" w:eastAsia="方正仿宋_GBK" w:hAnsi="Times New Roman" w:cs="Times New Roman"/>
          <w:snapToGrid w:val="0"/>
          <w:sz w:val="32"/>
          <w:szCs w:val="32"/>
        </w:rPr>
        <w:t>，较年初预算数增加</w:t>
      </w:r>
      <w:r>
        <w:rPr>
          <w:rFonts w:ascii="Times New Roman" w:eastAsia="方正仿宋_GBK" w:hAnsi="Times New Roman" w:cs="Times New Roman"/>
          <w:snapToGrid w:val="0"/>
          <w:sz w:val="32"/>
          <w:szCs w:val="32"/>
        </w:rPr>
        <w:t>1250</w:t>
      </w:r>
      <w:r>
        <w:rPr>
          <w:rFonts w:ascii="Times New Roman" w:eastAsia="方正仿宋_GBK" w:hAnsi="Times New Roman" w:cs="Times New Roman"/>
          <w:snapToGrid w:val="0"/>
          <w:sz w:val="32"/>
          <w:szCs w:val="32"/>
        </w:rPr>
        <w:t>万元，增长</w:t>
      </w:r>
      <w:r>
        <w:rPr>
          <w:rFonts w:ascii="Times New Roman" w:eastAsia="方正仿宋_GBK" w:hAnsi="Times New Roman" w:cs="Times New Roman"/>
          <w:snapToGrid w:val="0"/>
          <w:sz w:val="32"/>
          <w:szCs w:val="32"/>
        </w:rPr>
        <w:t>%</w:t>
      </w:r>
      <w:r>
        <w:rPr>
          <w:rFonts w:ascii="Times New Roman" w:eastAsia="方正仿宋_GBK" w:hAnsi="Times New Roman" w:cs="Times New Roman"/>
          <w:snapToGrid w:val="0"/>
          <w:sz w:val="32"/>
          <w:szCs w:val="32"/>
        </w:rPr>
        <w:t>，主要原因是我县龙河左岸（龙河口至两会大桥）边坡治理建设支出。</w:t>
      </w:r>
    </w:p>
    <w:p w:rsidR="00093239" w:rsidRDefault="00093239" w:rsidP="00093239">
      <w:pPr>
        <w:pStyle w:val="a6"/>
        <w:snapToGrid w:val="0"/>
        <w:spacing w:before="0" w:beforeAutospacing="0" w:after="0" w:afterAutospacing="0" w:line="570" w:lineRule="exact"/>
        <w:ind w:firstLineChars="200" w:firstLine="640"/>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w:t>
      </w:r>
      <w:r>
        <w:rPr>
          <w:rFonts w:ascii="Times New Roman" w:eastAsia="方正仿宋_GBK" w:hAnsi="Times New Roman" w:cs="Times New Roman"/>
          <w:snapToGrid w:val="0"/>
          <w:sz w:val="32"/>
          <w:szCs w:val="32"/>
        </w:rPr>
        <w:t>7</w:t>
      </w:r>
      <w:r>
        <w:rPr>
          <w:rFonts w:ascii="Times New Roman" w:eastAsia="方正仿宋_GBK" w:hAnsi="Times New Roman" w:cs="Times New Roman"/>
          <w:snapToGrid w:val="0"/>
          <w:sz w:val="32"/>
          <w:szCs w:val="32"/>
        </w:rPr>
        <w:t>）住房保障支出</w:t>
      </w:r>
      <w:r>
        <w:rPr>
          <w:rFonts w:ascii="Times New Roman" w:eastAsia="方正仿宋_GBK" w:hAnsi="Times New Roman" w:cs="Times New Roman"/>
          <w:snapToGrid w:val="0"/>
          <w:sz w:val="32"/>
          <w:szCs w:val="32"/>
        </w:rPr>
        <w:t>265.5</w:t>
      </w:r>
      <w:r>
        <w:rPr>
          <w:rFonts w:ascii="Times New Roman" w:eastAsia="方正仿宋_GBK" w:hAnsi="Times New Roman" w:cs="Times New Roman"/>
          <w:snapToGrid w:val="0"/>
          <w:sz w:val="32"/>
          <w:szCs w:val="32"/>
        </w:rPr>
        <w:t>万元，占</w:t>
      </w:r>
      <w:r>
        <w:rPr>
          <w:rFonts w:ascii="Times New Roman" w:eastAsia="方正仿宋_GBK" w:hAnsi="Times New Roman" w:cs="Times New Roman"/>
          <w:snapToGrid w:val="0"/>
          <w:sz w:val="32"/>
          <w:szCs w:val="32"/>
        </w:rPr>
        <w:t>1.48%</w:t>
      </w:r>
      <w:r>
        <w:rPr>
          <w:rFonts w:ascii="Times New Roman" w:eastAsia="方正仿宋_GBK" w:hAnsi="Times New Roman" w:cs="Times New Roman"/>
          <w:snapToGrid w:val="0"/>
          <w:sz w:val="32"/>
          <w:szCs w:val="32"/>
        </w:rPr>
        <w:t>，较年初预算数增加</w:t>
      </w:r>
      <w:r>
        <w:rPr>
          <w:rFonts w:ascii="Times New Roman" w:eastAsia="方正仿宋_GBK" w:hAnsi="Times New Roman" w:cs="Times New Roman"/>
          <w:snapToGrid w:val="0"/>
          <w:sz w:val="32"/>
          <w:szCs w:val="32"/>
        </w:rPr>
        <w:t>6.54</w:t>
      </w:r>
      <w:r>
        <w:rPr>
          <w:rFonts w:ascii="Times New Roman" w:eastAsia="方正仿宋_GBK" w:hAnsi="Times New Roman" w:cs="Times New Roman"/>
          <w:snapToGrid w:val="0"/>
          <w:sz w:val="32"/>
          <w:szCs w:val="32"/>
        </w:rPr>
        <w:t>万元，增长</w:t>
      </w:r>
      <w:r>
        <w:rPr>
          <w:rFonts w:ascii="Times New Roman" w:eastAsia="方正仿宋_GBK" w:hAnsi="Times New Roman" w:cs="Times New Roman"/>
          <w:snapToGrid w:val="0"/>
          <w:sz w:val="32"/>
          <w:szCs w:val="32"/>
        </w:rPr>
        <w:t>2.53%</w:t>
      </w:r>
      <w:r>
        <w:rPr>
          <w:rFonts w:ascii="Times New Roman" w:eastAsia="方正仿宋_GBK" w:hAnsi="Times New Roman" w:cs="Times New Roman"/>
          <w:snapToGrid w:val="0"/>
          <w:sz w:val="32"/>
          <w:szCs w:val="32"/>
        </w:rPr>
        <w:t>，主要原因是根据住房公积金缴费标准进行调整。</w:t>
      </w:r>
    </w:p>
    <w:p w:rsidR="00093239" w:rsidRDefault="00093239" w:rsidP="00093239">
      <w:pPr>
        <w:pStyle w:val="a6"/>
        <w:snapToGrid w:val="0"/>
        <w:spacing w:before="0" w:beforeAutospacing="0" w:after="0" w:afterAutospacing="0" w:line="570" w:lineRule="exact"/>
        <w:ind w:firstLineChars="200" w:firstLine="640"/>
        <w:rPr>
          <w:rFonts w:ascii="方正楷体_GBK" w:eastAsia="方正楷体_GBK" w:hAnsi="方正楷体_GBK" w:cs="方正楷体_GBK"/>
          <w:sz w:val="32"/>
          <w:szCs w:val="32"/>
        </w:rPr>
      </w:pPr>
      <w:r>
        <w:rPr>
          <w:rStyle w:val="a5"/>
          <w:rFonts w:ascii="方正楷体_GBK" w:eastAsia="方正楷体_GBK" w:hAnsi="方正楷体_GBK" w:cs="方正楷体_GBK" w:hint="eastAsia"/>
          <w:b w:val="0"/>
          <w:bCs w:val="0"/>
          <w:sz w:val="32"/>
          <w:szCs w:val="32"/>
        </w:rPr>
        <w:t>（四）一般公共预算财政拨款基本支出决算情况说明</w:t>
      </w:r>
    </w:p>
    <w:p w:rsidR="00093239" w:rsidRDefault="00093239" w:rsidP="00093239">
      <w:pPr>
        <w:pStyle w:val="a6"/>
        <w:spacing w:before="0" w:beforeAutospacing="0" w:after="0" w:afterAutospacing="0" w:line="570" w:lineRule="exact"/>
        <w:ind w:firstLine="200"/>
        <w:rPr>
          <w:rFonts w:ascii="Times New Roman" w:eastAsia="方正仿宋_GBK" w:hAnsi="Times New Roman" w:cs="Times New Roman"/>
          <w:snapToGrid w:val="0"/>
          <w:sz w:val="32"/>
          <w:szCs w:val="32"/>
        </w:rPr>
      </w:pPr>
      <w:r>
        <w:rPr>
          <w:rFonts w:ascii="Times New Roman" w:eastAsia="方正仿宋_GBK" w:hAnsi="Times New Roman" w:cs="Times New Roman"/>
          <w:sz w:val="32"/>
          <w:szCs w:val="32"/>
        </w:rPr>
        <w:t> </w:t>
      </w:r>
      <w:r>
        <w:rPr>
          <w:rFonts w:ascii="Times New Roman" w:eastAsia="方正仿宋_GBK" w:hAnsi="Times New Roman" w:cs="Times New Roman"/>
          <w:sz w:val="32"/>
          <w:szCs w:val="32"/>
        </w:rPr>
        <w:t xml:space="preserve">　</w:t>
      </w:r>
      <w:r>
        <w:rPr>
          <w:rFonts w:ascii="Times New Roman" w:eastAsia="方正仿宋_GBK" w:hAnsi="Times New Roman" w:cs="Times New Roman"/>
          <w:snapToGrid w:val="0"/>
          <w:sz w:val="32"/>
          <w:szCs w:val="32"/>
        </w:rPr>
        <w:t>2022</w:t>
      </w:r>
      <w:r>
        <w:rPr>
          <w:rFonts w:ascii="Times New Roman" w:eastAsia="方正仿宋_GBK" w:hAnsi="Times New Roman" w:cs="Times New Roman"/>
          <w:snapToGrid w:val="0"/>
          <w:sz w:val="32"/>
          <w:szCs w:val="32"/>
        </w:rPr>
        <w:t>年度一般公共财政拨款基本支出</w:t>
      </w:r>
      <w:r>
        <w:rPr>
          <w:rFonts w:ascii="Times New Roman" w:eastAsia="方正仿宋_GBK" w:hAnsi="Times New Roman" w:cs="Times New Roman"/>
          <w:snapToGrid w:val="0"/>
          <w:sz w:val="32"/>
          <w:szCs w:val="32"/>
        </w:rPr>
        <w:t>6288.91</w:t>
      </w:r>
      <w:r>
        <w:rPr>
          <w:rFonts w:ascii="Times New Roman" w:eastAsia="方正仿宋_GBK" w:hAnsi="Times New Roman" w:cs="Times New Roman"/>
          <w:snapToGrid w:val="0"/>
          <w:sz w:val="32"/>
          <w:szCs w:val="32"/>
        </w:rPr>
        <w:t>万元。其中：人员经费</w:t>
      </w:r>
      <w:r>
        <w:rPr>
          <w:rFonts w:ascii="Times New Roman" w:eastAsia="方正仿宋_GBK" w:hAnsi="Times New Roman" w:cs="Times New Roman"/>
          <w:snapToGrid w:val="0"/>
          <w:sz w:val="32"/>
          <w:szCs w:val="32"/>
        </w:rPr>
        <w:t>5544.59</w:t>
      </w:r>
      <w:r>
        <w:rPr>
          <w:rFonts w:ascii="Times New Roman" w:eastAsia="方正仿宋_GBK" w:hAnsi="Times New Roman" w:cs="Times New Roman"/>
          <w:snapToGrid w:val="0"/>
          <w:sz w:val="32"/>
          <w:szCs w:val="32"/>
        </w:rPr>
        <w:t>万元，较上年决算数减少</w:t>
      </w:r>
      <w:r>
        <w:rPr>
          <w:rFonts w:ascii="Times New Roman" w:eastAsia="方正仿宋_GBK" w:hAnsi="Times New Roman" w:cs="Times New Roman"/>
          <w:snapToGrid w:val="0"/>
          <w:sz w:val="32"/>
          <w:szCs w:val="32"/>
        </w:rPr>
        <w:t>278.97</w:t>
      </w:r>
      <w:r>
        <w:rPr>
          <w:rFonts w:ascii="Times New Roman" w:eastAsia="方正仿宋_GBK" w:hAnsi="Times New Roman" w:cs="Times New Roman"/>
          <w:snapToGrid w:val="0"/>
          <w:sz w:val="32"/>
          <w:szCs w:val="32"/>
        </w:rPr>
        <w:t>万元，下降</w:t>
      </w:r>
      <w:r>
        <w:rPr>
          <w:rFonts w:ascii="Times New Roman" w:eastAsia="方正仿宋_GBK" w:hAnsi="Times New Roman" w:cs="Times New Roman"/>
          <w:snapToGrid w:val="0"/>
          <w:sz w:val="32"/>
          <w:szCs w:val="32"/>
        </w:rPr>
        <w:t>4.79%</w:t>
      </w:r>
      <w:r>
        <w:rPr>
          <w:rFonts w:ascii="Times New Roman" w:eastAsia="方正仿宋_GBK" w:hAnsi="Times New Roman" w:cs="Times New Roman"/>
          <w:snapToGrid w:val="0"/>
          <w:sz w:val="32"/>
          <w:szCs w:val="32"/>
        </w:rPr>
        <w:t>，主要原因是人员退休及调出导致人员经费减少。人员经费用途主要包括职工基本工资、津贴补贴、奖金、社会保障缴费等。公用经费</w:t>
      </w:r>
      <w:r>
        <w:rPr>
          <w:rFonts w:ascii="Times New Roman" w:eastAsia="方正仿宋_GBK" w:hAnsi="Times New Roman" w:cs="Times New Roman"/>
          <w:snapToGrid w:val="0"/>
          <w:sz w:val="32"/>
          <w:szCs w:val="32"/>
        </w:rPr>
        <w:t>744.32</w:t>
      </w:r>
      <w:r>
        <w:rPr>
          <w:rFonts w:ascii="Times New Roman" w:eastAsia="方正仿宋_GBK" w:hAnsi="Times New Roman" w:cs="Times New Roman"/>
          <w:snapToGrid w:val="0"/>
          <w:sz w:val="32"/>
          <w:szCs w:val="32"/>
        </w:rPr>
        <w:t>万元，较上年决算数减少</w:t>
      </w:r>
      <w:r>
        <w:rPr>
          <w:rFonts w:ascii="Times New Roman" w:eastAsia="方正仿宋_GBK" w:hAnsi="Times New Roman" w:cs="Times New Roman"/>
          <w:snapToGrid w:val="0"/>
          <w:sz w:val="32"/>
          <w:szCs w:val="32"/>
        </w:rPr>
        <w:t>0.38</w:t>
      </w:r>
      <w:r>
        <w:rPr>
          <w:rFonts w:ascii="Times New Roman" w:eastAsia="方正仿宋_GBK" w:hAnsi="Times New Roman" w:cs="Times New Roman"/>
          <w:snapToGrid w:val="0"/>
          <w:sz w:val="32"/>
          <w:szCs w:val="32"/>
        </w:rPr>
        <w:t>万元，下降</w:t>
      </w:r>
      <w:r>
        <w:rPr>
          <w:rFonts w:ascii="Times New Roman" w:eastAsia="方正仿宋_GBK" w:hAnsi="Times New Roman" w:cs="Times New Roman"/>
          <w:snapToGrid w:val="0"/>
          <w:sz w:val="32"/>
          <w:szCs w:val="32"/>
        </w:rPr>
        <w:t>0.05%</w:t>
      </w:r>
      <w:r>
        <w:rPr>
          <w:rFonts w:ascii="Times New Roman" w:eastAsia="方正仿宋_GBK" w:hAnsi="Times New Roman" w:cs="Times New Roman"/>
          <w:snapToGrid w:val="0"/>
          <w:sz w:val="32"/>
          <w:szCs w:val="32"/>
        </w:rPr>
        <w:t>，主要原因是部分公用经费用于弥补人员经费不足，用于人员经费支出。公用经费用途主要包括办公费、水电费、印刷费、咨询费、手续费、差旅费、劳务费等。</w:t>
      </w:r>
    </w:p>
    <w:p w:rsidR="00093239" w:rsidRDefault="00093239" w:rsidP="00093239">
      <w:pPr>
        <w:pStyle w:val="a6"/>
        <w:spacing w:before="0" w:beforeAutospacing="0" w:after="0" w:afterAutospacing="0" w:line="570" w:lineRule="exact"/>
        <w:ind w:firstLineChars="200" w:firstLine="640"/>
        <w:rPr>
          <w:rFonts w:ascii="方正楷体_GBK" w:eastAsia="方正楷体_GBK" w:hAnsi="方正楷体_GBK" w:cs="方正楷体_GBK"/>
          <w:sz w:val="32"/>
          <w:szCs w:val="32"/>
        </w:rPr>
      </w:pPr>
      <w:r>
        <w:rPr>
          <w:rStyle w:val="a5"/>
          <w:rFonts w:ascii="方正楷体_GBK" w:eastAsia="方正楷体_GBK" w:hAnsi="方正楷体_GBK" w:cs="方正楷体_GBK" w:hint="eastAsia"/>
          <w:b w:val="0"/>
          <w:bCs w:val="0"/>
          <w:sz w:val="32"/>
          <w:szCs w:val="32"/>
        </w:rPr>
        <w:t>（五）政府性基金预算收支决算情况说明</w:t>
      </w:r>
    </w:p>
    <w:p w:rsidR="00093239" w:rsidRPr="00A638A7" w:rsidRDefault="00093239" w:rsidP="00093239">
      <w:pPr>
        <w:pStyle w:val="a6"/>
        <w:spacing w:before="0" w:beforeAutospacing="0" w:after="0" w:afterAutospacing="0" w:line="570" w:lineRule="exact"/>
        <w:ind w:firstLineChars="200" w:firstLine="640"/>
        <w:rPr>
          <w:rFonts w:ascii="方正楷体_GBK" w:eastAsia="方正楷体_GBK" w:hAnsi="方正楷体_GBK" w:cs="方正楷体_GBK"/>
          <w:sz w:val="32"/>
          <w:szCs w:val="32"/>
        </w:rPr>
      </w:pPr>
      <w:r>
        <w:rPr>
          <w:rFonts w:ascii="Times New Roman" w:eastAsia="方正仿宋_GBK" w:hAnsi="Times New Roman" w:cs="Times New Roman"/>
          <w:snapToGrid w:val="0"/>
          <w:sz w:val="32"/>
          <w:szCs w:val="32"/>
        </w:rPr>
        <w:lastRenderedPageBreak/>
        <w:t>2022</w:t>
      </w:r>
      <w:r>
        <w:rPr>
          <w:rFonts w:ascii="Times New Roman" w:eastAsia="方正仿宋_GBK" w:hAnsi="Times New Roman" w:cs="Times New Roman"/>
          <w:snapToGrid w:val="0"/>
          <w:sz w:val="32"/>
          <w:szCs w:val="32"/>
        </w:rPr>
        <w:t>年度政府性基金预算财政拨款年初结转结余</w:t>
      </w:r>
      <w:r>
        <w:rPr>
          <w:rFonts w:ascii="Times New Roman" w:eastAsia="方正仿宋_GBK" w:hAnsi="Times New Roman" w:cs="Times New Roman"/>
          <w:snapToGrid w:val="0"/>
          <w:sz w:val="32"/>
          <w:szCs w:val="32"/>
        </w:rPr>
        <w:t>0.00</w:t>
      </w:r>
      <w:r>
        <w:rPr>
          <w:rFonts w:ascii="Times New Roman" w:eastAsia="方正仿宋_GBK" w:hAnsi="Times New Roman" w:cs="Times New Roman"/>
          <w:snapToGrid w:val="0"/>
          <w:sz w:val="32"/>
          <w:szCs w:val="32"/>
        </w:rPr>
        <w:t>万元，年末结转结余</w:t>
      </w:r>
      <w:r>
        <w:rPr>
          <w:rFonts w:ascii="Times New Roman" w:eastAsia="方正仿宋_GBK" w:hAnsi="Times New Roman" w:cs="Times New Roman"/>
          <w:snapToGrid w:val="0"/>
          <w:sz w:val="32"/>
          <w:szCs w:val="32"/>
        </w:rPr>
        <w:t>0.00</w:t>
      </w:r>
      <w:r>
        <w:rPr>
          <w:rFonts w:ascii="Times New Roman" w:eastAsia="方正仿宋_GBK" w:hAnsi="Times New Roman" w:cs="Times New Roman"/>
          <w:snapToGrid w:val="0"/>
          <w:sz w:val="32"/>
          <w:szCs w:val="32"/>
        </w:rPr>
        <w:t>万元。本年收入</w:t>
      </w:r>
      <w:r>
        <w:rPr>
          <w:rFonts w:ascii="Times New Roman" w:eastAsia="方正仿宋_GBK" w:hAnsi="Times New Roman" w:cs="Times New Roman"/>
          <w:snapToGrid w:val="0"/>
          <w:sz w:val="32"/>
          <w:szCs w:val="32"/>
        </w:rPr>
        <w:t>322.23</w:t>
      </w:r>
      <w:r>
        <w:rPr>
          <w:rFonts w:ascii="Times New Roman" w:eastAsia="方正仿宋_GBK" w:hAnsi="Times New Roman" w:cs="Times New Roman"/>
          <w:snapToGrid w:val="0"/>
          <w:sz w:val="32"/>
          <w:szCs w:val="32"/>
        </w:rPr>
        <w:t>万元，较上年决算数减少</w:t>
      </w:r>
      <w:r>
        <w:rPr>
          <w:rFonts w:ascii="Times New Roman" w:eastAsia="方正仿宋_GBK" w:hAnsi="Times New Roman" w:cs="Times New Roman"/>
          <w:snapToGrid w:val="0"/>
          <w:sz w:val="32"/>
          <w:szCs w:val="32"/>
        </w:rPr>
        <w:t>1877.77</w:t>
      </w:r>
      <w:r>
        <w:rPr>
          <w:rFonts w:ascii="Times New Roman" w:eastAsia="方正仿宋_GBK" w:hAnsi="Times New Roman" w:cs="Times New Roman"/>
          <w:snapToGrid w:val="0"/>
          <w:sz w:val="32"/>
          <w:szCs w:val="32"/>
        </w:rPr>
        <w:t>万元，下降</w:t>
      </w:r>
      <w:r>
        <w:rPr>
          <w:rFonts w:ascii="Times New Roman" w:eastAsia="方正仿宋_GBK" w:hAnsi="Times New Roman" w:cs="Times New Roman"/>
          <w:snapToGrid w:val="0"/>
          <w:sz w:val="32"/>
          <w:szCs w:val="32"/>
        </w:rPr>
        <w:t>85.35%</w:t>
      </w:r>
      <w:r>
        <w:rPr>
          <w:rFonts w:ascii="Times New Roman" w:eastAsia="方正仿宋_GBK" w:hAnsi="Times New Roman" w:cs="Times New Roman"/>
          <w:snapToGrid w:val="0"/>
          <w:sz w:val="32"/>
          <w:szCs w:val="32"/>
        </w:rPr>
        <w:t>，主要原因是名山集团的基础设施建设资金较上年减少。本年支出</w:t>
      </w:r>
      <w:r>
        <w:rPr>
          <w:rFonts w:ascii="Times New Roman" w:eastAsia="方正仿宋_GBK" w:hAnsi="Times New Roman" w:cs="Times New Roman"/>
          <w:snapToGrid w:val="0"/>
          <w:sz w:val="32"/>
          <w:szCs w:val="32"/>
        </w:rPr>
        <w:t>322.23</w:t>
      </w:r>
      <w:r>
        <w:rPr>
          <w:rFonts w:ascii="Times New Roman" w:eastAsia="方正仿宋_GBK" w:hAnsi="Times New Roman" w:cs="Times New Roman"/>
          <w:snapToGrid w:val="0"/>
          <w:sz w:val="32"/>
          <w:szCs w:val="32"/>
        </w:rPr>
        <w:t>万元，较上年决算数减少</w:t>
      </w:r>
      <w:r>
        <w:rPr>
          <w:rFonts w:ascii="Times New Roman" w:eastAsia="方正仿宋_GBK" w:hAnsi="Times New Roman" w:cs="Times New Roman"/>
          <w:snapToGrid w:val="0"/>
          <w:sz w:val="32"/>
          <w:szCs w:val="32"/>
        </w:rPr>
        <w:t>1877.77</w:t>
      </w:r>
      <w:r>
        <w:rPr>
          <w:rFonts w:ascii="Times New Roman" w:eastAsia="方正仿宋_GBK" w:hAnsi="Times New Roman" w:cs="Times New Roman"/>
          <w:snapToGrid w:val="0"/>
          <w:sz w:val="32"/>
          <w:szCs w:val="32"/>
        </w:rPr>
        <w:t>万元，下降</w:t>
      </w:r>
      <w:r>
        <w:rPr>
          <w:rFonts w:ascii="Times New Roman" w:eastAsia="方正仿宋_GBK" w:hAnsi="Times New Roman" w:cs="Times New Roman"/>
          <w:snapToGrid w:val="0"/>
          <w:sz w:val="32"/>
          <w:szCs w:val="32"/>
        </w:rPr>
        <w:t>85.35%</w:t>
      </w:r>
      <w:r>
        <w:rPr>
          <w:rFonts w:ascii="Times New Roman" w:eastAsia="方正仿宋_GBK" w:hAnsi="Times New Roman" w:cs="Times New Roman"/>
          <w:snapToGrid w:val="0"/>
          <w:sz w:val="32"/>
          <w:szCs w:val="32"/>
        </w:rPr>
        <w:t>，主要原因是名山集团的基础设施建设资金收入较上年减少，相应的支出减少。</w:t>
      </w:r>
    </w:p>
    <w:p w:rsidR="00093239" w:rsidRPr="00A638A7" w:rsidRDefault="00093239" w:rsidP="00093239">
      <w:pPr>
        <w:pStyle w:val="a6"/>
        <w:spacing w:before="0" w:beforeAutospacing="0" w:after="0" w:afterAutospacing="0" w:line="570" w:lineRule="exact"/>
        <w:ind w:firstLineChars="200" w:firstLine="640"/>
        <w:rPr>
          <w:rFonts w:ascii="Times New Roman" w:eastAsia="方正仿宋_GBK" w:hAnsi="Times New Roman" w:cs="Times New Roman"/>
          <w:snapToGrid w:val="0"/>
          <w:sz w:val="32"/>
          <w:szCs w:val="32"/>
        </w:rPr>
      </w:pPr>
      <w:r>
        <w:rPr>
          <w:rFonts w:ascii="方正楷体_GBK" w:eastAsia="方正楷体_GBK" w:hAnsi="方正楷体_GBK" w:cs="方正楷体_GBK" w:hint="eastAsia"/>
          <w:sz w:val="32"/>
          <w:szCs w:val="32"/>
        </w:rPr>
        <w:t>（六）国有资本经营预算财政拨款支出决算情况说明</w:t>
      </w:r>
    </w:p>
    <w:p w:rsidR="00093239" w:rsidRDefault="00093239" w:rsidP="00093239">
      <w:pPr>
        <w:pStyle w:val="a6"/>
        <w:spacing w:before="0" w:beforeAutospacing="0" w:after="0" w:afterAutospacing="0" w:line="570" w:lineRule="exact"/>
        <w:ind w:firstLineChars="200" w:firstLine="640"/>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本</w:t>
      </w:r>
      <w:r>
        <w:rPr>
          <w:rFonts w:ascii="Times New Roman" w:eastAsia="方正仿宋_GBK" w:hAnsi="Times New Roman" w:cs="Times New Roman" w:hint="eastAsia"/>
          <w:snapToGrid w:val="0"/>
          <w:sz w:val="32"/>
          <w:szCs w:val="32"/>
        </w:rPr>
        <w:t>部门</w:t>
      </w:r>
      <w:r>
        <w:rPr>
          <w:rFonts w:ascii="Times New Roman" w:eastAsia="方正仿宋_GBK" w:hAnsi="Times New Roman" w:cs="Times New Roman"/>
          <w:snapToGrid w:val="0"/>
          <w:sz w:val="32"/>
          <w:szCs w:val="32"/>
        </w:rPr>
        <w:t>2022</w:t>
      </w:r>
      <w:r>
        <w:rPr>
          <w:rFonts w:ascii="Times New Roman" w:eastAsia="方正仿宋_GBK" w:hAnsi="Times New Roman" w:cs="Times New Roman"/>
          <w:snapToGrid w:val="0"/>
          <w:sz w:val="32"/>
          <w:szCs w:val="32"/>
        </w:rPr>
        <w:t>年度无国有资本经营预算财政拨款支出。</w:t>
      </w:r>
    </w:p>
    <w:p w:rsidR="00093239" w:rsidRDefault="00093239" w:rsidP="00093239">
      <w:pPr>
        <w:pStyle w:val="a6"/>
        <w:spacing w:before="0" w:beforeAutospacing="0" w:after="0" w:afterAutospacing="0" w:line="57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 </w:t>
      </w:r>
      <w:r>
        <w:rPr>
          <w:rStyle w:val="a5"/>
          <w:rFonts w:ascii="方正黑体_GBK" w:eastAsia="方正黑体_GBK" w:hAnsi="方正黑体_GBK" w:cs="方正黑体_GBK" w:hint="eastAsia"/>
          <w:b w:val="0"/>
          <w:bCs w:val="0"/>
          <w:sz w:val="32"/>
          <w:szCs w:val="32"/>
        </w:rPr>
        <w:t>三、“三公”经费情况说明</w:t>
      </w:r>
    </w:p>
    <w:p w:rsidR="00093239" w:rsidRDefault="00093239" w:rsidP="00093239">
      <w:pPr>
        <w:pStyle w:val="a6"/>
        <w:spacing w:before="0" w:beforeAutospacing="0" w:after="0" w:afterAutospacing="0" w:line="570" w:lineRule="exact"/>
        <w:ind w:firstLineChars="200" w:firstLine="640"/>
        <w:rPr>
          <w:rFonts w:ascii="Times New Roman" w:eastAsia="方正仿宋_GBK" w:hAnsi="Times New Roman" w:cs="Times New Roman"/>
          <w:sz w:val="32"/>
          <w:szCs w:val="32"/>
        </w:rPr>
      </w:pPr>
      <w:r>
        <w:rPr>
          <w:rStyle w:val="a5"/>
          <w:rFonts w:ascii="方正楷体_GBK" w:eastAsia="方正楷体_GBK" w:hAnsi="方正楷体_GBK" w:cs="方正楷体_GBK" w:hint="eastAsia"/>
          <w:b w:val="0"/>
          <w:bCs w:val="0"/>
          <w:sz w:val="32"/>
          <w:szCs w:val="32"/>
        </w:rPr>
        <w:t>（一）“三公”经费支出总体情况说明</w:t>
      </w:r>
    </w:p>
    <w:p w:rsidR="00093239" w:rsidRDefault="00093239" w:rsidP="00093239">
      <w:pPr>
        <w:pStyle w:val="a6"/>
        <w:spacing w:before="0" w:beforeAutospacing="0" w:after="0" w:afterAutospacing="0" w:line="570" w:lineRule="exact"/>
        <w:ind w:firstLineChars="200" w:firstLine="640"/>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 2022</w:t>
      </w:r>
      <w:r>
        <w:rPr>
          <w:rFonts w:ascii="Times New Roman" w:eastAsia="方正仿宋_GBK" w:hAnsi="Times New Roman" w:cs="Times New Roman"/>
          <w:snapToGrid w:val="0"/>
          <w:sz w:val="32"/>
          <w:szCs w:val="32"/>
        </w:rPr>
        <w:t>年度</w:t>
      </w:r>
      <w:r>
        <w:rPr>
          <w:rFonts w:ascii="Times New Roman" w:eastAsia="方正仿宋_GBK" w:hAnsi="Times New Roman" w:cs="Times New Roman"/>
          <w:snapToGrid w:val="0"/>
          <w:sz w:val="32"/>
          <w:szCs w:val="32"/>
        </w:rPr>
        <w:t>“</w:t>
      </w:r>
      <w:r>
        <w:rPr>
          <w:rFonts w:ascii="Times New Roman" w:eastAsia="方正仿宋_GBK" w:hAnsi="Times New Roman" w:cs="Times New Roman"/>
          <w:snapToGrid w:val="0"/>
          <w:sz w:val="32"/>
          <w:szCs w:val="32"/>
        </w:rPr>
        <w:t>三公</w:t>
      </w:r>
      <w:r>
        <w:rPr>
          <w:rFonts w:ascii="Times New Roman" w:eastAsia="方正仿宋_GBK" w:hAnsi="Times New Roman" w:cs="Times New Roman"/>
          <w:snapToGrid w:val="0"/>
          <w:sz w:val="32"/>
          <w:szCs w:val="32"/>
        </w:rPr>
        <w:t>”</w:t>
      </w:r>
      <w:r>
        <w:rPr>
          <w:rFonts w:ascii="Times New Roman" w:eastAsia="方正仿宋_GBK" w:hAnsi="Times New Roman" w:cs="Times New Roman"/>
          <w:snapToGrid w:val="0"/>
          <w:sz w:val="32"/>
          <w:szCs w:val="32"/>
        </w:rPr>
        <w:t>经费支出共计</w:t>
      </w:r>
      <w:r>
        <w:rPr>
          <w:rFonts w:ascii="Times New Roman" w:eastAsia="方正仿宋_GBK" w:hAnsi="Times New Roman" w:cs="Times New Roman"/>
          <w:snapToGrid w:val="0"/>
          <w:sz w:val="32"/>
          <w:szCs w:val="32"/>
        </w:rPr>
        <w:t>62.4</w:t>
      </w:r>
      <w:r>
        <w:rPr>
          <w:rFonts w:ascii="Times New Roman" w:eastAsia="方正仿宋_GBK" w:hAnsi="Times New Roman" w:cs="Times New Roman"/>
          <w:snapToGrid w:val="0"/>
          <w:sz w:val="32"/>
          <w:szCs w:val="32"/>
        </w:rPr>
        <w:t>万元，较年初预算数减少</w:t>
      </w:r>
      <w:r>
        <w:rPr>
          <w:rFonts w:ascii="Times New Roman" w:eastAsia="方正仿宋_GBK" w:hAnsi="Times New Roman" w:cs="Times New Roman"/>
          <w:snapToGrid w:val="0"/>
          <w:sz w:val="32"/>
          <w:szCs w:val="32"/>
        </w:rPr>
        <w:t>8.4</w:t>
      </w:r>
      <w:r>
        <w:rPr>
          <w:rFonts w:ascii="Times New Roman" w:eastAsia="方正仿宋_GBK" w:hAnsi="Times New Roman" w:cs="Times New Roman"/>
          <w:snapToGrid w:val="0"/>
          <w:sz w:val="32"/>
          <w:szCs w:val="32"/>
        </w:rPr>
        <w:t>万元，下降</w:t>
      </w:r>
      <w:r>
        <w:rPr>
          <w:rFonts w:ascii="Times New Roman" w:eastAsia="方正仿宋_GBK" w:hAnsi="Times New Roman" w:cs="Times New Roman"/>
          <w:snapToGrid w:val="0"/>
          <w:sz w:val="32"/>
          <w:szCs w:val="32"/>
        </w:rPr>
        <w:t>11.86%</w:t>
      </w:r>
      <w:r>
        <w:rPr>
          <w:rFonts w:ascii="Times New Roman" w:eastAsia="方正仿宋_GBK" w:hAnsi="Times New Roman" w:cs="Times New Roman"/>
          <w:snapToGrid w:val="0"/>
          <w:sz w:val="32"/>
          <w:szCs w:val="32"/>
        </w:rPr>
        <w:t>，主要原因是部门严格控制</w:t>
      </w:r>
      <w:r>
        <w:rPr>
          <w:rFonts w:ascii="Times New Roman" w:eastAsia="方正仿宋_GBK" w:hAnsi="Times New Roman" w:cs="Times New Roman"/>
          <w:snapToGrid w:val="0"/>
          <w:sz w:val="32"/>
          <w:szCs w:val="32"/>
        </w:rPr>
        <w:t>“</w:t>
      </w:r>
      <w:r>
        <w:rPr>
          <w:rFonts w:ascii="Times New Roman" w:eastAsia="方正仿宋_GBK" w:hAnsi="Times New Roman" w:cs="Times New Roman"/>
          <w:snapToGrid w:val="0"/>
          <w:sz w:val="32"/>
          <w:szCs w:val="32"/>
        </w:rPr>
        <w:t>三公经费</w:t>
      </w:r>
      <w:r>
        <w:rPr>
          <w:rFonts w:ascii="Times New Roman" w:eastAsia="方正仿宋_GBK" w:hAnsi="Times New Roman" w:cs="Times New Roman"/>
          <w:snapToGrid w:val="0"/>
          <w:sz w:val="32"/>
          <w:szCs w:val="32"/>
        </w:rPr>
        <w:t>”</w:t>
      </w:r>
      <w:r>
        <w:rPr>
          <w:rFonts w:ascii="Times New Roman" w:eastAsia="方正仿宋_GBK" w:hAnsi="Times New Roman" w:cs="Times New Roman"/>
          <w:snapToGrid w:val="0"/>
          <w:sz w:val="32"/>
          <w:szCs w:val="32"/>
        </w:rPr>
        <w:t>支出不超预算。较上年支出数增加</w:t>
      </w:r>
      <w:r>
        <w:rPr>
          <w:rFonts w:ascii="Times New Roman" w:eastAsia="方正仿宋_GBK" w:hAnsi="Times New Roman" w:cs="Times New Roman"/>
          <w:snapToGrid w:val="0"/>
          <w:sz w:val="32"/>
          <w:szCs w:val="32"/>
        </w:rPr>
        <w:t>13.87</w:t>
      </w:r>
      <w:r>
        <w:rPr>
          <w:rFonts w:ascii="Times New Roman" w:eastAsia="方正仿宋_GBK" w:hAnsi="Times New Roman" w:cs="Times New Roman"/>
          <w:snapToGrid w:val="0"/>
          <w:sz w:val="32"/>
          <w:szCs w:val="32"/>
        </w:rPr>
        <w:t>万元，增长</w:t>
      </w:r>
      <w:r>
        <w:rPr>
          <w:rFonts w:ascii="Times New Roman" w:eastAsia="方正仿宋_GBK" w:hAnsi="Times New Roman" w:cs="Times New Roman"/>
          <w:snapToGrid w:val="0"/>
          <w:sz w:val="32"/>
          <w:szCs w:val="32"/>
        </w:rPr>
        <w:t>28.58%</w:t>
      </w:r>
      <w:r>
        <w:rPr>
          <w:rFonts w:ascii="Times New Roman" w:eastAsia="方正仿宋_GBK" w:hAnsi="Times New Roman" w:cs="Times New Roman"/>
          <w:snapToGrid w:val="0"/>
          <w:sz w:val="32"/>
          <w:szCs w:val="32"/>
        </w:rPr>
        <w:t>，主要原因是风景名胜管理中心因工作需求新制购置公务用车</w:t>
      </w:r>
      <w:r>
        <w:rPr>
          <w:rFonts w:ascii="Times New Roman" w:eastAsia="方正仿宋_GBK" w:hAnsi="Times New Roman" w:cs="Times New Roman"/>
          <w:snapToGrid w:val="0"/>
          <w:sz w:val="32"/>
          <w:szCs w:val="32"/>
        </w:rPr>
        <w:t>1</w:t>
      </w:r>
      <w:r>
        <w:rPr>
          <w:rFonts w:ascii="Times New Roman" w:eastAsia="方正仿宋_GBK" w:hAnsi="Times New Roman" w:cs="Times New Roman"/>
          <w:snapToGrid w:val="0"/>
          <w:sz w:val="32"/>
          <w:szCs w:val="32"/>
        </w:rPr>
        <w:t>辆，因此</w:t>
      </w:r>
      <w:r>
        <w:rPr>
          <w:rFonts w:ascii="Times New Roman" w:eastAsia="方正仿宋_GBK" w:hAnsi="Times New Roman" w:cs="Times New Roman"/>
          <w:snapToGrid w:val="0"/>
          <w:sz w:val="32"/>
          <w:szCs w:val="32"/>
        </w:rPr>
        <w:t>“</w:t>
      </w:r>
      <w:r>
        <w:rPr>
          <w:rFonts w:ascii="Times New Roman" w:eastAsia="方正仿宋_GBK" w:hAnsi="Times New Roman" w:cs="Times New Roman"/>
          <w:snapToGrid w:val="0"/>
          <w:sz w:val="32"/>
          <w:szCs w:val="32"/>
        </w:rPr>
        <w:t>三公经费</w:t>
      </w:r>
      <w:r>
        <w:rPr>
          <w:rFonts w:ascii="Times New Roman" w:eastAsia="方正仿宋_GBK" w:hAnsi="Times New Roman" w:cs="Times New Roman"/>
          <w:snapToGrid w:val="0"/>
          <w:sz w:val="32"/>
          <w:szCs w:val="32"/>
        </w:rPr>
        <w:t>”</w:t>
      </w:r>
      <w:r>
        <w:rPr>
          <w:rFonts w:ascii="Times New Roman" w:eastAsia="方正仿宋_GBK" w:hAnsi="Times New Roman" w:cs="Times New Roman"/>
          <w:snapToGrid w:val="0"/>
          <w:sz w:val="32"/>
          <w:szCs w:val="32"/>
        </w:rPr>
        <w:t>支出较上年增加。</w:t>
      </w:r>
    </w:p>
    <w:p w:rsidR="00093239" w:rsidRDefault="00093239" w:rsidP="00093239">
      <w:pPr>
        <w:pStyle w:val="a6"/>
        <w:spacing w:before="0" w:beforeAutospacing="0" w:after="0" w:afterAutospacing="0" w:line="570" w:lineRule="exact"/>
        <w:ind w:firstLineChars="200" w:firstLine="640"/>
        <w:rPr>
          <w:rFonts w:ascii="Times New Roman" w:eastAsia="方正仿宋_GBK" w:hAnsi="Times New Roman" w:cs="Times New Roman"/>
          <w:sz w:val="32"/>
          <w:szCs w:val="32"/>
        </w:rPr>
      </w:pPr>
      <w:r>
        <w:rPr>
          <w:rStyle w:val="a5"/>
          <w:rFonts w:ascii="方正楷体_GBK" w:eastAsia="方正楷体_GBK" w:hAnsi="方正楷体_GBK" w:cs="方正楷体_GBK" w:hint="eastAsia"/>
          <w:b w:val="0"/>
          <w:bCs w:val="0"/>
          <w:sz w:val="32"/>
          <w:szCs w:val="32"/>
        </w:rPr>
        <w:t>（二）“三公”经费分项支出情况</w:t>
      </w:r>
    </w:p>
    <w:p w:rsidR="00093239" w:rsidRDefault="00093239" w:rsidP="00093239">
      <w:pPr>
        <w:pStyle w:val="a6"/>
        <w:spacing w:before="0" w:beforeAutospacing="0" w:after="0" w:afterAutospacing="0" w:line="570" w:lineRule="exact"/>
        <w:ind w:firstLineChars="200" w:firstLine="640"/>
        <w:rPr>
          <w:rFonts w:ascii="Times New Roman" w:eastAsia="方正仿宋_GBK" w:hAnsi="Times New Roman" w:cs="Times New Roman"/>
          <w:snapToGrid w:val="0"/>
          <w:sz w:val="32"/>
          <w:szCs w:val="32"/>
        </w:rPr>
      </w:pPr>
      <w:r>
        <w:rPr>
          <w:rFonts w:ascii="Times New Roman" w:eastAsia="方正仿宋_GBK" w:hAnsi="Times New Roman" w:cs="Times New Roman"/>
          <w:sz w:val="32"/>
          <w:szCs w:val="32"/>
        </w:rPr>
        <w:t> </w:t>
      </w:r>
      <w:r>
        <w:rPr>
          <w:rFonts w:ascii="Times New Roman" w:eastAsia="方正仿宋_GBK" w:hAnsi="Times New Roman" w:cs="Times New Roman"/>
          <w:snapToGrid w:val="0"/>
          <w:sz w:val="32"/>
          <w:szCs w:val="32"/>
        </w:rPr>
        <w:t>2022</w:t>
      </w:r>
      <w:r>
        <w:rPr>
          <w:rFonts w:ascii="Times New Roman" w:eastAsia="方正仿宋_GBK" w:hAnsi="Times New Roman" w:cs="Times New Roman"/>
          <w:snapToGrid w:val="0"/>
          <w:sz w:val="32"/>
          <w:szCs w:val="32"/>
        </w:rPr>
        <w:t>年度本部门未发生因公出国（境）费用</w:t>
      </w:r>
      <w:r>
        <w:rPr>
          <w:rFonts w:ascii="Times New Roman" w:eastAsia="方正仿宋_GBK" w:hAnsi="Times New Roman" w:cs="Times New Roman"/>
          <w:snapToGrid w:val="0"/>
          <w:sz w:val="32"/>
          <w:szCs w:val="32"/>
        </w:rPr>
        <w:t> </w:t>
      </w:r>
      <w:r>
        <w:rPr>
          <w:rFonts w:ascii="Times New Roman" w:eastAsia="方正仿宋_GBK" w:hAnsi="Times New Roman" w:cs="Times New Roman"/>
          <w:snapToGrid w:val="0"/>
          <w:sz w:val="32"/>
          <w:szCs w:val="32"/>
        </w:rPr>
        <w:t>。</w:t>
      </w:r>
    </w:p>
    <w:p w:rsidR="00093239" w:rsidRDefault="00093239" w:rsidP="00093239">
      <w:pPr>
        <w:pStyle w:val="a6"/>
        <w:spacing w:before="0" w:beforeAutospacing="0" w:after="0" w:afterAutospacing="0" w:line="570" w:lineRule="exact"/>
        <w:ind w:firstLineChars="200" w:firstLine="640"/>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2022</w:t>
      </w:r>
      <w:r>
        <w:rPr>
          <w:rFonts w:ascii="Times New Roman" w:eastAsia="方正仿宋_GBK" w:hAnsi="Times New Roman" w:cs="Times New Roman"/>
          <w:snapToGrid w:val="0"/>
          <w:sz w:val="32"/>
          <w:szCs w:val="32"/>
        </w:rPr>
        <w:t>年度本部门发生公务车购置费</w:t>
      </w:r>
      <w:r>
        <w:rPr>
          <w:rFonts w:ascii="Times New Roman" w:eastAsia="方正仿宋_GBK" w:hAnsi="Times New Roman" w:cs="Times New Roman"/>
          <w:snapToGrid w:val="0"/>
          <w:sz w:val="32"/>
          <w:szCs w:val="32"/>
        </w:rPr>
        <w:t>17.95</w:t>
      </w:r>
      <w:r>
        <w:rPr>
          <w:rFonts w:ascii="Times New Roman" w:eastAsia="方正仿宋_GBK" w:hAnsi="Times New Roman" w:cs="Times New Roman"/>
          <w:snapToGrid w:val="0"/>
          <w:sz w:val="32"/>
          <w:szCs w:val="32"/>
        </w:rPr>
        <w:t>万元，较上年增加</w:t>
      </w:r>
      <w:r>
        <w:rPr>
          <w:rFonts w:ascii="Times New Roman" w:eastAsia="方正仿宋_GBK" w:hAnsi="Times New Roman" w:cs="Times New Roman"/>
          <w:snapToGrid w:val="0"/>
          <w:sz w:val="32"/>
          <w:szCs w:val="32"/>
        </w:rPr>
        <w:t>17.95</w:t>
      </w:r>
      <w:r>
        <w:rPr>
          <w:rFonts w:ascii="Times New Roman" w:eastAsia="方正仿宋_GBK" w:hAnsi="Times New Roman" w:cs="Times New Roman"/>
          <w:snapToGrid w:val="0"/>
          <w:sz w:val="32"/>
          <w:szCs w:val="32"/>
        </w:rPr>
        <w:t>万元，主要原因是风景名胜管理中心因工作需求新制购置公务用车</w:t>
      </w:r>
      <w:r>
        <w:rPr>
          <w:rFonts w:ascii="Times New Roman" w:eastAsia="方正仿宋_GBK" w:hAnsi="Times New Roman" w:cs="Times New Roman"/>
          <w:snapToGrid w:val="0"/>
          <w:sz w:val="32"/>
          <w:szCs w:val="32"/>
        </w:rPr>
        <w:t>1</w:t>
      </w:r>
      <w:r>
        <w:rPr>
          <w:rFonts w:ascii="Times New Roman" w:eastAsia="方正仿宋_GBK" w:hAnsi="Times New Roman" w:cs="Times New Roman"/>
          <w:snapToGrid w:val="0"/>
          <w:sz w:val="32"/>
          <w:szCs w:val="32"/>
        </w:rPr>
        <w:t>辆，因此</w:t>
      </w:r>
      <w:r>
        <w:rPr>
          <w:rFonts w:ascii="Times New Roman" w:eastAsia="方正仿宋_GBK" w:hAnsi="Times New Roman" w:cs="Times New Roman"/>
          <w:snapToGrid w:val="0"/>
          <w:sz w:val="32"/>
          <w:szCs w:val="32"/>
        </w:rPr>
        <w:t>“</w:t>
      </w:r>
      <w:r>
        <w:rPr>
          <w:rFonts w:ascii="Times New Roman" w:eastAsia="方正仿宋_GBK" w:hAnsi="Times New Roman" w:cs="Times New Roman"/>
          <w:snapToGrid w:val="0"/>
          <w:sz w:val="32"/>
          <w:szCs w:val="32"/>
        </w:rPr>
        <w:t>三公经费</w:t>
      </w:r>
      <w:r>
        <w:rPr>
          <w:rFonts w:ascii="Times New Roman" w:eastAsia="方正仿宋_GBK" w:hAnsi="Times New Roman" w:cs="Times New Roman"/>
          <w:snapToGrid w:val="0"/>
          <w:sz w:val="32"/>
          <w:szCs w:val="32"/>
        </w:rPr>
        <w:t>”</w:t>
      </w:r>
      <w:r>
        <w:rPr>
          <w:rFonts w:ascii="Times New Roman" w:eastAsia="方正仿宋_GBK" w:hAnsi="Times New Roman" w:cs="Times New Roman"/>
          <w:snapToGrid w:val="0"/>
          <w:sz w:val="32"/>
          <w:szCs w:val="32"/>
        </w:rPr>
        <w:t>支出较上年增加。</w:t>
      </w:r>
    </w:p>
    <w:p w:rsidR="00093239" w:rsidRDefault="00093239" w:rsidP="00093239">
      <w:pPr>
        <w:pStyle w:val="a6"/>
        <w:spacing w:before="0" w:beforeAutospacing="0" w:after="0" w:afterAutospacing="0" w:line="570" w:lineRule="exact"/>
        <w:ind w:firstLineChars="200" w:firstLine="640"/>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 </w:t>
      </w:r>
      <w:r>
        <w:rPr>
          <w:rFonts w:ascii="Times New Roman" w:eastAsia="方正仿宋_GBK" w:hAnsi="Times New Roman" w:cs="Times New Roman"/>
          <w:snapToGrid w:val="0"/>
          <w:sz w:val="32"/>
          <w:szCs w:val="32"/>
        </w:rPr>
        <w:t>公务车运行维护费</w:t>
      </w:r>
      <w:r>
        <w:rPr>
          <w:rFonts w:ascii="Times New Roman" w:eastAsia="方正仿宋_GBK" w:hAnsi="Times New Roman" w:cs="Times New Roman"/>
          <w:snapToGrid w:val="0"/>
          <w:sz w:val="32"/>
          <w:szCs w:val="32"/>
        </w:rPr>
        <w:t>33.65</w:t>
      </w:r>
      <w:r>
        <w:rPr>
          <w:rFonts w:ascii="Times New Roman" w:eastAsia="方正仿宋_GBK" w:hAnsi="Times New Roman" w:cs="Times New Roman"/>
          <w:snapToGrid w:val="0"/>
          <w:sz w:val="32"/>
          <w:szCs w:val="32"/>
        </w:rPr>
        <w:t>万元，主要用于机要文件交换、市内因公出行、财政业务检查等工作所需车辆的燃料费、维修费、</w:t>
      </w:r>
      <w:r>
        <w:rPr>
          <w:rFonts w:ascii="Times New Roman" w:eastAsia="方正仿宋_GBK" w:hAnsi="Times New Roman" w:cs="Times New Roman"/>
          <w:snapToGrid w:val="0"/>
          <w:sz w:val="32"/>
          <w:szCs w:val="32"/>
        </w:rPr>
        <w:lastRenderedPageBreak/>
        <w:t>过桥过路费、保险费等。费用支出较年初预算数减少</w:t>
      </w:r>
      <w:r>
        <w:rPr>
          <w:rFonts w:ascii="Times New Roman" w:eastAsia="方正仿宋_GBK" w:hAnsi="Times New Roman" w:cs="Times New Roman"/>
          <w:snapToGrid w:val="0"/>
          <w:sz w:val="32"/>
          <w:szCs w:val="32"/>
        </w:rPr>
        <w:t>2.35</w:t>
      </w:r>
      <w:r>
        <w:rPr>
          <w:rFonts w:ascii="Times New Roman" w:eastAsia="方正仿宋_GBK" w:hAnsi="Times New Roman" w:cs="Times New Roman"/>
          <w:snapToGrid w:val="0"/>
          <w:sz w:val="32"/>
          <w:szCs w:val="32"/>
        </w:rPr>
        <w:t>万元，下降</w:t>
      </w:r>
      <w:r>
        <w:rPr>
          <w:rFonts w:ascii="Times New Roman" w:eastAsia="方正仿宋_GBK" w:hAnsi="Times New Roman" w:cs="Times New Roman"/>
          <w:snapToGrid w:val="0"/>
          <w:sz w:val="32"/>
          <w:szCs w:val="32"/>
        </w:rPr>
        <w:t>6.53%</w:t>
      </w:r>
      <w:r>
        <w:rPr>
          <w:rFonts w:ascii="Times New Roman" w:eastAsia="方正仿宋_GBK" w:hAnsi="Times New Roman" w:cs="Times New Roman"/>
          <w:snapToGrid w:val="0"/>
          <w:sz w:val="32"/>
          <w:szCs w:val="32"/>
        </w:rPr>
        <w:t>，主要原因是部门严格落实公车使用规定，严禁公车私用，公车运行维护成本大幅下降。较上年支出数增加</w:t>
      </w:r>
      <w:r>
        <w:rPr>
          <w:rFonts w:ascii="Times New Roman" w:eastAsia="方正仿宋_GBK" w:hAnsi="Times New Roman" w:cs="Times New Roman"/>
          <w:snapToGrid w:val="0"/>
          <w:sz w:val="32"/>
          <w:szCs w:val="32"/>
        </w:rPr>
        <w:t>0.31</w:t>
      </w:r>
      <w:r>
        <w:rPr>
          <w:rFonts w:ascii="Times New Roman" w:eastAsia="方正仿宋_GBK" w:hAnsi="Times New Roman" w:cs="Times New Roman"/>
          <w:snapToGrid w:val="0"/>
          <w:sz w:val="32"/>
          <w:szCs w:val="32"/>
        </w:rPr>
        <w:t>万元，增长</w:t>
      </w:r>
      <w:r>
        <w:rPr>
          <w:rFonts w:ascii="Times New Roman" w:eastAsia="方正仿宋_GBK" w:hAnsi="Times New Roman" w:cs="Times New Roman"/>
          <w:snapToGrid w:val="0"/>
          <w:sz w:val="32"/>
          <w:szCs w:val="32"/>
        </w:rPr>
        <w:t>0.93%</w:t>
      </w:r>
      <w:r>
        <w:rPr>
          <w:rFonts w:ascii="Times New Roman" w:eastAsia="方正仿宋_GBK" w:hAnsi="Times New Roman" w:cs="Times New Roman"/>
          <w:snapToGrid w:val="0"/>
          <w:sz w:val="32"/>
          <w:szCs w:val="32"/>
        </w:rPr>
        <w:t>，主要原因风景名胜管理中心增加了</w:t>
      </w:r>
      <w:r>
        <w:rPr>
          <w:rFonts w:ascii="Times New Roman" w:eastAsia="方正仿宋_GBK" w:hAnsi="Times New Roman" w:cs="Times New Roman"/>
          <w:snapToGrid w:val="0"/>
          <w:sz w:val="32"/>
          <w:szCs w:val="32"/>
        </w:rPr>
        <w:t>1</w:t>
      </w:r>
      <w:r>
        <w:rPr>
          <w:rFonts w:ascii="Times New Roman" w:eastAsia="方正仿宋_GBK" w:hAnsi="Times New Roman" w:cs="Times New Roman"/>
          <w:snapToGrid w:val="0"/>
          <w:sz w:val="32"/>
          <w:szCs w:val="32"/>
        </w:rPr>
        <w:t>辆公务用车，故公务车运行维护费相应增加。</w:t>
      </w:r>
    </w:p>
    <w:p w:rsidR="00093239" w:rsidRDefault="00093239" w:rsidP="00093239">
      <w:pPr>
        <w:pStyle w:val="a6"/>
        <w:spacing w:before="0" w:beforeAutospacing="0" w:after="0" w:afterAutospacing="0" w:line="570" w:lineRule="exact"/>
        <w:ind w:firstLineChars="200" w:firstLine="640"/>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 </w:t>
      </w:r>
      <w:r>
        <w:rPr>
          <w:rFonts w:ascii="Times New Roman" w:eastAsia="方正仿宋_GBK" w:hAnsi="Times New Roman" w:cs="Times New Roman"/>
          <w:snapToGrid w:val="0"/>
          <w:sz w:val="32"/>
          <w:szCs w:val="32"/>
        </w:rPr>
        <w:t>公务接待费</w:t>
      </w:r>
      <w:r>
        <w:rPr>
          <w:rFonts w:ascii="Times New Roman" w:eastAsia="方正仿宋_GBK" w:hAnsi="Times New Roman" w:cs="Times New Roman"/>
          <w:snapToGrid w:val="0"/>
          <w:sz w:val="32"/>
          <w:szCs w:val="32"/>
        </w:rPr>
        <w:t>10.8</w:t>
      </w:r>
      <w:r>
        <w:rPr>
          <w:rFonts w:ascii="Times New Roman" w:eastAsia="方正仿宋_GBK" w:hAnsi="Times New Roman" w:cs="Times New Roman"/>
          <w:snapToGrid w:val="0"/>
          <w:sz w:val="32"/>
          <w:szCs w:val="32"/>
        </w:rPr>
        <w:t>万元，主要用于接待上级相关部门检查指导工作发生的接待支出及其他市、县林业部门的林业工作交流、学习等接待支出。费用支出较年初预算数减少</w:t>
      </w:r>
      <w:r>
        <w:rPr>
          <w:rFonts w:ascii="Times New Roman" w:eastAsia="方正仿宋_GBK" w:hAnsi="Times New Roman" w:cs="Times New Roman"/>
          <w:snapToGrid w:val="0"/>
          <w:sz w:val="32"/>
          <w:szCs w:val="32"/>
        </w:rPr>
        <w:t>8.7</w:t>
      </w:r>
      <w:r>
        <w:rPr>
          <w:rFonts w:ascii="Times New Roman" w:eastAsia="方正仿宋_GBK" w:hAnsi="Times New Roman" w:cs="Times New Roman"/>
          <w:snapToGrid w:val="0"/>
          <w:sz w:val="32"/>
          <w:szCs w:val="32"/>
        </w:rPr>
        <w:t>万元，下降</w:t>
      </w:r>
      <w:r>
        <w:rPr>
          <w:rFonts w:ascii="Times New Roman" w:eastAsia="方正仿宋_GBK" w:hAnsi="Times New Roman" w:cs="Times New Roman"/>
          <w:snapToGrid w:val="0"/>
          <w:sz w:val="32"/>
          <w:szCs w:val="32"/>
        </w:rPr>
        <w:t>44.62%</w:t>
      </w:r>
      <w:r>
        <w:rPr>
          <w:rFonts w:ascii="Times New Roman" w:eastAsia="方正仿宋_GBK" w:hAnsi="Times New Roman" w:cs="Times New Roman"/>
          <w:snapToGrid w:val="0"/>
          <w:sz w:val="32"/>
          <w:szCs w:val="32"/>
        </w:rPr>
        <w:t>，主要原因是强化公务接待支出管理，严格遵守公务接待开支范围和开支标准，严格控制陪餐人数，对应由接待对象承担的费用一律由接待对象自行支付，公务接待费下降。较上年支出数减少</w:t>
      </w:r>
      <w:r>
        <w:rPr>
          <w:rFonts w:ascii="Times New Roman" w:eastAsia="方正仿宋_GBK" w:hAnsi="Times New Roman" w:cs="Times New Roman"/>
          <w:snapToGrid w:val="0"/>
          <w:sz w:val="32"/>
          <w:szCs w:val="32"/>
        </w:rPr>
        <w:t>4.39</w:t>
      </w:r>
      <w:r>
        <w:rPr>
          <w:rFonts w:ascii="Times New Roman" w:eastAsia="方正仿宋_GBK" w:hAnsi="Times New Roman" w:cs="Times New Roman"/>
          <w:snapToGrid w:val="0"/>
          <w:sz w:val="32"/>
          <w:szCs w:val="32"/>
        </w:rPr>
        <w:t>万元，下降</w:t>
      </w:r>
      <w:r>
        <w:rPr>
          <w:rFonts w:ascii="Times New Roman" w:eastAsia="方正仿宋_GBK" w:hAnsi="Times New Roman" w:cs="Times New Roman"/>
          <w:snapToGrid w:val="0"/>
          <w:sz w:val="32"/>
          <w:szCs w:val="32"/>
        </w:rPr>
        <w:t>28.9%</w:t>
      </w:r>
      <w:r>
        <w:rPr>
          <w:rFonts w:ascii="Times New Roman" w:eastAsia="方正仿宋_GBK" w:hAnsi="Times New Roman" w:cs="Times New Roman"/>
          <w:snapToGrid w:val="0"/>
          <w:sz w:val="32"/>
          <w:szCs w:val="32"/>
        </w:rPr>
        <w:t>，主要原因是强化公务接待支出管理，严格遵守公务接待开支范围和开支标准，严格控制陪餐人数，对应由接待对象承担的费用一律由接待对象自行支付，公务接待费下降。</w:t>
      </w:r>
    </w:p>
    <w:p w:rsidR="00093239" w:rsidRDefault="00093239" w:rsidP="00093239">
      <w:pPr>
        <w:pStyle w:val="a6"/>
        <w:spacing w:before="0" w:beforeAutospacing="0" w:after="0" w:afterAutospacing="0" w:line="570" w:lineRule="exact"/>
        <w:ind w:firstLineChars="200" w:firstLine="640"/>
        <w:rPr>
          <w:rFonts w:ascii="Times New Roman" w:eastAsia="方正仿宋_GBK" w:hAnsi="Times New Roman" w:cs="Times New Roman"/>
          <w:sz w:val="32"/>
          <w:szCs w:val="32"/>
        </w:rPr>
      </w:pPr>
      <w:r>
        <w:rPr>
          <w:rStyle w:val="a5"/>
          <w:rFonts w:ascii="方正楷体_GBK" w:eastAsia="方正楷体_GBK" w:hAnsi="方正楷体_GBK" w:cs="方正楷体_GBK" w:hint="eastAsia"/>
          <w:b w:val="0"/>
          <w:bCs w:val="0"/>
          <w:sz w:val="32"/>
          <w:szCs w:val="32"/>
        </w:rPr>
        <w:t>（三）“三公”经费实物量情况</w:t>
      </w:r>
    </w:p>
    <w:p w:rsidR="00093239" w:rsidRDefault="00093239" w:rsidP="00093239">
      <w:pPr>
        <w:pStyle w:val="a6"/>
        <w:spacing w:before="0" w:beforeAutospacing="0" w:after="0" w:afterAutospacing="0" w:line="570" w:lineRule="exact"/>
        <w:ind w:firstLineChars="200" w:firstLine="640"/>
        <w:rPr>
          <w:rFonts w:ascii="Times New Roman" w:eastAsia="方正仿宋_GBK" w:hAnsi="Times New Roman" w:cs="Times New Roman"/>
          <w:snapToGrid w:val="0"/>
          <w:sz w:val="32"/>
          <w:szCs w:val="32"/>
        </w:rPr>
      </w:pPr>
      <w:r>
        <w:rPr>
          <w:rFonts w:ascii="Times New Roman" w:eastAsia="方正仿宋_GBK" w:hAnsi="Times New Roman" w:cs="Times New Roman"/>
          <w:sz w:val="32"/>
          <w:szCs w:val="32"/>
        </w:rPr>
        <w:t> </w:t>
      </w:r>
      <w:r>
        <w:rPr>
          <w:rFonts w:ascii="Times New Roman" w:eastAsia="方正仿宋_GBK" w:hAnsi="Times New Roman" w:cs="Times New Roman"/>
          <w:snapToGrid w:val="0"/>
          <w:sz w:val="32"/>
          <w:szCs w:val="32"/>
        </w:rPr>
        <w:t>2022</w:t>
      </w:r>
      <w:r>
        <w:rPr>
          <w:rFonts w:ascii="Times New Roman" w:eastAsia="方正仿宋_GBK" w:hAnsi="Times New Roman" w:cs="Times New Roman"/>
          <w:snapToGrid w:val="0"/>
          <w:sz w:val="32"/>
          <w:szCs w:val="32"/>
        </w:rPr>
        <w:t>年度本部门因公出国（境）共计</w:t>
      </w:r>
      <w:r>
        <w:rPr>
          <w:rFonts w:ascii="Times New Roman" w:eastAsia="方正仿宋_GBK" w:hAnsi="Times New Roman" w:cs="Times New Roman"/>
          <w:snapToGrid w:val="0"/>
          <w:sz w:val="32"/>
          <w:szCs w:val="32"/>
        </w:rPr>
        <w:t>0</w:t>
      </w:r>
      <w:r>
        <w:rPr>
          <w:rFonts w:ascii="Times New Roman" w:eastAsia="方正仿宋_GBK" w:hAnsi="Times New Roman" w:cs="Times New Roman"/>
          <w:snapToGrid w:val="0"/>
          <w:sz w:val="32"/>
          <w:szCs w:val="32"/>
        </w:rPr>
        <w:t>个团组，</w:t>
      </w:r>
      <w:r>
        <w:rPr>
          <w:rFonts w:ascii="Times New Roman" w:eastAsia="方正仿宋_GBK" w:hAnsi="Times New Roman" w:cs="Times New Roman"/>
          <w:snapToGrid w:val="0"/>
          <w:sz w:val="32"/>
          <w:szCs w:val="32"/>
        </w:rPr>
        <w:t>0</w:t>
      </w:r>
      <w:r>
        <w:rPr>
          <w:rFonts w:ascii="Times New Roman" w:eastAsia="方正仿宋_GBK" w:hAnsi="Times New Roman" w:cs="Times New Roman"/>
          <w:snapToGrid w:val="0"/>
          <w:sz w:val="32"/>
          <w:szCs w:val="32"/>
        </w:rPr>
        <w:t>人；公务用车购置</w:t>
      </w:r>
      <w:r>
        <w:rPr>
          <w:rFonts w:ascii="Times New Roman" w:eastAsia="方正仿宋_GBK" w:hAnsi="Times New Roman" w:cs="Times New Roman"/>
          <w:snapToGrid w:val="0"/>
          <w:sz w:val="32"/>
          <w:szCs w:val="32"/>
        </w:rPr>
        <w:t>1</w:t>
      </w:r>
      <w:r>
        <w:rPr>
          <w:rFonts w:ascii="Times New Roman" w:eastAsia="方正仿宋_GBK" w:hAnsi="Times New Roman" w:cs="Times New Roman"/>
          <w:snapToGrid w:val="0"/>
          <w:sz w:val="32"/>
          <w:szCs w:val="32"/>
        </w:rPr>
        <w:t>辆，公务车保有量为</w:t>
      </w:r>
      <w:r>
        <w:rPr>
          <w:rFonts w:ascii="Times New Roman" w:eastAsia="方正仿宋_GBK" w:hAnsi="Times New Roman" w:cs="Times New Roman"/>
          <w:snapToGrid w:val="0"/>
          <w:sz w:val="32"/>
          <w:szCs w:val="32"/>
        </w:rPr>
        <w:t>6</w:t>
      </w:r>
      <w:r>
        <w:rPr>
          <w:rFonts w:ascii="Times New Roman" w:eastAsia="方正仿宋_GBK" w:hAnsi="Times New Roman" w:cs="Times New Roman"/>
          <w:snapToGrid w:val="0"/>
          <w:sz w:val="32"/>
          <w:szCs w:val="32"/>
        </w:rPr>
        <w:t>辆；国内公务接待</w:t>
      </w:r>
      <w:r>
        <w:rPr>
          <w:rFonts w:ascii="Times New Roman" w:eastAsia="方正仿宋_GBK" w:hAnsi="Times New Roman" w:cs="Times New Roman"/>
          <w:snapToGrid w:val="0"/>
          <w:sz w:val="32"/>
          <w:szCs w:val="32"/>
        </w:rPr>
        <w:t>243</w:t>
      </w:r>
      <w:r>
        <w:rPr>
          <w:rFonts w:ascii="Times New Roman" w:eastAsia="方正仿宋_GBK" w:hAnsi="Times New Roman" w:cs="Times New Roman"/>
          <w:snapToGrid w:val="0"/>
          <w:sz w:val="32"/>
          <w:szCs w:val="32"/>
        </w:rPr>
        <w:t>批次</w:t>
      </w:r>
      <w:r>
        <w:rPr>
          <w:rFonts w:ascii="Times New Roman" w:eastAsia="方正仿宋_GBK" w:hAnsi="Times New Roman" w:cs="Times New Roman"/>
          <w:snapToGrid w:val="0"/>
          <w:sz w:val="32"/>
          <w:szCs w:val="32"/>
        </w:rPr>
        <w:t>2354</w:t>
      </w:r>
      <w:r>
        <w:rPr>
          <w:rFonts w:ascii="Times New Roman" w:eastAsia="方正仿宋_GBK" w:hAnsi="Times New Roman" w:cs="Times New Roman"/>
          <w:snapToGrid w:val="0"/>
          <w:sz w:val="32"/>
          <w:szCs w:val="32"/>
        </w:rPr>
        <w:t>人，其中：国内外事接待</w:t>
      </w:r>
      <w:r>
        <w:rPr>
          <w:rFonts w:ascii="Times New Roman" w:eastAsia="方正仿宋_GBK" w:hAnsi="Times New Roman" w:cs="Times New Roman"/>
          <w:snapToGrid w:val="0"/>
          <w:sz w:val="32"/>
          <w:szCs w:val="32"/>
        </w:rPr>
        <w:t>0</w:t>
      </w:r>
      <w:r>
        <w:rPr>
          <w:rFonts w:ascii="Times New Roman" w:eastAsia="方正仿宋_GBK" w:hAnsi="Times New Roman" w:cs="Times New Roman"/>
          <w:snapToGrid w:val="0"/>
          <w:sz w:val="32"/>
          <w:szCs w:val="32"/>
        </w:rPr>
        <w:t>批次，</w:t>
      </w:r>
      <w:r>
        <w:rPr>
          <w:rFonts w:ascii="Times New Roman" w:eastAsia="方正仿宋_GBK" w:hAnsi="Times New Roman" w:cs="Times New Roman"/>
          <w:snapToGrid w:val="0"/>
          <w:sz w:val="32"/>
          <w:szCs w:val="32"/>
        </w:rPr>
        <w:t>0</w:t>
      </w:r>
      <w:r>
        <w:rPr>
          <w:rFonts w:ascii="Times New Roman" w:eastAsia="方正仿宋_GBK" w:hAnsi="Times New Roman" w:cs="Times New Roman"/>
          <w:snapToGrid w:val="0"/>
          <w:sz w:val="32"/>
          <w:szCs w:val="32"/>
        </w:rPr>
        <w:t>人；国（境）外公务接待</w:t>
      </w:r>
      <w:r>
        <w:rPr>
          <w:rFonts w:ascii="Times New Roman" w:eastAsia="方正仿宋_GBK" w:hAnsi="Times New Roman" w:cs="Times New Roman"/>
          <w:snapToGrid w:val="0"/>
          <w:sz w:val="32"/>
          <w:szCs w:val="32"/>
        </w:rPr>
        <w:t>0</w:t>
      </w:r>
      <w:r>
        <w:rPr>
          <w:rFonts w:ascii="Times New Roman" w:eastAsia="方正仿宋_GBK" w:hAnsi="Times New Roman" w:cs="Times New Roman"/>
          <w:snapToGrid w:val="0"/>
          <w:sz w:val="32"/>
          <w:szCs w:val="32"/>
        </w:rPr>
        <w:t>批次，</w:t>
      </w:r>
      <w:r>
        <w:rPr>
          <w:rFonts w:ascii="Times New Roman" w:eastAsia="方正仿宋_GBK" w:hAnsi="Times New Roman" w:cs="Times New Roman"/>
          <w:snapToGrid w:val="0"/>
          <w:sz w:val="32"/>
          <w:szCs w:val="32"/>
        </w:rPr>
        <w:t>0</w:t>
      </w:r>
      <w:r>
        <w:rPr>
          <w:rFonts w:ascii="Times New Roman" w:eastAsia="方正仿宋_GBK" w:hAnsi="Times New Roman" w:cs="Times New Roman"/>
          <w:snapToGrid w:val="0"/>
          <w:sz w:val="32"/>
          <w:szCs w:val="32"/>
        </w:rPr>
        <w:t>人。</w:t>
      </w:r>
      <w:r>
        <w:rPr>
          <w:rFonts w:ascii="Times New Roman" w:eastAsia="方正仿宋_GBK" w:hAnsi="Times New Roman" w:cs="Times New Roman"/>
          <w:snapToGrid w:val="0"/>
          <w:sz w:val="32"/>
          <w:szCs w:val="32"/>
        </w:rPr>
        <w:t>2022</w:t>
      </w:r>
      <w:r>
        <w:rPr>
          <w:rFonts w:ascii="Times New Roman" w:eastAsia="方正仿宋_GBK" w:hAnsi="Times New Roman" w:cs="Times New Roman"/>
          <w:snapToGrid w:val="0"/>
          <w:sz w:val="32"/>
          <w:szCs w:val="32"/>
        </w:rPr>
        <w:t>年本部门人均接待费</w:t>
      </w:r>
      <w:r>
        <w:rPr>
          <w:rFonts w:ascii="Times New Roman" w:eastAsia="方正仿宋_GBK" w:hAnsi="Times New Roman" w:cs="Times New Roman"/>
          <w:snapToGrid w:val="0"/>
          <w:sz w:val="32"/>
          <w:szCs w:val="32"/>
        </w:rPr>
        <w:t>45.88</w:t>
      </w:r>
      <w:r>
        <w:rPr>
          <w:rFonts w:ascii="Times New Roman" w:eastAsia="方正仿宋_GBK" w:hAnsi="Times New Roman" w:cs="Times New Roman"/>
          <w:snapToGrid w:val="0"/>
          <w:sz w:val="32"/>
          <w:szCs w:val="32"/>
        </w:rPr>
        <w:t>元，车均购置费</w:t>
      </w:r>
      <w:r>
        <w:rPr>
          <w:rFonts w:ascii="Times New Roman" w:eastAsia="方正仿宋_GBK" w:hAnsi="Times New Roman" w:cs="Times New Roman"/>
          <w:snapToGrid w:val="0"/>
          <w:sz w:val="32"/>
          <w:szCs w:val="32"/>
        </w:rPr>
        <w:t>17.95</w:t>
      </w:r>
      <w:r>
        <w:rPr>
          <w:rFonts w:ascii="Times New Roman" w:eastAsia="方正仿宋_GBK" w:hAnsi="Times New Roman" w:cs="Times New Roman"/>
          <w:snapToGrid w:val="0"/>
          <w:sz w:val="32"/>
          <w:szCs w:val="32"/>
        </w:rPr>
        <w:t>万元，车均维护费</w:t>
      </w:r>
      <w:r>
        <w:rPr>
          <w:rFonts w:ascii="Times New Roman" w:eastAsia="方正仿宋_GBK" w:hAnsi="Times New Roman" w:cs="Times New Roman"/>
          <w:snapToGrid w:val="0"/>
          <w:sz w:val="32"/>
          <w:szCs w:val="32"/>
        </w:rPr>
        <w:t>3.74</w:t>
      </w:r>
      <w:r>
        <w:rPr>
          <w:rFonts w:ascii="Times New Roman" w:eastAsia="方正仿宋_GBK" w:hAnsi="Times New Roman" w:cs="Times New Roman"/>
          <w:snapToGrid w:val="0"/>
          <w:sz w:val="32"/>
          <w:szCs w:val="32"/>
        </w:rPr>
        <w:t>万元（全年车辆保有量为</w:t>
      </w:r>
      <w:r>
        <w:rPr>
          <w:rFonts w:ascii="Times New Roman" w:eastAsia="方正仿宋_GBK" w:hAnsi="Times New Roman" w:cs="Times New Roman"/>
          <w:snapToGrid w:val="0"/>
          <w:sz w:val="32"/>
          <w:szCs w:val="32"/>
        </w:rPr>
        <w:t>9</w:t>
      </w:r>
      <w:r>
        <w:rPr>
          <w:rFonts w:ascii="Times New Roman" w:eastAsia="方正仿宋_GBK" w:hAnsi="Times New Roman" w:cs="Times New Roman"/>
          <w:snapToGrid w:val="0"/>
          <w:sz w:val="32"/>
          <w:szCs w:val="32"/>
        </w:rPr>
        <w:t>辆，</w:t>
      </w:r>
      <w:r>
        <w:rPr>
          <w:rFonts w:ascii="Times New Roman" w:eastAsia="方正仿宋_GBK" w:hAnsi="Times New Roman" w:cs="Times New Roman"/>
          <w:snapToGrid w:val="0"/>
          <w:sz w:val="32"/>
          <w:szCs w:val="32"/>
        </w:rPr>
        <w:lastRenderedPageBreak/>
        <w:t>只在</w:t>
      </w:r>
      <w:r>
        <w:rPr>
          <w:rFonts w:ascii="Times New Roman" w:eastAsia="方正仿宋_GBK" w:hAnsi="Times New Roman" w:cs="Times New Roman"/>
          <w:snapToGrid w:val="0"/>
          <w:sz w:val="32"/>
          <w:szCs w:val="32"/>
        </w:rPr>
        <w:t>2022</w:t>
      </w:r>
      <w:r>
        <w:rPr>
          <w:rFonts w:ascii="Times New Roman" w:eastAsia="方正仿宋_GBK" w:hAnsi="Times New Roman" w:cs="Times New Roman"/>
          <w:snapToGrid w:val="0"/>
          <w:sz w:val="32"/>
          <w:szCs w:val="32"/>
        </w:rPr>
        <w:t>年</w:t>
      </w:r>
      <w:r>
        <w:rPr>
          <w:rFonts w:ascii="Times New Roman" w:eastAsia="方正仿宋_GBK" w:hAnsi="Times New Roman" w:cs="Times New Roman"/>
          <w:snapToGrid w:val="0"/>
          <w:sz w:val="32"/>
          <w:szCs w:val="32"/>
        </w:rPr>
        <w:t>11</w:t>
      </w:r>
      <w:r>
        <w:rPr>
          <w:rFonts w:ascii="Times New Roman" w:eastAsia="方正仿宋_GBK" w:hAnsi="Times New Roman" w:cs="Times New Roman"/>
          <w:snapToGrid w:val="0"/>
          <w:sz w:val="32"/>
          <w:szCs w:val="32"/>
        </w:rPr>
        <w:t>月时林业局（本级）报废车辆</w:t>
      </w:r>
      <w:r>
        <w:rPr>
          <w:rFonts w:ascii="Times New Roman" w:eastAsia="方正仿宋_GBK" w:hAnsi="Times New Roman" w:cs="Times New Roman"/>
          <w:snapToGrid w:val="0"/>
          <w:sz w:val="32"/>
          <w:szCs w:val="32"/>
        </w:rPr>
        <w:t>3</w:t>
      </w:r>
      <w:r>
        <w:rPr>
          <w:rFonts w:ascii="Times New Roman" w:eastAsia="方正仿宋_GBK" w:hAnsi="Times New Roman" w:cs="Times New Roman"/>
          <w:snapToGrid w:val="0"/>
          <w:sz w:val="32"/>
          <w:szCs w:val="32"/>
        </w:rPr>
        <w:t>辆，因此年底时车辆保有量只有</w:t>
      </w:r>
      <w:r>
        <w:rPr>
          <w:rFonts w:ascii="Times New Roman" w:eastAsia="方正仿宋_GBK" w:hAnsi="Times New Roman" w:cs="Times New Roman"/>
          <w:snapToGrid w:val="0"/>
          <w:sz w:val="32"/>
          <w:szCs w:val="32"/>
        </w:rPr>
        <w:t>6</w:t>
      </w:r>
      <w:r>
        <w:rPr>
          <w:rFonts w:ascii="Times New Roman" w:eastAsia="方正仿宋_GBK" w:hAnsi="Times New Roman" w:cs="Times New Roman"/>
          <w:snapToGrid w:val="0"/>
          <w:sz w:val="32"/>
          <w:szCs w:val="32"/>
        </w:rPr>
        <w:t>辆）。</w:t>
      </w:r>
    </w:p>
    <w:p w:rsidR="00093239" w:rsidRDefault="00093239" w:rsidP="00093239">
      <w:pPr>
        <w:pStyle w:val="a6"/>
        <w:spacing w:before="0" w:beforeAutospacing="0" w:after="0" w:afterAutospacing="0" w:line="570" w:lineRule="exact"/>
        <w:ind w:firstLineChars="200" w:firstLine="640"/>
        <w:rPr>
          <w:rFonts w:ascii="Times New Roman" w:eastAsia="方正仿宋_GBK" w:hAnsi="Times New Roman" w:cs="Times New Roman"/>
          <w:b/>
          <w:bCs/>
          <w:snapToGrid w:val="0"/>
          <w:sz w:val="32"/>
          <w:szCs w:val="32"/>
        </w:rPr>
      </w:pPr>
      <w:r>
        <w:rPr>
          <w:rFonts w:ascii="方正黑体_GBK" w:eastAsia="方正黑体_GBK" w:hAnsi="方正黑体_GBK" w:cs="方正黑体_GBK" w:hint="eastAsia"/>
          <w:snapToGrid w:val="0"/>
          <w:sz w:val="32"/>
          <w:szCs w:val="32"/>
        </w:rPr>
        <w:t>四、其他需要说明的事项</w:t>
      </w:r>
    </w:p>
    <w:p w:rsidR="00093239" w:rsidRDefault="00093239" w:rsidP="00093239">
      <w:pPr>
        <w:pStyle w:val="a6"/>
        <w:spacing w:before="0" w:beforeAutospacing="0" w:after="0" w:afterAutospacing="0" w:line="570" w:lineRule="exact"/>
        <w:ind w:firstLineChars="200" w:firstLine="640"/>
        <w:rPr>
          <w:rFonts w:ascii="Times New Roman" w:eastAsia="方正仿宋_GBK" w:hAnsi="Times New Roman" w:cs="Times New Roman"/>
          <w:b/>
          <w:bCs/>
          <w:snapToGrid w:val="0"/>
          <w:sz w:val="32"/>
          <w:szCs w:val="32"/>
        </w:rPr>
      </w:pPr>
      <w:r>
        <w:rPr>
          <w:rFonts w:ascii="方正楷体_GBK" w:eastAsia="方正楷体_GBK" w:hAnsi="方正楷体_GBK" w:cs="方正楷体_GBK" w:hint="eastAsia"/>
          <w:snapToGrid w:val="0"/>
          <w:sz w:val="32"/>
          <w:szCs w:val="32"/>
        </w:rPr>
        <w:t>（一）一般公共预算财政拨款会议费和培训费情况说明。</w:t>
      </w:r>
    </w:p>
    <w:p w:rsidR="00093239" w:rsidRDefault="00093239" w:rsidP="00093239">
      <w:pPr>
        <w:pStyle w:val="a6"/>
        <w:spacing w:before="0" w:beforeAutospacing="0" w:after="0" w:afterAutospacing="0" w:line="570" w:lineRule="exact"/>
        <w:ind w:firstLineChars="200" w:firstLine="640"/>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本年度会议费支出</w:t>
      </w:r>
      <w:r>
        <w:rPr>
          <w:rFonts w:ascii="Times New Roman" w:eastAsia="方正仿宋_GBK" w:hAnsi="Times New Roman" w:cs="Times New Roman"/>
          <w:snapToGrid w:val="0"/>
          <w:sz w:val="32"/>
          <w:szCs w:val="32"/>
        </w:rPr>
        <w:t>0.09</w:t>
      </w:r>
      <w:r>
        <w:rPr>
          <w:rFonts w:ascii="Times New Roman" w:eastAsia="方正仿宋_GBK" w:hAnsi="Times New Roman" w:cs="Times New Roman"/>
          <w:snapToGrid w:val="0"/>
          <w:sz w:val="32"/>
          <w:szCs w:val="32"/>
        </w:rPr>
        <w:t>万元，较上年决算数减少</w:t>
      </w:r>
      <w:r>
        <w:rPr>
          <w:rFonts w:ascii="Times New Roman" w:eastAsia="方正仿宋_GBK" w:hAnsi="Times New Roman" w:cs="Times New Roman"/>
          <w:snapToGrid w:val="0"/>
          <w:sz w:val="32"/>
          <w:szCs w:val="32"/>
        </w:rPr>
        <w:t>0.04</w:t>
      </w:r>
      <w:r>
        <w:rPr>
          <w:rFonts w:ascii="Times New Roman" w:eastAsia="方正仿宋_GBK" w:hAnsi="Times New Roman" w:cs="Times New Roman"/>
          <w:snapToGrid w:val="0"/>
          <w:sz w:val="32"/>
          <w:szCs w:val="32"/>
        </w:rPr>
        <w:t>万元，下降</w:t>
      </w:r>
      <w:r>
        <w:rPr>
          <w:rFonts w:ascii="Times New Roman" w:eastAsia="方正仿宋_GBK" w:hAnsi="Times New Roman" w:cs="Times New Roman"/>
          <w:snapToGrid w:val="0"/>
          <w:sz w:val="32"/>
          <w:szCs w:val="32"/>
        </w:rPr>
        <w:t>3.08%</w:t>
      </w:r>
      <w:r>
        <w:rPr>
          <w:rFonts w:ascii="Times New Roman" w:eastAsia="方正仿宋_GBK" w:hAnsi="Times New Roman" w:cs="Times New Roman"/>
          <w:snapToGrid w:val="0"/>
          <w:sz w:val="32"/>
          <w:szCs w:val="32"/>
        </w:rPr>
        <w:t>，主要原因是部门召开的座谈会支出减少。本年度培训费支出</w:t>
      </w:r>
      <w:r>
        <w:rPr>
          <w:rFonts w:ascii="Times New Roman" w:eastAsia="方正仿宋_GBK" w:hAnsi="Times New Roman" w:cs="Times New Roman"/>
          <w:snapToGrid w:val="0"/>
          <w:sz w:val="32"/>
          <w:szCs w:val="32"/>
        </w:rPr>
        <w:t>2.92</w:t>
      </w:r>
      <w:r>
        <w:rPr>
          <w:rFonts w:ascii="Times New Roman" w:eastAsia="方正仿宋_GBK" w:hAnsi="Times New Roman" w:cs="Times New Roman"/>
          <w:snapToGrid w:val="0"/>
          <w:sz w:val="32"/>
          <w:szCs w:val="32"/>
        </w:rPr>
        <w:t>万元，较上年决算数减少</w:t>
      </w:r>
      <w:r>
        <w:rPr>
          <w:rFonts w:ascii="Times New Roman" w:eastAsia="方正仿宋_GBK" w:hAnsi="Times New Roman" w:cs="Times New Roman"/>
          <w:snapToGrid w:val="0"/>
          <w:sz w:val="32"/>
          <w:szCs w:val="32"/>
        </w:rPr>
        <w:t>0.36</w:t>
      </w:r>
      <w:r>
        <w:rPr>
          <w:rFonts w:ascii="Times New Roman" w:eastAsia="方正仿宋_GBK" w:hAnsi="Times New Roman" w:cs="Times New Roman"/>
          <w:snapToGrid w:val="0"/>
          <w:sz w:val="32"/>
          <w:szCs w:val="32"/>
        </w:rPr>
        <w:t>万元，下降</w:t>
      </w:r>
      <w:r>
        <w:rPr>
          <w:rFonts w:ascii="Times New Roman" w:eastAsia="方正仿宋_GBK" w:hAnsi="Times New Roman" w:cs="Times New Roman"/>
          <w:snapToGrid w:val="0"/>
          <w:sz w:val="32"/>
          <w:szCs w:val="32"/>
        </w:rPr>
        <w:t>10.98%</w:t>
      </w:r>
      <w:r>
        <w:rPr>
          <w:rFonts w:ascii="Times New Roman" w:eastAsia="方正仿宋_GBK" w:hAnsi="Times New Roman" w:cs="Times New Roman"/>
          <w:snapToGrid w:val="0"/>
          <w:sz w:val="32"/>
          <w:szCs w:val="32"/>
        </w:rPr>
        <w:t>，主要原因是今年职工外出培训学习减少。</w:t>
      </w:r>
    </w:p>
    <w:p w:rsidR="00093239" w:rsidRDefault="00093239" w:rsidP="00093239">
      <w:pPr>
        <w:pStyle w:val="a6"/>
        <w:spacing w:before="0" w:beforeAutospacing="0" w:after="0" w:afterAutospacing="0" w:line="570" w:lineRule="exact"/>
        <w:ind w:firstLineChars="200" w:firstLine="640"/>
        <w:rPr>
          <w:rFonts w:ascii="方正楷体_GBK" w:eastAsia="方正楷体_GBK" w:hAnsi="方正楷体_GBK" w:cs="方正楷体_GBK"/>
          <w:snapToGrid w:val="0"/>
          <w:sz w:val="32"/>
          <w:szCs w:val="32"/>
        </w:rPr>
      </w:pPr>
      <w:r>
        <w:rPr>
          <w:rFonts w:ascii="方正楷体_GBK" w:eastAsia="方正楷体_GBK" w:hAnsi="方正楷体_GBK" w:cs="方正楷体_GBK" w:hint="eastAsia"/>
          <w:snapToGrid w:val="0"/>
          <w:sz w:val="32"/>
          <w:szCs w:val="32"/>
        </w:rPr>
        <w:t>（二）机关运行经费情况说明。</w:t>
      </w:r>
    </w:p>
    <w:p w:rsidR="00093239" w:rsidRDefault="00093239" w:rsidP="00093239">
      <w:pPr>
        <w:pStyle w:val="a6"/>
        <w:spacing w:before="0" w:beforeAutospacing="0" w:after="0" w:afterAutospacing="0" w:line="570" w:lineRule="exact"/>
        <w:ind w:firstLineChars="200" w:firstLine="640"/>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2022</w:t>
      </w:r>
      <w:r>
        <w:rPr>
          <w:rFonts w:ascii="Times New Roman" w:eastAsia="方正仿宋_GBK" w:hAnsi="Times New Roman" w:cs="Times New Roman"/>
          <w:snapToGrid w:val="0"/>
          <w:sz w:val="32"/>
          <w:szCs w:val="32"/>
        </w:rPr>
        <w:t>年度本部门机关运行经费支出</w:t>
      </w:r>
      <w:r>
        <w:rPr>
          <w:rFonts w:ascii="Times New Roman" w:eastAsia="方正仿宋_GBK" w:hAnsi="Times New Roman" w:cs="Times New Roman"/>
          <w:snapToGrid w:val="0"/>
          <w:sz w:val="32"/>
          <w:szCs w:val="32"/>
        </w:rPr>
        <w:t>235.57</w:t>
      </w:r>
      <w:r>
        <w:rPr>
          <w:rFonts w:ascii="Times New Roman" w:eastAsia="方正仿宋_GBK" w:hAnsi="Times New Roman" w:cs="Times New Roman"/>
          <w:snapToGrid w:val="0"/>
          <w:sz w:val="32"/>
          <w:szCs w:val="32"/>
        </w:rPr>
        <w:t>万元，机关运行经费主要用于开支办公费、公务车运行维护费、信息网络费、劳务费、差旅费等。机关运行经费较上年决算数增加</w:t>
      </w:r>
      <w:r>
        <w:rPr>
          <w:rFonts w:ascii="Times New Roman" w:eastAsia="方正仿宋_GBK" w:hAnsi="Times New Roman" w:cs="Times New Roman"/>
          <w:snapToGrid w:val="0"/>
          <w:sz w:val="32"/>
          <w:szCs w:val="32"/>
        </w:rPr>
        <w:t>47.44</w:t>
      </w:r>
      <w:r>
        <w:rPr>
          <w:rFonts w:ascii="Times New Roman" w:eastAsia="方正仿宋_GBK" w:hAnsi="Times New Roman" w:cs="Times New Roman"/>
          <w:snapToGrid w:val="0"/>
          <w:sz w:val="32"/>
          <w:szCs w:val="32"/>
        </w:rPr>
        <w:t>万元，增长</w:t>
      </w:r>
      <w:r>
        <w:rPr>
          <w:rFonts w:ascii="Times New Roman" w:eastAsia="方正仿宋_GBK" w:hAnsi="Times New Roman" w:cs="Times New Roman"/>
          <w:snapToGrid w:val="0"/>
          <w:sz w:val="32"/>
          <w:szCs w:val="32"/>
        </w:rPr>
        <w:t>25.22%</w:t>
      </w:r>
      <w:r>
        <w:rPr>
          <w:rFonts w:ascii="Times New Roman" w:eastAsia="方正仿宋_GBK" w:hAnsi="Times New Roman" w:cs="Times New Roman"/>
          <w:snapToGrid w:val="0"/>
          <w:sz w:val="32"/>
          <w:szCs w:val="32"/>
        </w:rPr>
        <w:t>，主要原因是林业局</w:t>
      </w:r>
      <w:r>
        <w:rPr>
          <w:rFonts w:ascii="Times New Roman" w:eastAsia="方正仿宋_GBK" w:hAnsi="Times New Roman" w:cs="Times New Roman"/>
          <w:snapToGrid w:val="0"/>
          <w:sz w:val="32"/>
          <w:szCs w:val="32"/>
        </w:rPr>
        <w:t>(</w:t>
      </w:r>
      <w:r>
        <w:rPr>
          <w:rFonts w:ascii="Times New Roman" w:eastAsia="方正仿宋_GBK" w:hAnsi="Times New Roman" w:cs="Times New Roman"/>
          <w:snapToGrid w:val="0"/>
          <w:sz w:val="32"/>
          <w:szCs w:val="32"/>
        </w:rPr>
        <w:t>本级</w:t>
      </w:r>
      <w:r>
        <w:rPr>
          <w:rFonts w:ascii="Times New Roman" w:eastAsia="方正仿宋_GBK" w:hAnsi="Times New Roman" w:cs="Times New Roman"/>
          <w:snapToGrid w:val="0"/>
          <w:sz w:val="32"/>
          <w:szCs w:val="32"/>
        </w:rPr>
        <w:t xml:space="preserve">) </w:t>
      </w:r>
      <w:r>
        <w:rPr>
          <w:rFonts w:ascii="Times New Roman" w:eastAsia="方正仿宋_GBK" w:hAnsi="Times New Roman" w:cs="Times New Roman"/>
          <w:snapToGrid w:val="0"/>
          <w:sz w:val="32"/>
          <w:szCs w:val="32"/>
        </w:rPr>
        <w:t>人员增加，单位购置及更换办公设施设备及办公物品。</w:t>
      </w:r>
    </w:p>
    <w:p w:rsidR="00093239" w:rsidRDefault="00093239" w:rsidP="00093239">
      <w:pPr>
        <w:pStyle w:val="a6"/>
        <w:spacing w:before="0" w:beforeAutospacing="0" w:after="0" w:afterAutospacing="0" w:line="570" w:lineRule="exact"/>
        <w:ind w:firstLineChars="200" w:firstLine="640"/>
        <w:rPr>
          <w:rFonts w:ascii="方正楷体_GBK" w:eastAsia="方正楷体_GBK" w:hAnsi="方正楷体_GBK" w:cs="方正楷体_GBK"/>
          <w:snapToGrid w:val="0"/>
          <w:sz w:val="32"/>
          <w:szCs w:val="32"/>
        </w:rPr>
      </w:pPr>
      <w:r>
        <w:rPr>
          <w:rFonts w:ascii="方正楷体_GBK" w:eastAsia="方正楷体_GBK" w:hAnsi="方正楷体_GBK" w:cs="方正楷体_GBK" w:hint="eastAsia"/>
          <w:snapToGrid w:val="0"/>
          <w:sz w:val="32"/>
          <w:szCs w:val="32"/>
        </w:rPr>
        <w:t>（三）国有资产占用情况说明。</w:t>
      </w:r>
    </w:p>
    <w:p w:rsidR="00093239" w:rsidRDefault="00093239" w:rsidP="00093239">
      <w:pPr>
        <w:pStyle w:val="a6"/>
        <w:spacing w:before="0" w:beforeAutospacing="0" w:after="0" w:afterAutospacing="0" w:line="570" w:lineRule="exact"/>
        <w:ind w:firstLineChars="200" w:firstLine="640"/>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截至</w:t>
      </w:r>
      <w:r>
        <w:rPr>
          <w:rFonts w:ascii="Times New Roman" w:eastAsia="方正仿宋_GBK" w:hAnsi="Times New Roman" w:cs="Times New Roman"/>
          <w:snapToGrid w:val="0"/>
          <w:sz w:val="32"/>
          <w:szCs w:val="32"/>
        </w:rPr>
        <w:t>2022</w:t>
      </w:r>
      <w:r>
        <w:rPr>
          <w:rFonts w:ascii="Times New Roman" w:eastAsia="方正仿宋_GBK" w:hAnsi="Times New Roman" w:cs="Times New Roman"/>
          <w:snapToGrid w:val="0"/>
          <w:sz w:val="32"/>
          <w:szCs w:val="32"/>
        </w:rPr>
        <w:t>年</w:t>
      </w:r>
      <w:r>
        <w:rPr>
          <w:rFonts w:ascii="Times New Roman" w:eastAsia="方正仿宋_GBK" w:hAnsi="Times New Roman" w:cs="Times New Roman"/>
          <w:snapToGrid w:val="0"/>
          <w:sz w:val="32"/>
          <w:szCs w:val="32"/>
        </w:rPr>
        <w:t>12</w:t>
      </w:r>
      <w:r>
        <w:rPr>
          <w:rFonts w:ascii="Times New Roman" w:eastAsia="方正仿宋_GBK" w:hAnsi="Times New Roman" w:cs="Times New Roman"/>
          <w:snapToGrid w:val="0"/>
          <w:sz w:val="32"/>
          <w:szCs w:val="32"/>
        </w:rPr>
        <w:t>月</w:t>
      </w:r>
      <w:r>
        <w:rPr>
          <w:rFonts w:ascii="Times New Roman" w:eastAsia="方正仿宋_GBK" w:hAnsi="Times New Roman" w:cs="Times New Roman"/>
          <w:snapToGrid w:val="0"/>
          <w:sz w:val="32"/>
          <w:szCs w:val="32"/>
        </w:rPr>
        <w:t>31</w:t>
      </w:r>
      <w:r>
        <w:rPr>
          <w:rFonts w:ascii="Times New Roman" w:eastAsia="方正仿宋_GBK" w:hAnsi="Times New Roman" w:cs="Times New Roman"/>
          <w:snapToGrid w:val="0"/>
          <w:sz w:val="32"/>
          <w:szCs w:val="32"/>
        </w:rPr>
        <w:t>日，本部门共有车辆</w:t>
      </w:r>
      <w:r>
        <w:rPr>
          <w:rFonts w:ascii="Times New Roman" w:eastAsia="方正仿宋_GBK" w:hAnsi="Times New Roman" w:cs="Times New Roman"/>
          <w:snapToGrid w:val="0"/>
          <w:sz w:val="32"/>
          <w:szCs w:val="32"/>
        </w:rPr>
        <w:t>9</w:t>
      </w:r>
      <w:r>
        <w:rPr>
          <w:rFonts w:ascii="Times New Roman" w:eastAsia="方正仿宋_GBK" w:hAnsi="Times New Roman" w:cs="Times New Roman"/>
          <w:snapToGrid w:val="0"/>
          <w:sz w:val="32"/>
          <w:szCs w:val="32"/>
        </w:rPr>
        <w:t>辆，其中，副部（省）级及以上领导用车</w:t>
      </w:r>
      <w:r>
        <w:rPr>
          <w:rFonts w:ascii="Times New Roman" w:eastAsia="方正仿宋_GBK" w:hAnsi="Times New Roman" w:cs="Times New Roman"/>
          <w:snapToGrid w:val="0"/>
          <w:sz w:val="32"/>
          <w:szCs w:val="32"/>
        </w:rPr>
        <w:t>0</w:t>
      </w:r>
      <w:r>
        <w:rPr>
          <w:rFonts w:ascii="Times New Roman" w:eastAsia="方正仿宋_GBK" w:hAnsi="Times New Roman" w:cs="Times New Roman"/>
          <w:snapToGrid w:val="0"/>
          <w:sz w:val="32"/>
          <w:szCs w:val="32"/>
        </w:rPr>
        <w:t>辆、主要领导干部用车</w:t>
      </w:r>
      <w:r>
        <w:rPr>
          <w:rFonts w:ascii="Times New Roman" w:eastAsia="方正仿宋_GBK" w:hAnsi="Times New Roman" w:cs="Times New Roman"/>
          <w:snapToGrid w:val="0"/>
          <w:sz w:val="32"/>
          <w:szCs w:val="32"/>
        </w:rPr>
        <w:t>0</w:t>
      </w:r>
      <w:r>
        <w:rPr>
          <w:rFonts w:ascii="Times New Roman" w:eastAsia="方正仿宋_GBK" w:hAnsi="Times New Roman" w:cs="Times New Roman"/>
          <w:snapToGrid w:val="0"/>
          <w:sz w:val="32"/>
          <w:szCs w:val="32"/>
        </w:rPr>
        <w:t>辆、机要通信用车</w:t>
      </w:r>
      <w:r>
        <w:rPr>
          <w:rFonts w:ascii="Times New Roman" w:eastAsia="方正仿宋_GBK" w:hAnsi="Times New Roman" w:cs="Times New Roman"/>
          <w:snapToGrid w:val="0"/>
          <w:sz w:val="32"/>
          <w:szCs w:val="32"/>
        </w:rPr>
        <w:t>2</w:t>
      </w:r>
      <w:r>
        <w:rPr>
          <w:rFonts w:ascii="Times New Roman" w:eastAsia="方正仿宋_GBK" w:hAnsi="Times New Roman" w:cs="Times New Roman"/>
          <w:snapToGrid w:val="0"/>
          <w:sz w:val="32"/>
          <w:szCs w:val="32"/>
        </w:rPr>
        <w:t>辆、应急保障用车</w:t>
      </w:r>
      <w:r>
        <w:rPr>
          <w:rFonts w:ascii="Times New Roman" w:eastAsia="方正仿宋_GBK" w:hAnsi="Times New Roman" w:cs="Times New Roman"/>
          <w:snapToGrid w:val="0"/>
          <w:sz w:val="32"/>
          <w:szCs w:val="32"/>
        </w:rPr>
        <w:t>7</w:t>
      </w:r>
      <w:r>
        <w:rPr>
          <w:rFonts w:ascii="Times New Roman" w:eastAsia="方正仿宋_GBK" w:hAnsi="Times New Roman" w:cs="Times New Roman"/>
          <w:snapToGrid w:val="0"/>
          <w:sz w:val="32"/>
          <w:szCs w:val="32"/>
        </w:rPr>
        <w:t>辆、执法执勤用车</w:t>
      </w:r>
      <w:r>
        <w:rPr>
          <w:rFonts w:ascii="Times New Roman" w:eastAsia="方正仿宋_GBK" w:hAnsi="Times New Roman" w:cs="Times New Roman"/>
          <w:snapToGrid w:val="0"/>
          <w:sz w:val="32"/>
          <w:szCs w:val="32"/>
        </w:rPr>
        <w:t>0</w:t>
      </w:r>
      <w:r>
        <w:rPr>
          <w:rFonts w:ascii="Times New Roman" w:eastAsia="方正仿宋_GBK" w:hAnsi="Times New Roman" w:cs="Times New Roman"/>
          <w:snapToGrid w:val="0"/>
          <w:sz w:val="32"/>
          <w:szCs w:val="32"/>
        </w:rPr>
        <w:t>辆，特种专业技术用车</w:t>
      </w:r>
      <w:r>
        <w:rPr>
          <w:rFonts w:ascii="Times New Roman" w:eastAsia="方正仿宋_GBK" w:hAnsi="Times New Roman" w:cs="Times New Roman"/>
          <w:snapToGrid w:val="0"/>
          <w:sz w:val="32"/>
          <w:szCs w:val="32"/>
        </w:rPr>
        <w:t>0</w:t>
      </w:r>
      <w:r>
        <w:rPr>
          <w:rFonts w:ascii="Times New Roman" w:eastAsia="方正仿宋_GBK" w:hAnsi="Times New Roman" w:cs="Times New Roman"/>
          <w:snapToGrid w:val="0"/>
          <w:sz w:val="32"/>
          <w:szCs w:val="32"/>
        </w:rPr>
        <w:t>辆，离退休干部用车</w:t>
      </w:r>
      <w:r>
        <w:rPr>
          <w:rFonts w:ascii="Times New Roman" w:eastAsia="方正仿宋_GBK" w:hAnsi="Times New Roman" w:cs="Times New Roman"/>
          <w:snapToGrid w:val="0"/>
          <w:sz w:val="32"/>
          <w:szCs w:val="32"/>
        </w:rPr>
        <w:t>0</w:t>
      </w:r>
      <w:r>
        <w:rPr>
          <w:rFonts w:ascii="Times New Roman" w:eastAsia="方正仿宋_GBK" w:hAnsi="Times New Roman" w:cs="Times New Roman"/>
          <w:snapToGrid w:val="0"/>
          <w:sz w:val="32"/>
          <w:szCs w:val="32"/>
        </w:rPr>
        <w:t>辆，其他用车</w:t>
      </w:r>
      <w:r>
        <w:rPr>
          <w:rFonts w:ascii="Times New Roman" w:eastAsia="方正仿宋_GBK" w:hAnsi="Times New Roman" w:cs="Times New Roman"/>
          <w:snapToGrid w:val="0"/>
          <w:sz w:val="32"/>
          <w:szCs w:val="32"/>
        </w:rPr>
        <w:t>0</w:t>
      </w:r>
      <w:r>
        <w:rPr>
          <w:rFonts w:ascii="Times New Roman" w:eastAsia="方正仿宋_GBK" w:hAnsi="Times New Roman" w:cs="Times New Roman"/>
          <w:snapToGrid w:val="0"/>
          <w:sz w:val="32"/>
          <w:szCs w:val="32"/>
        </w:rPr>
        <w:t>辆。单价</w:t>
      </w:r>
      <w:r>
        <w:rPr>
          <w:rFonts w:ascii="Times New Roman" w:eastAsia="方正仿宋_GBK" w:hAnsi="Times New Roman" w:cs="Times New Roman"/>
          <w:snapToGrid w:val="0"/>
          <w:sz w:val="32"/>
          <w:szCs w:val="32"/>
        </w:rPr>
        <w:t>50</w:t>
      </w:r>
      <w:r>
        <w:rPr>
          <w:rFonts w:ascii="Times New Roman" w:eastAsia="方正仿宋_GBK" w:hAnsi="Times New Roman" w:cs="Times New Roman"/>
          <w:snapToGrid w:val="0"/>
          <w:sz w:val="32"/>
          <w:szCs w:val="32"/>
        </w:rPr>
        <w:t>万元（含）以上通用设备</w:t>
      </w:r>
      <w:r>
        <w:rPr>
          <w:rFonts w:ascii="Times New Roman" w:eastAsia="方正仿宋_GBK" w:hAnsi="Times New Roman" w:cs="Times New Roman"/>
          <w:snapToGrid w:val="0"/>
          <w:sz w:val="32"/>
          <w:szCs w:val="32"/>
        </w:rPr>
        <w:t>0</w:t>
      </w:r>
      <w:r>
        <w:rPr>
          <w:rFonts w:ascii="Times New Roman" w:eastAsia="方正仿宋_GBK" w:hAnsi="Times New Roman" w:cs="Times New Roman"/>
          <w:snapToGrid w:val="0"/>
          <w:sz w:val="32"/>
          <w:szCs w:val="32"/>
        </w:rPr>
        <w:t>台（套），单价</w:t>
      </w:r>
      <w:r>
        <w:rPr>
          <w:rFonts w:ascii="Times New Roman" w:eastAsia="方正仿宋_GBK" w:hAnsi="Times New Roman" w:cs="Times New Roman"/>
          <w:snapToGrid w:val="0"/>
          <w:sz w:val="32"/>
          <w:szCs w:val="32"/>
        </w:rPr>
        <w:t>100</w:t>
      </w:r>
      <w:r>
        <w:rPr>
          <w:rFonts w:ascii="Times New Roman" w:eastAsia="方正仿宋_GBK" w:hAnsi="Times New Roman" w:cs="Times New Roman"/>
          <w:snapToGrid w:val="0"/>
          <w:sz w:val="32"/>
          <w:szCs w:val="32"/>
        </w:rPr>
        <w:t>万元（含）以上专用设备</w:t>
      </w:r>
      <w:r>
        <w:rPr>
          <w:rFonts w:ascii="Times New Roman" w:eastAsia="方正仿宋_GBK" w:hAnsi="Times New Roman" w:cs="Times New Roman"/>
          <w:snapToGrid w:val="0"/>
          <w:sz w:val="32"/>
          <w:szCs w:val="32"/>
        </w:rPr>
        <w:t>0</w:t>
      </w:r>
      <w:r>
        <w:rPr>
          <w:rFonts w:ascii="Times New Roman" w:eastAsia="方正仿宋_GBK" w:hAnsi="Times New Roman" w:cs="Times New Roman"/>
          <w:snapToGrid w:val="0"/>
          <w:sz w:val="32"/>
          <w:szCs w:val="32"/>
        </w:rPr>
        <w:t>台（套）。</w:t>
      </w:r>
    </w:p>
    <w:p w:rsidR="00093239" w:rsidRDefault="00093239" w:rsidP="00093239">
      <w:pPr>
        <w:pStyle w:val="a6"/>
        <w:spacing w:before="0" w:beforeAutospacing="0" w:after="0" w:afterAutospacing="0" w:line="570" w:lineRule="exact"/>
        <w:ind w:firstLineChars="200" w:firstLine="640"/>
        <w:rPr>
          <w:rFonts w:ascii="方正楷体_GBK" w:eastAsia="方正楷体_GBK" w:hAnsi="方正楷体_GBK" w:cs="方正楷体_GBK"/>
          <w:snapToGrid w:val="0"/>
          <w:sz w:val="32"/>
          <w:szCs w:val="32"/>
        </w:rPr>
      </w:pPr>
      <w:r>
        <w:rPr>
          <w:rFonts w:ascii="方正楷体_GBK" w:eastAsia="方正楷体_GBK" w:hAnsi="方正楷体_GBK" w:cs="方正楷体_GBK" w:hint="eastAsia"/>
          <w:snapToGrid w:val="0"/>
          <w:sz w:val="32"/>
          <w:szCs w:val="32"/>
        </w:rPr>
        <w:t>（四）政府采购支出情况说明。</w:t>
      </w:r>
    </w:p>
    <w:p w:rsidR="00093239" w:rsidRDefault="00093239" w:rsidP="00093239">
      <w:pPr>
        <w:pStyle w:val="a6"/>
        <w:spacing w:before="0" w:beforeAutospacing="0" w:after="0" w:afterAutospacing="0" w:line="570" w:lineRule="exact"/>
        <w:ind w:firstLineChars="200" w:firstLine="640"/>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lastRenderedPageBreak/>
        <w:t>2022</w:t>
      </w:r>
      <w:r>
        <w:rPr>
          <w:rFonts w:ascii="Times New Roman" w:eastAsia="方正仿宋_GBK" w:hAnsi="Times New Roman" w:cs="Times New Roman"/>
          <w:snapToGrid w:val="0"/>
          <w:sz w:val="32"/>
          <w:szCs w:val="32"/>
        </w:rPr>
        <w:t>年度本部门政府采购支出总额</w:t>
      </w:r>
      <w:r>
        <w:rPr>
          <w:rFonts w:ascii="Times New Roman" w:eastAsia="方正仿宋_GBK" w:hAnsi="Times New Roman" w:cs="Times New Roman"/>
          <w:snapToGrid w:val="0"/>
          <w:sz w:val="32"/>
          <w:szCs w:val="32"/>
        </w:rPr>
        <w:t>2282.72</w:t>
      </w:r>
      <w:r>
        <w:rPr>
          <w:rFonts w:ascii="Times New Roman" w:eastAsia="方正仿宋_GBK" w:hAnsi="Times New Roman" w:cs="Times New Roman"/>
          <w:snapToGrid w:val="0"/>
          <w:sz w:val="32"/>
          <w:szCs w:val="32"/>
        </w:rPr>
        <w:t>万元，其中：政府采购货物支出</w:t>
      </w:r>
      <w:r>
        <w:rPr>
          <w:rFonts w:ascii="Times New Roman" w:eastAsia="方正仿宋_GBK" w:hAnsi="Times New Roman" w:cs="Times New Roman"/>
          <w:snapToGrid w:val="0"/>
          <w:sz w:val="32"/>
          <w:szCs w:val="32"/>
        </w:rPr>
        <w:t>0.00</w:t>
      </w:r>
      <w:r>
        <w:rPr>
          <w:rFonts w:ascii="Times New Roman" w:eastAsia="方正仿宋_GBK" w:hAnsi="Times New Roman" w:cs="Times New Roman"/>
          <w:snapToGrid w:val="0"/>
          <w:sz w:val="32"/>
          <w:szCs w:val="32"/>
        </w:rPr>
        <w:t>万元、政府采购工程支出</w:t>
      </w:r>
      <w:r>
        <w:rPr>
          <w:rFonts w:ascii="Times New Roman" w:eastAsia="方正仿宋_GBK" w:hAnsi="Times New Roman" w:cs="Times New Roman"/>
          <w:snapToGrid w:val="0"/>
          <w:sz w:val="32"/>
          <w:szCs w:val="32"/>
        </w:rPr>
        <w:t>0.00</w:t>
      </w:r>
      <w:r>
        <w:rPr>
          <w:rFonts w:ascii="Times New Roman" w:eastAsia="方正仿宋_GBK" w:hAnsi="Times New Roman" w:cs="Times New Roman"/>
          <w:snapToGrid w:val="0"/>
          <w:sz w:val="32"/>
          <w:szCs w:val="32"/>
        </w:rPr>
        <w:t>万元、政府采购服务支出</w:t>
      </w:r>
      <w:r>
        <w:rPr>
          <w:rFonts w:ascii="Times New Roman" w:eastAsia="方正仿宋_GBK" w:hAnsi="Times New Roman" w:cs="Times New Roman"/>
          <w:snapToGrid w:val="0"/>
          <w:sz w:val="32"/>
          <w:szCs w:val="32"/>
        </w:rPr>
        <w:t>2282.72</w:t>
      </w:r>
      <w:r>
        <w:rPr>
          <w:rFonts w:ascii="Times New Roman" w:eastAsia="方正仿宋_GBK" w:hAnsi="Times New Roman" w:cs="Times New Roman"/>
          <w:snapToGrid w:val="0"/>
          <w:sz w:val="32"/>
          <w:szCs w:val="32"/>
        </w:rPr>
        <w:t>万元。授予中小企业合同金额</w:t>
      </w:r>
      <w:r>
        <w:rPr>
          <w:rFonts w:ascii="Times New Roman" w:eastAsia="方正仿宋_GBK" w:hAnsi="Times New Roman" w:cs="Times New Roman"/>
          <w:snapToGrid w:val="0"/>
          <w:sz w:val="32"/>
          <w:szCs w:val="32"/>
        </w:rPr>
        <w:t>125.26</w:t>
      </w:r>
      <w:r>
        <w:rPr>
          <w:rFonts w:ascii="Times New Roman" w:eastAsia="方正仿宋_GBK" w:hAnsi="Times New Roman" w:cs="Times New Roman"/>
          <w:snapToGrid w:val="0"/>
          <w:sz w:val="32"/>
          <w:szCs w:val="32"/>
        </w:rPr>
        <w:t>万元，占政府采购支出总额的</w:t>
      </w:r>
      <w:r>
        <w:rPr>
          <w:rFonts w:ascii="Times New Roman" w:eastAsia="方正仿宋_GBK" w:hAnsi="Times New Roman" w:cs="Times New Roman"/>
          <w:snapToGrid w:val="0"/>
          <w:sz w:val="32"/>
          <w:szCs w:val="32"/>
        </w:rPr>
        <w:t>5.49%</w:t>
      </w:r>
      <w:r>
        <w:rPr>
          <w:rFonts w:ascii="Times New Roman" w:eastAsia="方正仿宋_GBK" w:hAnsi="Times New Roman" w:cs="Times New Roman"/>
          <w:snapToGrid w:val="0"/>
          <w:sz w:val="32"/>
          <w:szCs w:val="32"/>
        </w:rPr>
        <w:t>，其中：授予小微企业合同金额</w:t>
      </w:r>
      <w:r>
        <w:rPr>
          <w:rFonts w:ascii="Times New Roman" w:eastAsia="方正仿宋_GBK" w:hAnsi="Times New Roman" w:cs="Times New Roman"/>
          <w:snapToGrid w:val="0"/>
          <w:sz w:val="32"/>
          <w:szCs w:val="32"/>
        </w:rPr>
        <w:t>125.26</w:t>
      </w:r>
      <w:r>
        <w:rPr>
          <w:rFonts w:ascii="Times New Roman" w:eastAsia="方正仿宋_GBK" w:hAnsi="Times New Roman" w:cs="Times New Roman"/>
          <w:snapToGrid w:val="0"/>
          <w:sz w:val="32"/>
          <w:szCs w:val="32"/>
        </w:rPr>
        <w:t>万元，占政府采购支出总额的</w:t>
      </w:r>
      <w:r>
        <w:rPr>
          <w:rFonts w:ascii="Times New Roman" w:eastAsia="方正仿宋_GBK" w:hAnsi="Times New Roman" w:cs="Times New Roman"/>
          <w:snapToGrid w:val="0"/>
          <w:sz w:val="32"/>
          <w:szCs w:val="32"/>
        </w:rPr>
        <w:t>5.49%</w:t>
      </w:r>
      <w:r>
        <w:rPr>
          <w:rFonts w:ascii="Times New Roman" w:eastAsia="方正仿宋_GBK" w:hAnsi="Times New Roman" w:cs="Times New Roman"/>
          <w:snapToGrid w:val="0"/>
          <w:sz w:val="32"/>
          <w:szCs w:val="32"/>
        </w:rPr>
        <w:t>。主要用于采购森林保险、森林资源调查及其他林业项目咨询服务等支出。</w:t>
      </w:r>
    </w:p>
    <w:p w:rsidR="00093239" w:rsidRDefault="00093239" w:rsidP="00093239">
      <w:pPr>
        <w:pStyle w:val="a6"/>
        <w:spacing w:before="0" w:beforeAutospacing="0" w:after="0" w:afterAutospacing="0" w:line="570" w:lineRule="exact"/>
        <w:ind w:firstLineChars="200" w:firstLine="640"/>
        <w:rPr>
          <w:rFonts w:ascii="方正黑体_GBK" w:eastAsia="方正黑体_GBK" w:hAnsi="方正黑体_GBK" w:cs="方正黑体_GBK"/>
          <w:snapToGrid w:val="0"/>
          <w:sz w:val="32"/>
          <w:szCs w:val="32"/>
        </w:rPr>
      </w:pPr>
      <w:r>
        <w:rPr>
          <w:rFonts w:ascii="方正黑体_GBK" w:eastAsia="方正黑体_GBK" w:hAnsi="方正黑体_GBK" w:cs="方正黑体_GBK" w:hint="eastAsia"/>
          <w:snapToGrid w:val="0"/>
          <w:sz w:val="32"/>
          <w:szCs w:val="32"/>
        </w:rPr>
        <w:t>五、预算绩效管理情况说明</w:t>
      </w:r>
    </w:p>
    <w:p w:rsidR="00093239" w:rsidRDefault="00093239" w:rsidP="00093239">
      <w:pPr>
        <w:pStyle w:val="a6"/>
        <w:spacing w:before="0" w:beforeAutospacing="0" w:after="0" w:afterAutospacing="0" w:line="570" w:lineRule="exact"/>
        <w:ind w:firstLineChars="200" w:firstLine="640"/>
        <w:rPr>
          <w:rFonts w:ascii="方正楷体_GBK" w:eastAsia="方正楷体_GBK" w:hAnsi="方正楷体_GBK" w:cs="方正楷体_GBK"/>
          <w:snapToGrid w:val="0"/>
          <w:sz w:val="32"/>
          <w:szCs w:val="32"/>
        </w:rPr>
      </w:pPr>
      <w:r>
        <w:rPr>
          <w:rFonts w:ascii="方正楷体_GBK" w:eastAsia="方正楷体_GBK" w:hAnsi="方正楷体_GBK" w:cs="方正楷体_GBK" w:hint="eastAsia"/>
          <w:snapToGrid w:val="0"/>
          <w:sz w:val="32"/>
          <w:szCs w:val="32"/>
        </w:rPr>
        <w:t>（一）预算绩效管理工作开展情况</w:t>
      </w:r>
    </w:p>
    <w:p w:rsidR="00093239" w:rsidRDefault="00093239" w:rsidP="00093239">
      <w:pPr>
        <w:pStyle w:val="a6"/>
        <w:spacing w:before="0" w:beforeAutospacing="0" w:after="0" w:afterAutospacing="0" w:line="570" w:lineRule="exact"/>
        <w:ind w:firstLineChars="200" w:firstLine="640"/>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根据预算绩效管理要求，本部门对</w:t>
      </w:r>
      <w:r>
        <w:rPr>
          <w:rFonts w:ascii="Times New Roman" w:eastAsia="方正仿宋_GBK" w:hAnsi="Times New Roman" w:cs="Times New Roman"/>
          <w:snapToGrid w:val="0"/>
          <w:sz w:val="32"/>
          <w:szCs w:val="32"/>
        </w:rPr>
        <w:t>57</w:t>
      </w:r>
      <w:r>
        <w:rPr>
          <w:rFonts w:ascii="Times New Roman" w:eastAsia="方正仿宋_GBK" w:hAnsi="Times New Roman" w:cs="Times New Roman"/>
          <w:snapToGrid w:val="0"/>
          <w:sz w:val="32"/>
          <w:szCs w:val="32"/>
        </w:rPr>
        <w:t>个项目开展了绩效自评，其中，以填报目标自评表形式开展自评</w:t>
      </w:r>
      <w:r>
        <w:rPr>
          <w:rFonts w:ascii="Times New Roman" w:eastAsia="方正仿宋_GBK" w:hAnsi="Times New Roman" w:cs="Times New Roman"/>
          <w:snapToGrid w:val="0"/>
          <w:sz w:val="32"/>
          <w:szCs w:val="32"/>
        </w:rPr>
        <w:t>57</w:t>
      </w:r>
      <w:r>
        <w:rPr>
          <w:rFonts w:ascii="Times New Roman" w:eastAsia="方正仿宋_GBK" w:hAnsi="Times New Roman" w:cs="Times New Roman"/>
          <w:snapToGrid w:val="0"/>
          <w:sz w:val="32"/>
          <w:szCs w:val="32"/>
        </w:rPr>
        <w:t>项，涉及资金</w:t>
      </w:r>
      <w:r>
        <w:rPr>
          <w:rFonts w:ascii="Times New Roman" w:eastAsia="方正仿宋_GBK" w:hAnsi="Times New Roman" w:cs="Times New Roman"/>
          <w:snapToGrid w:val="0"/>
          <w:sz w:val="32"/>
          <w:szCs w:val="32"/>
        </w:rPr>
        <w:t>12109.73</w:t>
      </w:r>
      <w:r>
        <w:rPr>
          <w:rFonts w:ascii="Times New Roman" w:eastAsia="方正仿宋_GBK" w:hAnsi="Times New Roman" w:cs="Times New Roman"/>
          <w:snapToGrid w:val="0"/>
          <w:sz w:val="32"/>
          <w:szCs w:val="32"/>
        </w:rPr>
        <w:t>万元，从评价情况来看：项目立项较为规范，绩效目标明确，预算编制合理，管理科学规范，资金到位及时，总体完成情况较好，项目基本达到了预期绩效目标。</w:t>
      </w:r>
    </w:p>
    <w:p w:rsidR="00093239" w:rsidRDefault="00093239" w:rsidP="00093239">
      <w:pPr>
        <w:pStyle w:val="a6"/>
        <w:spacing w:before="0" w:beforeAutospacing="0" w:after="0" w:afterAutospacing="0" w:line="570" w:lineRule="exact"/>
        <w:ind w:firstLineChars="200" w:firstLine="640"/>
        <w:rPr>
          <w:rFonts w:ascii="方正楷体_GBK" w:eastAsia="方正楷体_GBK" w:hAnsi="方正楷体_GBK" w:cs="方正楷体_GBK"/>
          <w:snapToGrid w:val="0"/>
          <w:sz w:val="32"/>
          <w:szCs w:val="32"/>
        </w:rPr>
      </w:pPr>
      <w:r>
        <w:rPr>
          <w:rFonts w:ascii="方正楷体_GBK" w:eastAsia="方正楷体_GBK" w:hAnsi="方正楷体_GBK" w:cs="方正楷体_GBK" w:hint="eastAsia"/>
          <w:snapToGrid w:val="0"/>
          <w:sz w:val="32"/>
          <w:szCs w:val="32"/>
        </w:rPr>
        <w:t>（二）绩效自评结果</w:t>
      </w:r>
    </w:p>
    <w:p w:rsidR="00093239" w:rsidRDefault="00093239" w:rsidP="00093239">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1</w:t>
      </w:r>
      <w:r>
        <w:rPr>
          <w:rFonts w:ascii="Times New Roman" w:eastAsia="方正仿宋_GBK" w:hAnsi="Times New Roman" w:hint="eastAsia"/>
          <w:sz w:val="32"/>
          <w:szCs w:val="32"/>
        </w:rPr>
        <w:t>．</w:t>
      </w:r>
      <w:r>
        <w:rPr>
          <w:rFonts w:ascii="Times New Roman" w:eastAsia="方正仿宋_GBK" w:hAnsi="Times New Roman"/>
          <w:sz w:val="32"/>
          <w:szCs w:val="32"/>
        </w:rPr>
        <w:t>绩效自评表</w:t>
      </w:r>
      <w:r>
        <w:rPr>
          <w:rFonts w:ascii="Times New Roman" w:eastAsia="方正仿宋_GBK" w:hAnsi="Times New Roman" w:hint="eastAsia"/>
          <w:sz w:val="32"/>
          <w:szCs w:val="32"/>
        </w:rPr>
        <w:t xml:space="preserve"> </w:t>
      </w:r>
      <w:r>
        <w:rPr>
          <w:rFonts w:ascii="Times New Roman" w:eastAsia="方正仿宋_GBK" w:hAnsi="Times New Roman"/>
          <w:sz w:val="32"/>
          <w:szCs w:val="32"/>
        </w:rPr>
        <w:t xml:space="preserve"> </w:t>
      </w:r>
    </w:p>
    <w:tbl>
      <w:tblPr>
        <w:tblW w:w="0" w:type="auto"/>
        <w:jc w:val="center"/>
        <w:tblLayout w:type="fixed"/>
        <w:tblLook w:val="0000"/>
      </w:tblPr>
      <w:tblGrid>
        <w:gridCol w:w="1277"/>
        <w:gridCol w:w="567"/>
        <w:gridCol w:w="850"/>
        <w:gridCol w:w="992"/>
        <w:gridCol w:w="1110"/>
        <w:gridCol w:w="618"/>
        <w:gridCol w:w="1043"/>
        <w:gridCol w:w="709"/>
        <w:gridCol w:w="799"/>
        <w:gridCol w:w="992"/>
        <w:gridCol w:w="902"/>
        <w:gridCol w:w="992"/>
      </w:tblGrid>
      <w:tr w:rsidR="00093239" w:rsidTr="007B0C3B">
        <w:trPr>
          <w:trHeight w:val="584"/>
          <w:jc w:val="center"/>
        </w:trPr>
        <w:tc>
          <w:tcPr>
            <w:tcW w:w="10851" w:type="dxa"/>
            <w:gridSpan w:val="12"/>
            <w:tcBorders>
              <w:top w:val="single" w:sz="4" w:space="0" w:color="auto"/>
              <w:left w:val="single" w:sz="4" w:space="0" w:color="auto"/>
              <w:bottom w:val="single" w:sz="4" w:space="0" w:color="auto"/>
              <w:right w:val="single" w:sz="4" w:space="0" w:color="auto"/>
            </w:tcBorders>
            <w:vAlign w:val="center"/>
          </w:tcPr>
          <w:p w:rsidR="00093239" w:rsidRDefault="00093239" w:rsidP="007B0C3B">
            <w:pPr>
              <w:widowControl/>
              <w:jc w:val="center"/>
              <w:rPr>
                <w:rFonts w:ascii="微软雅黑" w:eastAsia="微软雅黑" w:hAnsi="微软雅黑" w:cs="宋体"/>
                <w:b/>
                <w:bCs/>
                <w:color w:val="000000"/>
                <w:kern w:val="0"/>
                <w:sz w:val="36"/>
                <w:szCs w:val="40"/>
              </w:rPr>
            </w:pPr>
            <w:r>
              <w:rPr>
                <w:rFonts w:ascii="微软雅黑" w:eastAsia="微软雅黑" w:hAnsi="微软雅黑" w:cs="宋体" w:hint="eastAsia"/>
                <w:b/>
                <w:bCs/>
                <w:color w:val="000000"/>
                <w:kern w:val="0"/>
                <w:sz w:val="32"/>
                <w:szCs w:val="40"/>
              </w:rPr>
              <w:t>丰都县林业局部门整体绩效</w:t>
            </w:r>
          </w:p>
        </w:tc>
      </w:tr>
      <w:tr w:rsidR="00093239" w:rsidTr="007B0C3B">
        <w:trPr>
          <w:trHeight w:val="499"/>
          <w:jc w:val="center"/>
        </w:trPr>
        <w:tc>
          <w:tcPr>
            <w:tcW w:w="1277" w:type="dxa"/>
            <w:tcBorders>
              <w:top w:val="nil"/>
              <w:left w:val="single" w:sz="4" w:space="0" w:color="auto"/>
              <w:bottom w:val="single" w:sz="4" w:space="0" w:color="auto"/>
              <w:right w:val="single" w:sz="4" w:space="0" w:color="auto"/>
            </w:tcBorders>
            <w:vAlign w:val="center"/>
          </w:tcPr>
          <w:p w:rsidR="00093239" w:rsidRDefault="00093239" w:rsidP="007B0C3B">
            <w:pPr>
              <w:widowControl/>
              <w:spacing w:line="240" w:lineRule="atLeast"/>
              <w:jc w:val="center"/>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1417" w:type="dxa"/>
            <w:gridSpan w:val="2"/>
            <w:tcBorders>
              <w:top w:val="nil"/>
              <w:left w:val="nil"/>
              <w:bottom w:val="single" w:sz="4" w:space="0" w:color="auto"/>
              <w:right w:val="single" w:sz="4" w:space="0" w:color="auto"/>
            </w:tcBorders>
            <w:vAlign w:val="center"/>
          </w:tcPr>
          <w:p w:rsidR="00093239" w:rsidRDefault="00093239" w:rsidP="007B0C3B">
            <w:pPr>
              <w:widowControl/>
              <w:spacing w:line="240" w:lineRule="atLeast"/>
              <w:ind w:firstLineChars="100" w:firstLine="160"/>
              <w:jc w:val="left"/>
              <w:rPr>
                <w:rFonts w:ascii="宋体" w:hAnsi="宋体" w:cs="宋体"/>
                <w:color w:val="000000"/>
                <w:kern w:val="0"/>
                <w:sz w:val="16"/>
                <w:szCs w:val="16"/>
              </w:rPr>
            </w:pPr>
            <w:r>
              <w:rPr>
                <w:rFonts w:ascii="宋体" w:hAnsi="宋体" w:cs="宋体" w:hint="eastAsia"/>
                <w:color w:val="000000"/>
                <w:kern w:val="0"/>
                <w:sz w:val="16"/>
                <w:szCs w:val="16"/>
              </w:rPr>
              <w:t xml:space="preserve">丰都县林业局整体自评　</w:t>
            </w:r>
          </w:p>
        </w:tc>
        <w:tc>
          <w:tcPr>
            <w:tcW w:w="992" w:type="dxa"/>
            <w:tcBorders>
              <w:top w:val="nil"/>
              <w:left w:val="nil"/>
              <w:bottom w:val="single" w:sz="4" w:space="0" w:color="auto"/>
              <w:right w:val="single" w:sz="4" w:space="0" w:color="auto"/>
            </w:tcBorders>
            <w:vAlign w:val="center"/>
          </w:tcPr>
          <w:p w:rsidR="00093239" w:rsidRDefault="00093239" w:rsidP="007B0C3B">
            <w:pPr>
              <w:widowControl/>
              <w:spacing w:line="240" w:lineRule="atLeast"/>
              <w:jc w:val="center"/>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1728" w:type="dxa"/>
            <w:gridSpan w:val="2"/>
            <w:tcBorders>
              <w:top w:val="nil"/>
              <w:left w:val="nil"/>
              <w:bottom w:val="single" w:sz="4" w:space="0" w:color="auto"/>
              <w:right w:val="single" w:sz="4" w:space="0" w:color="auto"/>
            </w:tcBorders>
            <w:vAlign w:val="center"/>
          </w:tcPr>
          <w:p w:rsidR="00093239" w:rsidRDefault="00093239" w:rsidP="007B0C3B">
            <w:pPr>
              <w:widowControl/>
              <w:spacing w:line="240" w:lineRule="atLeast"/>
              <w:ind w:firstLineChars="100" w:firstLine="160"/>
              <w:jc w:val="left"/>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color w:val="000000"/>
                <w:kern w:val="0"/>
                <w:sz w:val="16"/>
                <w:szCs w:val="16"/>
              </w:rPr>
              <w:t>50023000022P000037</w:t>
            </w:r>
          </w:p>
        </w:tc>
        <w:tc>
          <w:tcPr>
            <w:tcW w:w="1043" w:type="dxa"/>
            <w:tcBorders>
              <w:top w:val="nil"/>
              <w:left w:val="nil"/>
              <w:bottom w:val="single" w:sz="4" w:space="0" w:color="auto"/>
              <w:right w:val="single" w:sz="4" w:space="0" w:color="auto"/>
            </w:tcBorders>
            <w:vAlign w:val="center"/>
          </w:tcPr>
          <w:p w:rsidR="00093239" w:rsidRDefault="00093239" w:rsidP="007B0C3B">
            <w:pPr>
              <w:widowControl/>
              <w:spacing w:line="240" w:lineRule="atLeast"/>
              <w:jc w:val="center"/>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1508" w:type="dxa"/>
            <w:gridSpan w:val="2"/>
            <w:tcBorders>
              <w:top w:val="nil"/>
              <w:left w:val="nil"/>
              <w:bottom w:val="single" w:sz="4" w:space="0" w:color="auto"/>
              <w:right w:val="single" w:sz="4" w:space="0" w:color="auto"/>
            </w:tcBorders>
            <w:vAlign w:val="center"/>
          </w:tcPr>
          <w:p w:rsidR="00093239" w:rsidRDefault="00093239" w:rsidP="007B0C3B">
            <w:pPr>
              <w:widowControl/>
              <w:spacing w:line="240" w:lineRule="atLeast"/>
              <w:ind w:firstLineChars="100" w:firstLine="160"/>
              <w:jc w:val="left"/>
              <w:rPr>
                <w:rFonts w:ascii="宋体" w:hAnsi="宋体" w:cs="宋体"/>
                <w:color w:val="000000"/>
                <w:kern w:val="0"/>
                <w:sz w:val="16"/>
                <w:szCs w:val="16"/>
              </w:rPr>
            </w:pPr>
            <w:r>
              <w:rPr>
                <w:rFonts w:ascii="宋体" w:hAnsi="宋体" w:cs="宋体" w:hint="eastAsia"/>
                <w:color w:val="000000"/>
                <w:kern w:val="0"/>
                <w:sz w:val="16"/>
                <w:szCs w:val="16"/>
              </w:rPr>
              <w:t xml:space="preserve">　96.7</w:t>
            </w:r>
          </w:p>
        </w:tc>
        <w:tc>
          <w:tcPr>
            <w:tcW w:w="992" w:type="dxa"/>
            <w:tcBorders>
              <w:top w:val="nil"/>
              <w:left w:val="nil"/>
              <w:bottom w:val="single" w:sz="4" w:space="0" w:color="auto"/>
              <w:right w:val="single" w:sz="4" w:space="0" w:color="auto"/>
            </w:tcBorders>
            <w:vAlign w:val="center"/>
          </w:tcPr>
          <w:p w:rsidR="00093239" w:rsidRDefault="00093239" w:rsidP="007B0C3B">
            <w:pPr>
              <w:widowControl/>
              <w:spacing w:line="240" w:lineRule="atLeast"/>
              <w:jc w:val="center"/>
              <w:rPr>
                <w:rFonts w:ascii="宋体" w:hAnsi="宋体" w:cs="宋体"/>
                <w:b/>
                <w:bCs/>
                <w:color w:val="000000"/>
                <w:kern w:val="0"/>
                <w:sz w:val="16"/>
                <w:szCs w:val="16"/>
              </w:rPr>
            </w:pPr>
          </w:p>
        </w:tc>
        <w:tc>
          <w:tcPr>
            <w:tcW w:w="1894" w:type="dxa"/>
            <w:gridSpan w:val="2"/>
            <w:tcBorders>
              <w:top w:val="nil"/>
              <w:left w:val="nil"/>
              <w:bottom w:val="single" w:sz="4" w:space="0" w:color="auto"/>
              <w:right w:val="single" w:sz="4" w:space="0" w:color="auto"/>
            </w:tcBorders>
            <w:vAlign w:val="center"/>
          </w:tcPr>
          <w:p w:rsidR="00093239" w:rsidRDefault="00093239" w:rsidP="007B0C3B">
            <w:pPr>
              <w:widowControl/>
              <w:spacing w:line="240" w:lineRule="atLeast"/>
              <w:ind w:firstLineChars="100" w:firstLine="160"/>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93239" w:rsidTr="007B0C3B">
        <w:trPr>
          <w:trHeight w:val="499"/>
          <w:jc w:val="center"/>
        </w:trPr>
        <w:tc>
          <w:tcPr>
            <w:tcW w:w="1277" w:type="dxa"/>
            <w:tcBorders>
              <w:top w:val="nil"/>
              <w:left w:val="single" w:sz="4" w:space="0" w:color="auto"/>
              <w:bottom w:val="single" w:sz="4" w:space="0" w:color="auto"/>
              <w:right w:val="single" w:sz="4" w:space="0" w:color="auto"/>
            </w:tcBorders>
            <w:vAlign w:val="center"/>
          </w:tcPr>
          <w:p w:rsidR="00093239" w:rsidRDefault="00093239" w:rsidP="007B0C3B">
            <w:pPr>
              <w:widowControl/>
              <w:spacing w:line="240" w:lineRule="atLeast"/>
              <w:jc w:val="center"/>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1417" w:type="dxa"/>
            <w:gridSpan w:val="2"/>
            <w:tcBorders>
              <w:top w:val="single" w:sz="4" w:space="0" w:color="auto"/>
              <w:left w:val="nil"/>
              <w:bottom w:val="single" w:sz="4" w:space="0" w:color="auto"/>
              <w:right w:val="single" w:sz="4" w:space="0" w:color="auto"/>
            </w:tcBorders>
            <w:vAlign w:val="center"/>
          </w:tcPr>
          <w:p w:rsidR="00093239" w:rsidRDefault="00093239" w:rsidP="007B0C3B">
            <w:pPr>
              <w:widowControl/>
              <w:spacing w:line="240" w:lineRule="atLeast"/>
              <w:ind w:firstLineChars="100" w:firstLine="160"/>
              <w:jc w:val="left"/>
              <w:rPr>
                <w:rFonts w:ascii="宋体" w:hAnsi="宋体" w:cs="宋体"/>
                <w:color w:val="000000"/>
                <w:kern w:val="0"/>
                <w:sz w:val="16"/>
                <w:szCs w:val="16"/>
              </w:rPr>
            </w:pPr>
            <w:r>
              <w:rPr>
                <w:rFonts w:ascii="宋体" w:hAnsi="宋体" w:cs="宋体" w:hint="eastAsia"/>
                <w:color w:val="000000"/>
                <w:kern w:val="0"/>
                <w:sz w:val="16"/>
                <w:szCs w:val="16"/>
              </w:rPr>
              <w:t xml:space="preserve">　304-丰都县林业局</w:t>
            </w:r>
          </w:p>
        </w:tc>
        <w:tc>
          <w:tcPr>
            <w:tcW w:w="992" w:type="dxa"/>
            <w:tcBorders>
              <w:top w:val="nil"/>
              <w:left w:val="nil"/>
              <w:bottom w:val="single" w:sz="4" w:space="0" w:color="auto"/>
              <w:right w:val="single" w:sz="4" w:space="0" w:color="auto"/>
            </w:tcBorders>
            <w:vAlign w:val="center"/>
          </w:tcPr>
          <w:p w:rsidR="00093239" w:rsidRDefault="00093239" w:rsidP="007B0C3B">
            <w:pPr>
              <w:widowControl/>
              <w:spacing w:line="240" w:lineRule="atLeast"/>
              <w:jc w:val="center"/>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1728" w:type="dxa"/>
            <w:gridSpan w:val="2"/>
            <w:tcBorders>
              <w:top w:val="single" w:sz="4" w:space="0" w:color="auto"/>
              <w:left w:val="nil"/>
              <w:bottom w:val="single" w:sz="4" w:space="0" w:color="auto"/>
              <w:right w:val="single" w:sz="4" w:space="0" w:color="auto"/>
            </w:tcBorders>
            <w:vAlign w:val="center"/>
          </w:tcPr>
          <w:p w:rsidR="00093239" w:rsidRDefault="00093239" w:rsidP="007B0C3B">
            <w:pPr>
              <w:widowControl/>
              <w:spacing w:line="240" w:lineRule="atLeast"/>
              <w:ind w:firstLineChars="100" w:firstLine="160"/>
              <w:jc w:val="left"/>
              <w:rPr>
                <w:rFonts w:ascii="宋体" w:hAnsi="宋体" w:cs="宋体"/>
                <w:color w:val="000000"/>
                <w:kern w:val="0"/>
                <w:sz w:val="16"/>
                <w:szCs w:val="16"/>
              </w:rPr>
            </w:pPr>
            <w:r>
              <w:rPr>
                <w:rFonts w:ascii="宋体" w:hAnsi="宋体" w:cs="宋体" w:hint="eastAsia"/>
                <w:color w:val="000000"/>
                <w:kern w:val="0"/>
                <w:sz w:val="16"/>
                <w:szCs w:val="16"/>
              </w:rPr>
              <w:t xml:space="preserve">　006-经建科</w:t>
            </w:r>
          </w:p>
        </w:tc>
        <w:tc>
          <w:tcPr>
            <w:tcW w:w="1043" w:type="dxa"/>
            <w:tcBorders>
              <w:top w:val="nil"/>
              <w:left w:val="nil"/>
              <w:bottom w:val="single" w:sz="4" w:space="0" w:color="auto"/>
              <w:right w:val="single" w:sz="4" w:space="0" w:color="auto"/>
            </w:tcBorders>
            <w:vAlign w:val="center"/>
          </w:tcPr>
          <w:p w:rsidR="00093239" w:rsidRDefault="00093239" w:rsidP="007B0C3B">
            <w:pPr>
              <w:widowControl/>
              <w:spacing w:line="240" w:lineRule="atLeast"/>
              <w:ind w:right="483"/>
              <w:jc w:val="center"/>
              <w:rPr>
                <w:rFonts w:ascii="宋体" w:hAnsi="宋体" w:cs="宋体"/>
                <w:b/>
                <w:bCs/>
                <w:color w:val="000000"/>
                <w:kern w:val="0"/>
                <w:sz w:val="16"/>
                <w:szCs w:val="16"/>
              </w:rPr>
            </w:pPr>
            <w:r>
              <w:rPr>
                <w:rFonts w:ascii="宋体" w:hAnsi="宋体" w:cs="宋体" w:hint="eastAsia"/>
                <w:b/>
                <w:bCs/>
                <w:color w:val="000000"/>
                <w:kern w:val="0"/>
                <w:sz w:val="16"/>
                <w:szCs w:val="16"/>
              </w:rPr>
              <w:t>部门</w:t>
            </w:r>
          </w:p>
          <w:p w:rsidR="00093239" w:rsidRDefault="00093239" w:rsidP="007B0C3B">
            <w:pPr>
              <w:widowControl/>
              <w:spacing w:line="240" w:lineRule="atLeast"/>
              <w:ind w:right="161"/>
              <w:jc w:val="center"/>
              <w:rPr>
                <w:rFonts w:ascii="宋体" w:hAnsi="宋体" w:cs="宋体"/>
                <w:b/>
                <w:bCs/>
                <w:color w:val="000000"/>
                <w:kern w:val="0"/>
                <w:sz w:val="16"/>
                <w:szCs w:val="16"/>
              </w:rPr>
            </w:pPr>
            <w:r>
              <w:rPr>
                <w:rFonts w:ascii="宋体" w:hAnsi="宋体" w:cs="宋体" w:hint="eastAsia"/>
                <w:b/>
                <w:bCs/>
                <w:color w:val="000000"/>
                <w:kern w:val="0"/>
                <w:sz w:val="16"/>
                <w:szCs w:val="16"/>
              </w:rPr>
              <w:t>联系人：</w:t>
            </w:r>
          </w:p>
        </w:tc>
        <w:tc>
          <w:tcPr>
            <w:tcW w:w="1508" w:type="dxa"/>
            <w:gridSpan w:val="2"/>
            <w:tcBorders>
              <w:top w:val="single" w:sz="4" w:space="0" w:color="auto"/>
              <w:left w:val="nil"/>
              <w:bottom w:val="single" w:sz="4" w:space="0" w:color="auto"/>
              <w:right w:val="single" w:sz="4" w:space="0" w:color="auto"/>
            </w:tcBorders>
            <w:vAlign w:val="center"/>
          </w:tcPr>
          <w:p w:rsidR="00093239" w:rsidRDefault="00093239" w:rsidP="007B0C3B">
            <w:pPr>
              <w:widowControl/>
              <w:spacing w:line="240" w:lineRule="atLeast"/>
              <w:ind w:firstLineChars="100" w:firstLine="160"/>
              <w:jc w:val="left"/>
              <w:rPr>
                <w:rFonts w:ascii="宋体" w:hAnsi="宋体" w:cs="宋体"/>
                <w:color w:val="000000"/>
                <w:kern w:val="0"/>
                <w:sz w:val="16"/>
                <w:szCs w:val="16"/>
              </w:rPr>
            </w:pPr>
            <w:r>
              <w:rPr>
                <w:rFonts w:ascii="宋体" w:hAnsi="宋体" w:cs="宋体" w:hint="eastAsia"/>
                <w:color w:val="000000"/>
                <w:kern w:val="0"/>
                <w:sz w:val="16"/>
                <w:szCs w:val="16"/>
              </w:rPr>
              <w:t xml:space="preserve">　张燕</w:t>
            </w:r>
          </w:p>
        </w:tc>
        <w:tc>
          <w:tcPr>
            <w:tcW w:w="992" w:type="dxa"/>
            <w:tcBorders>
              <w:top w:val="nil"/>
              <w:left w:val="nil"/>
              <w:bottom w:val="single" w:sz="4" w:space="0" w:color="auto"/>
              <w:right w:val="single" w:sz="4" w:space="0" w:color="auto"/>
            </w:tcBorders>
            <w:vAlign w:val="center"/>
          </w:tcPr>
          <w:p w:rsidR="00093239" w:rsidRDefault="00093239" w:rsidP="007B0C3B">
            <w:pPr>
              <w:widowControl/>
              <w:spacing w:line="240" w:lineRule="atLeast"/>
              <w:ind w:right="181"/>
              <w:jc w:val="center"/>
              <w:rPr>
                <w:rFonts w:ascii="宋体" w:hAnsi="宋体" w:cs="宋体"/>
                <w:b/>
                <w:bCs/>
                <w:color w:val="000000"/>
                <w:kern w:val="0"/>
                <w:sz w:val="16"/>
                <w:szCs w:val="16"/>
              </w:rPr>
            </w:pPr>
            <w:r>
              <w:rPr>
                <w:rFonts w:ascii="宋体" w:hAnsi="宋体" w:cs="宋体" w:hint="eastAsia"/>
                <w:b/>
                <w:bCs/>
                <w:color w:val="000000"/>
                <w:kern w:val="0"/>
                <w:sz w:val="16"/>
                <w:szCs w:val="16"/>
              </w:rPr>
              <w:t>联系</w:t>
            </w:r>
          </w:p>
          <w:p w:rsidR="00093239" w:rsidRDefault="00093239" w:rsidP="007B0C3B">
            <w:pPr>
              <w:widowControl/>
              <w:spacing w:line="240" w:lineRule="atLeast"/>
              <w:ind w:right="181"/>
              <w:jc w:val="center"/>
              <w:rPr>
                <w:rFonts w:ascii="宋体" w:hAnsi="宋体" w:cs="宋体"/>
                <w:b/>
                <w:bCs/>
                <w:color w:val="000000"/>
                <w:kern w:val="0"/>
                <w:sz w:val="16"/>
                <w:szCs w:val="16"/>
              </w:rPr>
            </w:pPr>
            <w:r>
              <w:rPr>
                <w:rFonts w:ascii="宋体" w:hAnsi="宋体" w:cs="宋体" w:hint="eastAsia"/>
                <w:b/>
                <w:bCs/>
                <w:color w:val="000000"/>
                <w:kern w:val="0"/>
                <w:sz w:val="16"/>
                <w:szCs w:val="16"/>
              </w:rPr>
              <w:t>电话</w:t>
            </w:r>
          </w:p>
        </w:tc>
        <w:tc>
          <w:tcPr>
            <w:tcW w:w="1894" w:type="dxa"/>
            <w:gridSpan w:val="2"/>
            <w:tcBorders>
              <w:top w:val="single" w:sz="4" w:space="0" w:color="auto"/>
              <w:left w:val="nil"/>
              <w:bottom w:val="single" w:sz="4" w:space="0" w:color="auto"/>
              <w:right w:val="single" w:sz="4" w:space="0" w:color="auto"/>
            </w:tcBorders>
            <w:vAlign w:val="center"/>
          </w:tcPr>
          <w:p w:rsidR="00093239" w:rsidRDefault="00093239" w:rsidP="007B0C3B">
            <w:pPr>
              <w:widowControl/>
              <w:spacing w:line="240" w:lineRule="atLeast"/>
              <w:ind w:firstLineChars="100" w:firstLine="160"/>
              <w:jc w:val="left"/>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color w:val="000000"/>
                <w:kern w:val="0"/>
                <w:sz w:val="16"/>
                <w:szCs w:val="16"/>
              </w:rPr>
              <w:t>70726641</w:t>
            </w:r>
          </w:p>
        </w:tc>
      </w:tr>
      <w:tr w:rsidR="00093239" w:rsidTr="007B0C3B">
        <w:trPr>
          <w:trHeight w:val="469"/>
          <w:jc w:val="center"/>
        </w:trPr>
        <w:tc>
          <w:tcPr>
            <w:tcW w:w="10851" w:type="dxa"/>
            <w:gridSpan w:val="12"/>
            <w:tcBorders>
              <w:top w:val="single" w:sz="4" w:space="0" w:color="auto"/>
              <w:left w:val="single" w:sz="4" w:space="0" w:color="auto"/>
              <w:bottom w:val="single" w:sz="4" w:space="0" w:color="auto"/>
              <w:right w:val="single" w:sz="4" w:space="0" w:color="auto"/>
            </w:tcBorders>
            <w:vAlign w:val="center"/>
          </w:tcPr>
          <w:p w:rsidR="00093239" w:rsidRDefault="00093239" w:rsidP="007B0C3B">
            <w:pPr>
              <w:widowControl/>
              <w:jc w:val="center"/>
              <w:rPr>
                <w:rFonts w:ascii="微软雅黑" w:eastAsia="微软雅黑" w:hAnsi="微软雅黑" w:cs="宋体"/>
                <w:b/>
                <w:bCs/>
                <w:color w:val="808080"/>
                <w:kern w:val="0"/>
                <w:sz w:val="28"/>
                <w:szCs w:val="28"/>
              </w:rPr>
            </w:pPr>
            <w:r>
              <w:rPr>
                <w:rFonts w:ascii="微软雅黑" w:eastAsia="微软雅黑" w:hAnsi="微软雅黑" w:cs="宋体" w:hint="eastAsia"/>
                <w:b/>
                <w:bCs/>
                <w:color w:val="808080"/>
                <w:kern w:val="0"/>
                <w:sz w:val="18"/>
                <w:szCs w:val="28"/>
              </w:rPr>
              <w:t>资金情况</w:t>
            </w:r>
          </w:p>
        </w:tc>
      </w:tr>
      <w:tr w:rsidR="00093239" w:rsidTr="007B0C3B">
        <w:trPr>
          <w:trHeight w:val="445"/>
          <w:jc w:val="center"/>
        </w:trPr>
        <w:tc>
          <w:tcPr>
            <w:tcW w:w="1844" w:type="dxa"/>
            <w:gridSpan w:val="2"/>
            <w:tcBorders>
              <w:top w:val="single" w:sz="4" w:space="0" w:color="auto"/>
              <w:left w:val="single" w:sz="4" w:space="0" w:color="auto"/>
              <w:bottom w:val="single" w:sz="4" w:space="0" w:color="auto"/>
              <w:right w:val="single" w:sz="4" w:space="0" w:color="000000"/>
            </w:tcBorders>
            <w:vAlign w:val="center"/>
          </w:tcPr>
          <w:p w:rsidR="00093239" w:rsidRDefault="00093239" w:rsidP="007B0C3B">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842" w:type="dxa"/>
            <w:gridSpan w:val="2"/>
            <w:tcBorders>
              <w:top w:val="single" w:sz="4" w:space="0" w:color="auto"/>
              <w:left w:val="nil"/>
              <w:bottom w:val="single" w:sz="4" w:space="0" w:color="auto"/>
              <w:right w:val="single" w:sz="4" w:space="0" w:color="000000"/>
            </w:tcBorders>
            <w:vAlign w:val="center"/>
          </w:tcPr>
          <w:p w:rsidR="00093239" w:rsidRDefault="00093239" w:rsidP="007B0C3B">
            <w:pPr>
              <w:widowControl/>
              <w:ind w:right="724"/>
              <w:jc w:val="center"/>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1728" w:type="dxa"/>
            <w:gridSpan w:val="2"/>
            <w:tcBorders>
              <w:top w:val="single" w:sz="4" w:space="0" w:color="auto"/>
              <w:left w:val="nil"/>
              <w:bottom w:val="single" w:sz="4" w:space="0" w:color="auto"/>
              <w:right w:val="single" w:sz="4" w:space="0" w:color="000000"/>
            </w:tcBorders>
            <w:vAlign w:val="center"/>
          </w:tcPr>
          <w:p w:rsidR="00093239" w:rsidRDefault="00093239" w:rsidP="007B0C3B">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w:t>
            </w:r>
          </w:p>
          <w:p w:rsidR="00093239" w:rsidRDefault="00093239" w:rsidP="007B0C3B">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预算数</w:t>
            </w:r>
          </w:p>
        </w:tc>
        <w:tc>
          <w:tcPr>
            <w:tcW w:w="1752" w:type="dxa"/>
            <w:gridSpan w:val="2"/>
            <w:tcBorders>
              <w:top w:val="single" w:sz="4" w:space="0" w:color="auto"/>
              <w:left w:val="nil"/>
              <w:bottom w:val="single" w:sz="4" w:space="0" w:color="auto"/>
              <w:right w:val="single" w:sz="4" w:space="0" w:color="000000"/>
            </w:tcBorders>
            <w:vAlign w:val="center"/>
          </w:tcPr>
          <w:p w:rsidR="00093239" w:rsidRDefault="00093239" w:rsidP="007B0C3B">
            <w:pPr>
              <w:widowControl/>
              <w:ind w:right="161"/>
              <w:jc w:val="center"/>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1791" w:type="dxa"/>
            <w:gridSpan w:val="2"/>
            <w:tcBorders>
              <w:top w:val="single" w:sz="4" w:space="0" w:color="auto"/>
              <w:left w:val="nil"/>
              <w:bottom w:val="single" w:sz="4" w:space="0" w:color="auto"/>
              <w:right w:val="single" w:sz="4" w:space="0" w:color="000000"/>
            </w:tcBorders>
            <w:vAlign w:val="center"/>
          </w:tcPr>
          <w:p w:rsidR="00093239" w:rsidRDefault="00093239" w:rsidP="007B0C3B">
            <w:pPr>
              <w:widowControl/>
              <w:ind w:right="322"/>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902" w:type="dxa"/>
            <w:tcBorders>
              <w:top w:val="nil"/>
              <w:left w:val="nil"/>
              <w:bottom w:val="single" w:sz="4" w:space="0" w:color="auto"/>
              <w:right w:val="single" w:sz="4" w:space="0" w:color="auto"/>
            </w:tcBorders>
            <w:vAlign w:val="center"/>
          </w:tcPr>
          <w:p w:rsidR="00093239" w:rsidRDefault="00093239" w:rsidP="007B0C3B">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w:t>
            </w:r>
          </w:p>
          <w:p w:rsidR="00093239" w:rsidRDefault="00093239" w:rsidP="007B0C3B">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权重</w:t>
            </w:r>
          </w:p>
        </w:tc>
        <w:tc>
          <w:tcPr>
            <w:tcW w:w="992" w:type="dxa"/>
            <w:tcBorders>
              <w:top w:val="nil"/>
              <w:left w:val="nil"/>
              <w:bottom w:val="single" w:sz="4" w:space="0" w:color="auto"/>
              <w:right w:val="single" w:sz="4" w:space="0" w:color="auto"/>
            </w:tcBorders>
            <w:vAlign w:val="center"/>
          </w:tcPr>
          <w:p w:rsidR="00093239" w:rsidRDefault="00093239" w:rsidP="007B0C3B">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w:t>
            </w:r>
          </w:p>
          <w:p w:rsidR="00093239" w:rsidRDefault="00093239" w:rsidP="007B0C3B">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w:t>
            </w:r>
          </w:p>
        </w:tc>
      </w:tr>
      <w:tr w:rsidR="00093239" w:rsidTr="007B0C3B">
        <w:trPr>
          <w:trHeight w:val="499"/>
          <w:jc w:val="center"/>
        </w:trPr>
        <w:tc>
          <w:tcPr>
            <w:tcW w:w="1844" w:type="dxa"/>
            <w:gridSpan w:val="2"/>
            <w:tcBorders>
              <w:top w:val="single" w:sz="4" w:space="0" w:color="auto"/>
              <w:left w:val="single" w:sz="4" w:space="0" w:color="auto"/>
              <w:bottom w:val="single" w:sz="4" w:space="0" w:color="auto"/>
              <w:right w:val="single" w:sz="4" w:space="0" w:color="auto"/>
            </w:tcBorders>
            <w:vAlign w:val="center"/>
          </w:tcPr>
          <w:p w:rsidR="00093239" w:rsidRDefault="00093239" w:rsidP="007B0C3B">
            <w:pPr>
              <w:widowControl/>
              <w:ind w:firstLineChars="100" w:firstLine="160"/>
              <w:jc w:val="center"/>
              <w:rPr>
                <w:rFonts w:ascii="宋体" w:hAnsi="宋体" w:cs="宋体"/>
                <w:color w:val="000000"/>
                <w:kern w:val="0"/>
                <w:sz w:val="16"/>
                <w:szCs w:val="16"/>
              </w:rPr>
            </w:pPr>
            <w:r>
              <w:rPr>
                <w:rFonts w:ascii="宋体" w:hAnsi="宋体" w:cs="宋体" w:hint="eastAsia"/>
                <w:color w:val="000000"/>
                <w:kern w:val="0"/>
                <w:sz w:val="16"/>
                <w:szCs w:val="16"/>
              </w:rPr>
              <w:t>年度总金额</w:t>
            </w:r>
          </w:p>
        </w:tc>
        <w:tc>
          <w:tcPr>
            <w:tcW w:w="1842" w:type="dxa"/>
            <w:gridSpan w:val="2"/>
            <w:tcBorders>
              <w:top w:val="single" w:sz="4" w:space="0" w:color="auto"/>
              <w:left w:val="nil"/>
              <w:bottom w:val="single" w:sz="4" w:space="0" w:color="auto"/>
              <w:right w:val="single" w:sz="4" w:space="0" w:color="auto"/>
            </w:tcBorders>
            <w:vAlign w:val="center"/>
          </w:tcPr>
          <w:p w:rsidR="00093239" w:rsidRDefault="00093239" w:rsidP="007B0C3B">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 xml:space="preserve">15593.97　</w:t>
            </w:r>
          </w:p>
        </w:tc>
        <w:tc>
          <w:tcPr>
            <w:tcW w:w="1728" w:type="dxa"/>
            <w:gridSpan w:val="2"/>
            <w:tcBorders>
              <w:top w:val="single" w:sz="4" w:space="0" w:color="auto"/>
              <w:left w:val="nil"/>
              <w:bottom w:val="single" w:sz="4" w:space="0" w:color="auto"/>
              <w:right w:val="single" w:sz="4" w:space="0" w:color="auto"/>
            </w:tcBorders>
            <w:vAlign w:val="center"/>
          </w:tcPr>
          <w:p w:rsidR="00093239" w:rsidRDefault="00093239" w:rsidP="007B0C3B">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 xml:space="preserve">28830.82　</w:t>
            </w:r>
          </w:p>
        </w:tc>
        <w:tc>
          <w:tcPr>
            <w:tcW w:w="1752" w:type="dxa"/>
            <w:gridSpan w:val="2"/>
            <w:tcBorders>
              <w:top w:val="single" w:sz="4" w:space="0" w:color="auto"/>
              <w:left w:val="nil"/>
              <w:bottom w:val="single" w:sz="4" w:space="0" w:color="auto"/>
              <w:right w:val="single" w:sz="4" w:space="0" w:color="auto"/>
            </w:tcBorders>
            <w:vAlign w:val="center"/>
          </w:tcPr>
          <w:p w:rsidR="00093239" w:rsidRDefault="00093239" w:rsidP="007B0C3B">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 xml:space="preserve">19398.97　</w:t>
            </w:r>
          </w:p>
        </w:tc>
        <w:tc>
          <w:tcPr>
            <w:tcW w:w="1791" w:type="dxa"/>
            <w:gridSpan w:val="2"/>
            <w:tcBorders>
              <w:top w:val="single" w:sz="4" w:space="0" w:color="auto"/>
              <w:left w:val="nil"/>
              <w:bottom w:val="single" w:sz="4" w:space="0" w:color="auto"/>
              <w:right w:val="single" w:sz="4" w:space="0" w:color="auto"/>
            </w:tcBorders>
            <w:vAlign w:val="center"/>
          </w:tcPr>
          <w:p w:rsidR="00093239" w:rsidRDefault="00093239" w:rsidP="007B0C3B">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902" w:type="dxa"/>
            <w:tcBorders>
              <w:top w:val="nil"/>
              <w:left w:val="nil"/>
              <w:bottom w:val="single" w:sz="4" w:space="0" w:color="auto"/>
              <w:right w:val="single" w:sz="4" w:space="0" w:color="auto"/>
            </w:tcBorders>
            <w:vAlign w:val="center"/>
          </w:tcPr>
          <w:p w:rsidR="00093239" w:rsidRDefault="00093239" w:rsidP="007B0C3B">
            <w:pPr>
              <w:widowControl/>
              <w:ind w:firstLineChars="100" w:firstLine="160"/>
              <w:jc w:val="right"/>
              <w:rPr>
                <w:rFonts w:ascii="宋体" w:hAnsi="宋体" w:cs="宋体"/>
                <w:kern w:val="0"/>
                <w:sz w:val="16"/>
                <w:szCs w:val="16"/>
              </w:rPr>
            </w:pPr>
            <w:r>
              <w:rPr>
                <w:rFonts w:ascii="宋体" w:hAnsi="宋体" w:cs="宋体" w:hint="eastAsia"/>
                <w:kern w:val="0"/>
                <w:sz w:val="16"/>
                <w:szCs w:val="16"/>
              </w:rPr>
              <w:t xml:space="preserve">　</w:t>
            </w:r>
          </w:p>
        </w:tc>
        <w:tc>
          <w:tcPr>
            <w:tcW w:w="992" w:type="dxa"/>
            <w:tcBorders>
              <w:top w:val="nil"/>
              <w:left w:val="nil"/>
              <w:bottom w:val="single" w:sz="4" w:space="0" w:color="auto"/>
              <w:right w:val="single" w:sz="4" w:space="0" w:color="auto"/>
            </w:tcBorders>
            <w:vAlign w:val="center"/>
          </w:tcPr>
          <w:p w:rsidR="00093239" w:rsidRDefault="00093239" w:rsidP="007B0C3B">
            <w:pPr>
              <w:widowControl/>
              <w:ind w:firstLineChars="100" w:firstLine="160"/>
              <w:jc w:val="right"/>
              <w:rPr>
                <w:rFonts w:ascii="宋体" w:hAnsi="宋体" w:cs="宋体"/>
                <w:kern w:val="0"/>
                <w:sz w:val="16"/>
                <w:szCs w:val="16"/>
              </w:rPr>
            </w:pPr>
            <w:r>
              <w:rPr>
                <w:rFonts w:ascii="宋体" w:hAnsi="宋体" w:cs="宋体" w:hint="eastAsia"/>
                <w:kern w:val="0"/>
                <w:sz w:val="16"/>
                <w:szCs w:val="16"/>
              </w:rPr>
              <w:t xml:space="preserve">　</w:t>
            </w:r>
          </w:p>
        </w:tc>
      </w:tr>
      <w:tr w:rsidR="00093239" w:rsidTr="007B0C3B">
        <w:trPr>
          <w:trHeight w:val="415"/>
          <w:jc w:val="center"/>
        </w:trPr>
        <w:tc>
          <w:tcPr>
            <w:tcW w:w="1844" w:type="dxa"/>
            <w:gridSpan w:val="2"/>
            <w:tcBorders>
              <w:top w:val="single" w:sz="4" w:space="0" w:color="auto"/>
              <w:left w:val="single" w:sz="4" w:space="0" w:color="auto"/>
              <w:bottom w:val="single" w:sz="4" w:space="0" w:color="auto"/>
              <w:right w:val="single" w:sz="4" w:space="0" w:color="auto"/>
            </w:tcBorders>
            <w:vAlign w:val="center"/>
          </w:tcPr>
          <w:p w:rsidR="00093239" w:rsidRDefault="00093239" w:rsidP="007B0C3B">
            <w:pPr>
              <w:widowControl/>
              <w:ind w:firstLineChars="100" w:firstLine="160"/>
              <w:jc w:val="center"/>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1842" w:type="dxa"/>
            <w:gridSpan w:val="2"/>
            <w:tcBorders>
              <w:top w:val="single" w:sz="4" w:space="0" w:color="auto"/>
              <w:left w:val="nil"/>
              <w:bottom w:val="single" w:sz="4" w:space="0" w:color="auto"/>
              <w:right w:val="single" w:sz="4" w:space="0" w:color="auto"/>
            </w:tcBorders>
            <w:vAlign w:val="center"/>
          </w:tcPr>
          <w:p w:rsidR="00093239" w:rsidRDefault="00093239" w:rsidP="007B0C3B">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 xml:space="preserve">15593.97　</w:t>
            </w:r>
          </w:p>
        </w:tc>
        <w:tc>
          <w:tcPr>
            <w:tcW w:w="1728" w:type="dxa"/>
            <w:gridSpan w:val="2"/>
            <w:tcBorders>
              <w:top w:val="single" w:sz="4" w:space="0" w:color="auto"/>
              <w:left w:val="nil"/>
              <w:bottom w:val="single" w:sz="4" w:space="0" w:color="auto"/>
              <w:right w:val="single" w:sz="4" w:space="0" w:color="auto"/>
            </w:tcBorders>
            <w:vAlign w:val="center"/>
          </w:tcPr>
          <w:p w:rsidR="00093239" w:rsidRDefault="00093239" w:rsidP="007B0C3B">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 xml:space="preserve">28830.82　</w:t>
            </w:r>
          </w:p>
        </w:tc>
        <w:tc>
          <w:tcPr>
            <w:tcW w:w="1752" w:type="dxa"/>
            <w:gridSpan w:val="2"/>
            <w:tcBorders>
              <w:top w:val="single" w:sz="4" w:space="0" w:color="auto"/>
              <w:left w:val="nil"/>
              <w:bottom w:val="single" w:sz="4" w:space="0" w:color="auto"/>
              <w:right w:val="single" w:sz="4" w:space="0" w:color="auto"/>
            </w:tcBorders>
            <w:vAlign w:val="center"/>
          </w:tcPr>
          <w:p w:rsidR="00093239" w:rsidRDefault="00093239" w:rsidP="007B0C3B">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 xml:space="preserve">19398.97　</w:t>
            </w:r>
          </w:p>
        </w:tc>
        <w:tc>
          <w:tcPr>
            <w:tcW w:w="1791" w:type="dxa"/>
            <w:gridSpan w:val="2"/>
            <w:tcBorders>
              <w:top w:val="single" w:sz="4" w:space="0" w:color="auto"/>
              <w:left w:val="nil"/>
              <w:bottom w:val="single" w:sz="4" w:space="0" w:color="auto"/>
              <w:right w:val="single" w:sz="4" w:space="0" w:color="auto"/>
            </w:tcBorders>
            <w:vAlign w:val="center"/>
          </w:tcPr>
          <w:p w:rsidR="00093239" w:rsidRDefault="00093239" w:rsidP="007B0C3B">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 xml:space="preserve">67　</w:t>
            </w:r>
          </w:p>
        </w:tc>
        <w:tc>
          <w:tcPr>
            <w:tcW w:w="902" w:type="dxa"/>
            <w:tcBorders>
              <w:top w:val="nil"/>
              <w:left w:val="nil"/>
              <w:bottom w:val="single" w:sz="4" w:space="0" w:color="auto"/>
              <w:right w:val="single" w:sz="4" w:space="0" w:color="auto"/>
            </w:tcBorders>
            <w:vAlign w:val="center"/>
          </w:tcPr>
          <w:p w:rsidR="00093239" w:rsidRDefault="00093239" w:rsidP="007B0C3B">
            <w:pPr>
              <w:widowControl/>
              <w:ind w:firstLineChars="100" w:firstLine="160"/>
              <w:jc w:val="right"/>
              <w:rPr>
                <w:rFonts w:ascii="宋体" w:hAnsi="宋体" w:cs="宋体"/>
                <w:kern w:val="0"/>
                <w:sz w:val="16"/>
                <w:szCs w:val="16"/>
              </w:rPr>
            </w:pPr>
            <w:r>
              <w:rPr>
                <w:rFonts w:ascii="宋体" w:hAnsi="宋体" w:cs="宋体" w:hint="eastAsia"/>
                <w:kern w:val="0"/>
                <w:sz w:val="16"/>
                <w:szCs w:val="16"/>
              </w:rPr>
              <w:t xml:space="preserve">10　</w:t>
            </w:r>
          </w:p>
        </w:tc>
        <w:tc>
          <w:tcPr>
            <w:tcW w:w="992" w:type="dxa"/>
            <w:tcBorders>
              <w:top w:val="nil"/>
              <w:left w:val="nil"/>
              <w:bottom w:val="single" w:sz="4" w:space="0" w:color="auto"/>
              <w:right w:val="single" w:sz="4" w:space="0" w:color="auto"/>
            </w:tcBorders>
            <w:vAlign w:val="center"/>
          </w:tcPr>
          <w:p w:rsidR="00093239" w:rsidRDefault="00093239" w:rsidP="007B0C3B">
            <w:pPr>
              <w:widowControl/>
              <w:ind w:firstLineChars="100" w:firstLine="160"/>
              <w:jc w:val="right"/>
              <w:rPr>
                <w:rFonts w:ascii="宋体" w:hAnsi="宋体" w:cs="宋体"/>
                <w:kern w:val="0"/>
                <w:sz w:val="16"/>
                <w:szCs w:val="16"/>
              </w:rPr>
            </w:pPr>
            <w:r>
              <w:rPr>
                <w:rFonts w:ascii="宋体" w:hAnsi="宋体" w:cs="宋体" w:hint="eastAsia"/>
                <w:kern w:val="0"/>
                <w:sz w:val="16"/>
                <w:szCs w:val="16"/>
              </w:rPr>
              <w:t xml:space="preserve">6.7　</w:t>
            </w:r>
          </w:p>
        </w:tc>
      </w:tr>
      <w:tr w:rsidR="00093239" w:rsidTr="007B0C3B">
        <w:trPr>
          <w:trHeight w:val="600"/>
          <w:jc w:val="center"/>
        </w:trPr>
        <w:tc>
          <w:tcPr>
            <w:tcW w:w="10851" w:type="dxa"/>
            <w:gridSpan w:val="12"/>
            <w:tcBorders>
              <w:top w:val="single" w:sz="4" w:space="0" w:color="auto"/>
              <w:left w:val="single" w:sz="4" w:space="0" w:color="auto"/>
              <w:bottom w:val="single" w:sz="4" w:space="0" w:color="auto"/>
              <w:right w:val="single" w:sz="4" w:space="0" w:color="auto"/>
            </w:tcBorders>
            <w:vAlign w:val="center"/>
          </w:tcPr>
          <w:p w:rsidR="00093239" w:rsidRDefault="00093239" w:rsidP="007B0C3B">
            <w:pPr>
              <w:widowControl/>
              <w:jc w:val="center"/>
              <w:rPr>
                <w:rFonts w:ascii="微软雅黑" w:eastAsia="微软雅黑" w:hAnsi="微软雅黑" w:cs="宋体"/>
                <w:b/>
                <w:bCs/>
                <w:color w:val="808080"/>
                <w:kern w:val="0"/>
                <w:sz w:val="28"/>
                <w:szCs w:val="28"/>
              </w:rPr>
            </w:pPr>
            <w:r>
              <w:rPr>
                <w:rFonts w:ascii="微软雅黑" w:eastAsia="微软雅黑" w:hAnsi="微软雅黑" w:cs="宋体" w:hint="eastAsia"/>
                <w:b/>
                <w:bCs/>
                <w:color w:val="808080"/>
                <w:kern w:val="0"/>
                <w:szCs w:val="28"/>
              </w:rPr>
              <w:lastRenderedPageBreak/>
              <w:t>绩效目标</w:t>
            </w:r>
          </w:p>
        </w:tc>
      </w:tr>
      <w:tr w:rsidR="00093239" w:rsidTr="007B0C3B">
        <w:trPr>
          <w:trHeight w:val="499"/>
          <w:jc w:val="center"/>
        </w:trPr>
        <w:tc>
          <w:tcPr>
            <w:tcW w:w="3686" w:type="dxa"/>
            <w:gridSpan w:val="4"/>
            <w:tcBorders>
              <w:top w:val="single" w:sz="4" w:space="0" w:color="auto"/>
              <w:left w:val="single" w:sz="4" w:space="0" w:color="auto"/>
              <w:bottom w:val="single" w:sz="4" w:space="0" w:color="auto"/>
              <w:right w:val="single" w:sz="4" w:space="0" w:color="auto"/>
            </w:tcBorders>
            <w:vAlign w:val="center"/>
          </w:tcPr>
          <w:p w:rsidR="00093239" w:rsidRDefault="00093239" w:rsidP="007B0C3B">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3480" w:type="dxa"/>
            <w:gridSpan w:val="4"/>
            <w:tcBorders>
              <w:top w:val="single" w:sz="4" w:space="0" w:color="auto"/>
              <w:left w:val="nil"/>
              <w:bottom w:val="single" w:sz="4" w:space="0" w:color="auto"/>
              <w:right w:val="single" w:sz="4" w:space="0" w:color="auto"/>
            </w:tcBorders>
            <w:vAlign w:val="center"/>
          </w:tcPr>
          <w:p w:rsidR="00093239" w:rsidRDefault="00093239" w:rsidP="007B0C3B">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3685" w:type="dxa"/>
            <w:gridSpan w:val="4"/>
            <w:tcBorders>
              <w:top w:val="single" w:sz="4" w:space="0" w:color="auto"/>
              <w:left w:val="nil"/>
              <w:bottom w:val="single" w:sz="4" w:space="0" w:color="auto"/>
              <w:right w:val="single" w:sz="4" w:space="0" w:color="auto"/>
            </w:tcBorders>
            <w:vAlign w:val="center"/>
          </w:tcPr>
          <w:p w:rsidR="00093239" w:rsidRDefault="00093239" w:rsidP="007B0C3B">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93239" w:rsidTr="007B0C3B">
        <w:trPr>
          <w:trHeight w:val="1602"/>
          <w:jc w:val="center"/>
        </w:trPr>
        <w:tc>
          <w:tcPr>
            <w:tcW w:w="3686" w:type="dxa"/>
            <w:gridSpan w:val="4"/>
            <w:tcBorders>
              <w:top w:val="single" w:sz="4" w:space="0" w:color="auto"/>
              <w:left w:val="single" w:sz="4" w:space="0" w:color="auto"/>
              <w:bottom w:val="single" w:sz="4" w:space="0" w:color="auto"/>
              <w:right w:val="single" w:sz="4" w:space="0" w:color="auto"/>
            </w:tcBorders>
          </w:tcPr>
          <w:p w:rsidR="00093239" w:rsidRDefault="00093239" w:rsidP="007B0C3B">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2022年，完成营造林面积2.23万亩，落实森林管护面积171.74万亩，聘用生态护林员787名，林业有害生物无公害防治率大于85%，全县森林覆盖率不低于52%，森林火灾受害率低于0.9‰，森林蓄积量持续增长，全县生态安全屏障得到巩固，生态服务功能有效提升。</w:t>
            </w:r>
          </w:p>
        </w:tc>
        <w:tc>
          <w:tcPr>
            <w:tcW w:w="3480" w:type="dxa"/>
            <w:gridSpan w:val="4"/>
            <w:tcBorders>
              <w:top w:val="single" w:sz="4" w:space="0" w:color="auto"/>
              <w:left w:val="nil"/>
              <w:bottom w:val="single" w:sz="4" w:space="0" w:color="auto"/>
              <w:right w:val="single" w:sz="4" w:space="0" w:color="auto"/>
            </w:tcBorders>
          </w:tcPr>
          <w:p w:rsidR="00093239" w:rsidRDefault="00093239" w:rsidP="007B0C3B">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2022年，完成营造林面积2.23万亩，落实森林管护面积171.74万亩，聘用生态护林员787名，林业有害生物无公害防治率大于85%，全县森林覆盖率不低于52%，森林火灾受害率低于0.9‰，森林蓄积量持续增长，全县生态安全屏障得到巩固，生态服务功能有效提升。</w:t>
            </w:r>
          </w:p>
        </w:tc>
        <w:tc>
          <w:tcPr>
            <w:tcW w:w="3685" w:type="dxa"/>
            <w:gridSpan w:val="4"/>
            <w:tcBorders>
              <w:top w:val="single" w:sz="4" w:space="0" w:color="auto"/>
              <w:left w:val="nil"/>
              <w:bottom w:val="single" w:sz="4" w:space="0" w:color="auto"/>
              <w:right w:val="single" w:sz="4" w:space="0" w:color="auto"/>
            </w:tcBorders>
          </w:tcPr>
          <w:p w:rsidR="00093239" w:rsidRDefault="00093239" w:rsidP="007B0C3B">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2022年，已完成营造林面积2.23万亩，落实森林管护面积191.38万亩，聘用生态护林员802名，林业有害生物无公害防治率85%，全县森林覆盖率52%，森林火灾受害率0.3‰，森林蓄积量持续增长，全县生态安全屏障得到巩固，生态服务功能有效提升。</w:t>
            </w:r>
          </w:p>
        </w:tc>
      </w:tr>
      <w:tr w:rsidR="00093239" w:rsidTr="007B0C3B">
        <w:trPr>
          <w:trHeight w:val="600"/>
          <w:jc w:val="center"/>
        </w:trPr>
        <w:tc>
          <w:tcPr>
            <w:tcW w:w="10851" w:type="dxa"/>
            <w:gridSpan w:val="12"/>
            <w:tcBorders>
              <w:top w:val="single" w:sz="4" w:space="0" w:color="auto"/>
              <w:left w:val="single" w:sz="4" w:space="0" w:color="auto"/>
              <w:bottom w:val="single" w:sz="4" w:space="0" w:color="auto"/>
              <w:right w:val="single" w:sz="4" w:space="0" w:color="auto"/>
            </w:tcBorders>
            <w:vAlign w:val="center"/>
          </w:tcPr>
          <w:p w:rsidR="00093239" w:rsidRDefault="00093239" w:rsidP="007B0C3B">
            <w:pPr>
              <w:widowControl/>
              <w:jc w:val="center"/>
              <w:rPr>
                <w:rFonts w:ascii="微软雅黑" w:eastAsia="微软雅黑" w:hAnsi="微软雅黑" w:cs="宋体"/>
                <w:b/>
                <w:bCs/>
                <w:color w:val="808080"/>
                <w:kern w:val="0"/>
                <w:sz w:val="28"/>
                <w:szCs w:val="28"/>
              </w:rPr>
            </w:pPr>
            <w:r>
              <w:rPr>
                <w:rFonts w:ascii="微软雅黑" w:eastAsia="微软雅黑" w:hAnsi="微软雅黑" w:cs="宋体" w:hint="eastAsia"/>
                <w:b/>
                <w:bCs/>
                <w:color w:val="808080"/>
                <w:kern w:val="0"/>
                <w:szCs w:val="28"/>
              </w:rPr>
              <w:t>绩效指标</w:t>
            </w:r>
          </w:p>
        </w:tc>
      </w:tr>
      <w:tr w:rsidR="00093239" w:rsidTr="007B0C3B">
        <w:trPr>
          <w:trHeight w:val="499"/>
          <w:jc w:val="center"/>
        </w:trPr>
        <w:tc>
          <w:tcPr>
            <w:tcW w:w="1277" w:type="dxa"/>
            <w:tcBorders>
              <w:top w:val="nil"/>
              <w:left w:val="single" w:sz="4" w:space="0" w:color="auto"/>
              <w:bottom w:val="single" w:sz="4" w:space="0" w:color="auto"/>
              <w:right w:val="single" w:sz="4" w:space="0" w:color="auto"/>
            </w:tcBorders>
            <w:vAlign w:val="center"/>
          </w:tcPr>
          <w:p w:rsidR="00093239" w:rsidRDefault="00093239" w:rsidP="007B0C3B">
            <w:pPr>
              <w:widowControl/>
              <w:jc w:val="center"/>
              <w:rPr>
                <w:rFonts w:ascii="宋体" w:hAnsi="宋体" w:cs="宋体"/>
                <w:b/>
                <w:bCs/>
                <w:color w:val="000000"/>
                <w:kern w:val="0"/>
                <w:sz w:val="16"/>
              </w:rPr>
            </w:pPr>
            <w:r>
              <w:rPr>
                <w:rFonts w:ascii="宋体" w:hAnsi="宋体" w:cs="宋体" w:hint="eastAsia"/>
                <w:b/>
                <w:bCs/>
                <w:color w:val="000000"/>
                <w:kern w:val="0"/>
                <w:sz w:val="16"/>
              </w:rPr>
              <w:t>指标</w:t>
            </w:r>
          </w:p>
          <w:p w:rsidR="00093239" w:rsidRDefault="00093239" w:rsidP="007B0C3B">
            <w:pPr>
              <w:widowControl/>
              <w:jc w:val="center"/>
              <w:rPr>
                <w:rFonts w:ascii="宋体" w:hAnsi="宋体" w:cs="宋体"/>
                <w:b/>
                <w:bCs/>
                <w:color w:val="000000"/>
                <w:kern w:val="0"/>
                <w:sz w:val="16"/>
              </w:rPr>
            </w:pPr>
            <w:r>
              <w:rPr>
                <w:rFonts w:ascii="宋体" w:hAnsi="宋体" w:cs="宋体" w:hint="eastAsia"/>
                <w:b/>
                <w:bCs/>
                <w:color w:val="000000"/>
                <w:kern w:val="0"/>
                <w:sz w:val="16"/>
              </w:rPr>
              <w:t>名称</w:t>
            </w:r>
          </w:p>
        </w:tc>
        <w:tc>
          <w:tcPr>
            <w:tcW w:w="567" w:type="dxa"/>
            <w:tcBorders>
              <w:top w:val="nil"/>
              <w:left w:val="nil"/>
              <w:bottom w:val="single" w:sz="4" w:space="0" w:color="auto"/>
              <w:right w:val="single" w:sz="4" w:space="0" w:color="auto"/>
            </w:tcBorders>
            <w:vAlign w:val="center"/>
          </w:tcPr>
          <w:p w:rsidR="00093239" w:rsidRDefault="00093239" w:rsidP="007B0C3B">
            <w:pPr>
              <w:widowControl/>
              <w:jc w:val="center"/>
              <w:rPr>
                <w:rFonts w:ascii="宋体" w:hAnsi="宋体" w:cs="宋体"/>
                <w:b/>
                <w:bCs/>
                <w:color w:val="000000"/>
                <w:kern w:val="0"/>
                <w:sz w:val="16"/>
              </w:rPr>
            </w:pPr>
            <w:r>
              <w:rPr>
                <w:rFonts w:ascii="宋体" w:hAnsi="宋体" w:cs="宋体" w:hint="eastAsia"/>
                <w:b/>
                <w:bCs/>
                <w:color w:val="000000"/>
                <w:kern w:val="0"/>
                <w:sz w:val="16"/>
              </w:rPr>
              <w:t>计量单位</w:t>
            </w:r>
          </w:p>
        </w:tc>
        <w:tc>
          <w:tcPr>
            <w:tcW w:w="850" w:type="dxa"/>
            <w:tcBorders>
              <w:top w:val="nil"/>
              <w:left w:val="nil"/>
              <w:bottom w:val="single" w:sz="4" w:space="0" w:color="auto"/>
              <w:right w:val="single" w:sz="4" w:space="0" w:color="auto"/>
            </w:tcBorders>
            <w:vAlign w:val="center"/>
          </w:tcPr>
          <w:p w:rsidR="00093239" w:rsidRDefault="00093239" w:rsidP="007B0C3B">
            <w:pPr>
              <w:widowControl/>
              <w:jc w:val="center"/>
              <w:rPr>
                <w:rFonts w:ascii="宋体" w:hAnsi="宋体" w:cs="宋体"/>
                <w:b/>
                <w:bCs/>
                <w:color w:val="000000"/>
                <w:kern w:val="0"/>
                <w:sz w:val="16"/>
              </w:rPr>
            </w:pPr>
            <w:r>
              <w:rPr>
                <w:rFonts w:ascii="宋体" w:hAnsi="宋体" w:cs="宋体" w:hint="eastAsia"/>
                <w:b/>
                <w:bCs/>
                <w:color w:val="000000"/>
                <w:kern w:val="0"/>
                <w:sz w:val="16"/>
              </w:rPr>
              <w:t>指标</w:t>
            </w:r>
          </w:p>
          <w:p w:rsidR="00093239" w:rsidRDefault="00093239" w:rsidP="007B0C3B">
            <w:pPr>
              <w:widowControl/>
              <w:jc w:val="center"/>
              <w:rPr>
                <w:rFonts w:ascii="宋体" w:hAnsi="宋体" w:cs="宋体"/>
                <w:b/>
                <w:bCs/>
                <w:color w:val="000000"/>
                <w:kern w:val="0"/>
                <w:sz w:val="16"/>
              </w:rPr>
            </w:pPr>
            <w:r>
              <w:rPr>
                <w:rFonts w:ascii="宋体" w:hAnsi="宋体" w:cs="宋体" w:hint="eastAsia"/>
                <w:b/>
                <w:bCs/>
                <w:color w:val="000000"/>
                <w:kern w:val="0"/>
                <w:sz w:val="16"/>
              </w:rPr>
              <w:t>性质</w:t>
            </w:r>
          </w:p>
        </w:tc>
        <w:tc>
          <w:tcPr>
            <w:tcW w:w="992" w:type="dxa"/>
            <w:tcBorders>
              <w:top w:val="nil"/>
              <w:left w:val="nil"/>
              <w:bottom w:val="single" w:sz="4" w:space="0" w:color="auto"/>
              <w:right w:val="single" w:sz="4" w:space="0" w:color="auto"/>
            </w:tcBorders>
            <w:vAlign w:val="center"/>
          </w:tcPr>
          <w:p w:rsidR="00093239" w:rsidRDefault="00093239" w:rsidP="007B0C3B">
            <w:pPr>
              <w:widowControl/>
              <w:jc w:val="center"/>
              <w:rPr>
                <w:rFonts w:ascii="宋体" w:hAnsi="宋体" w:cs="宋体"/>
                <w:b/>
                <w:bCs/>
                <w:color w:val="000000"/>
                <w:kern w:val="0"/>
                <w:sz w:val="16"/>
              </w:rPr>
            </w:pPr>
            <w:r>
              <w:rPr>
                <w:rFonts w:ascii="宋体" w:hAnsi="宋体" w:cs="宋体" w:hint="eastAsia"/>
                <w:b/>
                <w:bCs/>
                <w:color w:val="000000"/>
                <w:kern w:val="0"/>
                <w:sz w:val="16"/>
              </w:rPr>
              <w:t>指标值</w:t>
            </w:r>
          </w:p>
        </w:tc>
        <w:tc>
          <w:tcPr>
            <w:tcW w:w="1110" w:type="dxa"/>
            <w:tcBorders>
              <w:top w:val="nil"/>
              <w:left w:val="nil"/>
              <w:bottom w:val="single" w:sz="4" w:space="0" w:color="auto"/>
              <w:right w:val="single" w:sz="4" w:space="0" w:color="auto"/>
            </w:tcBorders>
            <w:vAlign w:val="center"/>
          </w:tcPr>
          <w:p w:rsidR="00093239" w:rsidRDefault="00093239" w:rsidP="007B0C3B">
            <w:pPr>
              <w:widowControl/>
              <w:jc w:val="center"/>
              <w:rPr>
                <w:rFonts w:ascii="宋体" w:hAnsi="宋体" w:cs="宋体"/>
                <w:b/>
                <w:bCs/>
                <w:color w:val="000000"/>
                <w:kern w:val="0"/>
                <w:sz w:val="16"/>
              </w:rPr>
            </w:pPr>
            <w:r>
              <w:rPr>
                <w:rFonts w:ascii="宋体" w:hAnsi="宋体" w:cs="宋体" w:hint="eastAsia"/>
                <w:b/>
                <w:bCs/>
                <w:color w:val="000000"/>
                <w:kern w:val="0"/>
                <w:sz w:val="16"/>
              </w:rPr>
              <w:t>全年完成值</w:t>
            </w:r>
          </w:p>
        </w:tc>
        <w:tc>
          <w:tcPr>
            <w:tcW w:w="618" w:type="dxa"/>
            <w:tcBorders>
              <w:top w:val="nil"/>
              <w:left w:val="nil"/>
              <w:bottom w:val="single" w:sz="4" w:space="0" w:color="auto"/>
              <w:right w:val="single" w:sz="4" w:space="0" w:color="auto"/>
            </w:tcBorders>
            <w:vAlign w:val="center"/>
          </w:tcPr>
          <w:p w:rsidR="00093239" w:rsidRDefault="00093239" w:rsidP="007B0C3B">
            <w:pPr>
              <w:widowControl/>
              <w:jc w:val="center"/>
              <w:rPr>
                <w:rFonts w:ascii="宋体" w:hAnsi="宋体" w:cs="宋体"/>
                <w:b/>
                <w:bCs/>
                <w:color w:val="000000"/>
                <w:kern w:val="0"/>
                <w:sz w:val="16"/>
              </w:rPr>
            </w:pPr>
            <w:r>
              <w:rPr>
                <w:rFonts w:ascii="宋体" w:hAnsi="宋体" w:cs="宋体" w:hint="eastAsia"/>
                <w:b/>
                <w:bCs/>
                <w:color w:val="000000"/>
                <w:kern w:val="0"/>
                <w:sz w:val="16"/>
              </w:rPr>
              <w:t>偏离度（%）</w:t>
            </w:r>
          </w:p>
        </w:tc>
        <w:tc>
          <w:tcPr>
            <w:tcW w:w="1043" w:type="dxa"/>
            <w:tcBorders>
              <w:top w:val="nil"/>
              <w:left w:val="nil"/>
              <w:bottom w:val="single" w:sz="4" w:space="0" w:color="auto"/>
              <w:right w:val="single" w:sz="4" w:space="0" w:color="auto"/>
            </w:tcBorders>
            <w:vAlign w:val="center"/>
          </w:tcPr>
          <w:p w:rsidR="00093239" w:rsidRDefault="00093239" w:rsidP="007B0C3B">
            <w:pPr>
              <w:widowControl/>
              <w:jc w:val="center"/>
              <w:rPr>
                <w:rFonts w:ascii="宋体" w:hAnsi="宋体" w:cs="宋体"/>
                <w:b/>
                <w:bCs/>
                <w:color w:val="000000"/>
                <w:kern w:val="0"/>
                <w:sz w:val="16"/>
              </w:rPr>
            </w:pPr>
            <w:r>
              <w:rPr>
                <w:rFonts w:ascii="宋体" w:hAnsi="宋体" w:cs="宋体" w:hint="eastAsia"/>
                <w:b/>
                <w:bCs/>
                <w:color w:val="000000"/>
                <w:kern w:val="0"/>
                <w:sz w:val="16"/>
              </w:rPr>
              <w:t>得分系数（%）</w:t>
            </w:r>
          </w:p>
        </w:tc>
        <w:tc>
          <w:tcPr>
            <w:tcW w:w="709" w:type="dxa"/>
            <w:tcBorders>
              <w:top w:val="nil"/>
              <w:left w:val="nil"/>
              <w:bottom w:val="single" w:sz="4" w:space="0" w:color="auto"/>
              <w:right w:val="single" w:sz="4" w:space="0" w:color="auto"/>
            </w:tcBorders>
            <w:vAlign w:val="center"/>
          </w:tcPr>
          <w:p w:rsidR="00093239" w:rsidRDefault="00093239" w:rsidP="007B0C3B">
            <w:pPr>
              <w:widowControl/>
              <w:jc w:val="center"/>
              <w:rPr>
                <w:rFonts w:ascii="宋体" w:hAnsi="宋体" w:cs="宋体"/>
                <w:b/>
                <w:bCs/>
                <w:color w:val="000000"/>
                <w:kern w:val="0"/>
                <w:sz w:val="16"/>
              </w:rPr>
            </w:pPr>
            <w:r>
              <w:rPr>
                <w:rFonts w:ascii="宋体" w:hAnsi="宋体" w:cs="宋体" w:hint="eastAsia"/>
                <w:b/>
                <w:bCs/>
                <w:color w:val="000000"/>
                <w:kern w:val="0"/>
                <w:sz w:val="16"/>
              </w:rPr>
              <w:t>指标</w:t>
            </w:r>
          </w:p>
          <w:p w:rsidR="00093239" w:rsidRDefault="00093239" w:rsidP="007B0C3B">
            <w:pPr>
              <w:widowControl/>
              <w:jc w:val="center"/>
              <w:rPr>
                <w:rFonts w:ascii="宋体" w:hAnsi="宋体" w:cs="宋体"/>
                <w:b/>
                <w:bCs/>
                <w:color w:val="000000"/>
                <w:kern w:val="0"/>
                <w:sz w:val="16"/>
              </w:rPr>
            </w:pPr>
            <w:r>
              <w:rPr>
                <w:rFonts w:ascii="宋体" w:hAnsi="宋体" w:cs="宋体" w:hint="eastAsia"/>
                <w:b/>
                <w:bCs/>
                <w:color w:val="000000"/>
                <w:kern w:val="0"/>
                <w:sz w:val="16"/>
              </w:rPr>
              <w:t>权重</w:t>
            </w:r>
          </w:p>
        </w:tc>
        <w:tc>
          <w:tcPr>
            <w:tcW w:w="799" w:type="dxa"/>
            <w:tcBorders>
              <w:top w:val="nil"/>
              <w:left w:val="nil"/>
              <w:bottom w:val="single" w:sz="4" w:space="0" w:color="auto"/>
              <w:right w:val="single" w:sz="4" w:space="0" w:color="auto"/>
            </w:tcBorders>
            <w:vAlign w:val="center"/>
          </w:tcPr>
          <w:p w:rsidR="00093239" w:rsidRDefault="00093239" w:rsidP="007B0C3B">
            <w:pPr>
              <w:widowControl/>
              <w:jc w:val="center"/>
              <w:rPr>
                <w:rFonts w:ascii="宋体" w:hAnsi="宋体" w:cs="宋体"/>
                <w:b/>
                <w:bCs/>
                <w:color w:val="000000"/>
                <w:kern w:val="0"/>
                <w:sz w:val="16"/>
              </w:rPr>
            </w:pPr>
            <w:r>
              <w:rPr>
                <w:rFonts w:ascii="宋体" w:hAnsi="宋体" w:cs="宋体" w:hint="eastAsia"/>
                <w:b/>
                <w:bCs/>
                <w:color w:val="000000"/>
                <w:kern w:val="0"/>
                <w:sz w:val="16"/>
              </w:rPr>
              <w:t>指标</w:t>
            </w:r>
          </w:p>
          <w:p w:rsidR="00093239" w:rsidRDefault="00093239" w:rsidP="007B0C3B">
            <w:pPr>
              <w:widowControl/>
              <w:jc w:val="center"/>
              <w:rPr>
                <w:rFonts w:ascii="宋体" w:hAnsi="宋体" w:cs="宋体"/>
                <w:b/>
                <w:bCs/>
                <w:color w:val="000000"/>
                <w:kern w:val="0"/>
                <w:sz w:val="16"/>
              </w:rPr>
            </w:pPr>
            <w:r>
              <w:rPr>
                <w:rFonts w:ascii="宋体" w:hAnsi="宋体" w:cs="宋体" w:hint="eastAsia"/>
                <w:b/>
                <w:bCs/>
                <w:color w:val="000000"/>
                <w:kern w:val="0"/>
                <w:sz w:val="16"/>
              </w:rPr>
              <w:t>得分</w:t>
            </w:r>
          </w:p>
        </w:tc>
        <w:tc>
          <w:tcPr>
            <w:tcW w:w="992" w:type="dxa"/>
            <w:tcBorders>
              <w:top w:val="nil"/>
              <w:left w:val="nil"/>
              <w:bottom w:val="single" w:sz="4" w:space="0" w:color="auto"/>
              <w:right w:val="single" w:sz="4" w:space="0" w:color="auto"/>
            </w:tcBorders>
            <w:vAlign w:val="center"/>
          </w:tcPr>
          <w:p w:rsidR="00093239" w:rsidRDefault="00093239" w:rsidP="007B0C3B">
            <w:pPr>
              <w:widowControl/>
              <w:jc w:val="center"/>
              <w:rPr>
                <w:rFonts w:ascii="宋体" w:hAnsi="宋体" w:cs="宋体"/>
                <w:b/>
                <w:bCs/>
                <w:color w:val="000000"/>
                <w:kern w:val="0"/>
                <w:sz w:val="16"/>
              </w:rPr>
            </w:pPr>
            <w:r>
              <w:rPr>
                <w:rFonts w:ascii="宋体" w:hAnsi="宋体" w:cs="宋体" w:hint="eastAsia"/>
                <w:b/>
                <w:bCs/>
                <w:color w:val="000000"/>
                <w:kern w:val="0"/>
                <w:sz w:val="16"/>
              </w:rPr>
              <w:t>是否核心指标</w:t>
            </w:r>
          </w:p>
        </w:tc>
        <w:tc>
          <w:tcPr>
            <w:tcW w:w="1894" w:type="dxa"/>
            <w:gridSpan w:val="2"/>
            <w:tcBorders>
              <w:top w:val="single" w:sz="4" w:space="0" w:color="auto"/>
              <w:left w:val="nil"/>
              <w:bottom w:val="single" w:sz="4" w:space="0" w:color="auto"/>
              <w:right w:val="single" w:sz="4" w:space="0" w:color="000000"/>
            </w:tcBorders>
            <w:vAlign w:val="center"/>
          </w:tcPr>
          <w:p w:rsidR="00093239" w:rsidRDefault="00093239" w:rsidP="007B0C3B">
            <w:pPr>
              <w:widowControl/>
              <w:jc w:val="center"/>
              <w:rPr>
                <w:rFonts w:ascii="宋体" w:hAnsi="宋体" w:cs="宋体"/>
                <w:b/>
                <w:bCs/>
                <w:color w:val="000000"/>
                <w:kern w:val="0"/>
                <w:sz w:val="16"/>
              </w:rPr>
            </w:pPr>
            <w:r>
              <w:rPr>
                <w:rFonts w:ascii="宋体" w:hAnsi="宋体" w:cs="宋体" w:hint="eastAsia"/>
                <w:b/>
                <w:bCs/>
                <w:color w:val="000000"/>
                <w:kern w:val="0"/>
                <w:sz w:val="16"/>
              </w:rPr>
              <w:t>说明</w:t>
            </w:r>
          </w:p>
        </w:tc>
      </w:tr>
      <w:tr w:rsidR="00093239" w:rsidTr="007B0C3B">
        <w:trPr>
          <w:trHeight w:val="499"/>
          <w:jc w:val="center"/>
        </w:trPr>
        <w:tc>
          <w:tcPr>
            <w:tcW w:w="1277" w:type="dxa"/>
            <w:tcBorders>
              <w:top w:val="nil"/>
              <w:left w:val="single" w:sz="4" w:space="0" w:color="auto"/>
              <w:bottom w:val="single" w:sz="4" w:space="0" w:color="auto"/>
              <w:right w:val="single" w:sz="4" w:space="0" w:color="auto"/>
            </w:tcBorders>
            <w:vAlign w:val="center"/>
          </w:tcPr>
          <w:p w:rsidR="00093239" w:rsidRDefault="00093239" w:rsidP="007B0C3B">
            <w:pPr>
              <w:rPr>
                <w:rFonts w:ascii="宋体" w:hAnsi="宋体" w:cs="宋体"/>
                <w:color w:val="000000"/>
                <w:sz w:val="16"/>
                <w:szCs w:val="16"/>
              </w:rPr>
            </w:pPr>
            <w:r>
              <w:rPr>
                <w:rFonts w:hint="eastAsia"/>
                <w:color w:val="000000"/>
                <w:sz w:val="16"/>
                <w:szCs w:val="16"/>
              </w:rPr>
              <w:t>补助自然保护区</w:t>
            </w:r>
          </w:p>
        </w:tc>
        <w:tc>
          <w:tcPr>
            <w:tcW w:w="567"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个</w:t>
            </w:r>
          </w:p>
        </w:tc>
        <w:tc>
          <w:tcPr>
            <w:tcW w:w="850"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w:t>
            </w:r>
          </w:p>
        </w:tc>
        <w:tc>
          <w:tcPr>
            <w:tcW w:w="992"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2</w:t>
            </w:r>
          </w:p>
        </w:tc>
        <w:tc>
          <w:tcPr>
            <w:tcW w:w="1110"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2</w:t>
            </w:r>
          </w:p>
        </w:tc>
        <w:tc>
          <w:tcPr>
            <w:tcW w:w="618"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0</w:t>
            </w:r>
          </w:p>
        </w:tc>
        <w:tc>
          <w:tcPr>
            <w:tcW w:w="1043"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100</w:t>
            </w:r>
          </w:p>
        </w:tc>
        <w:tc>
          <w:tcPr>
            <w:tcW w:w="709"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5</w:t>
            </w:r>
          </w:p>
        </w:tc>
        <w:tc>
          <w:tcPr>
            <w:tcW w:w="799"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5</w:t>
            </w:r>
          </w:p>
        </w:tc>
        <w:tc>
          <w:tcPr>
            <w:tcW w:w="992"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 xml:space="preserve">　</w:t>
            </w:r>
          </w:p>
        </w:tc>
        <w:tc>
          <w:tcPr>
            <w:tcW w:w="1894" w:type="dxa"/>
            <w:gridSpan w:val="2"/>
            <w:tcBorders>
              <w:top w:val="single" w:sz="4" w:space="0" w:color="auto"/>
              <w:left w:val="nil"/>
              <w:bottom w:val="single" w:sz="4" w:space="0" w:color="auto"/>
              <w:right w:val="single" w:sz="4" w:space="0" w:color="000000"/>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补助自然保护区</w:t>
            </w:r>
            <w:r>
              <w:rPr>
                <w:rFonts w:hint="eastAsia"/>
                <w:color w:val="000000"/>
                <w:sz w:val="16"/>
                <w:szCs w:val="16"/>
              </w:rPr>
              <w:t>2</w:t>
            </w:r>
            <w:r>
              <w:rPr>
                <w:rFonts w:hint="eastAsia"/>
                <w:color w:val="000000"/>
                <w:sz w:val="16"/>
                <w:szCs w:val="16"/>
              </w:rPr>
              <w:t>个</w:t>
            </w:r>
          </w:p>
        </w:tc>
      </w:tr>
      <w:tr w:rsidR="00093239" w:rsidTr="007B0C3B">
        <w:trPr>
          <w:trHeight w:val="499"/>
          <w:jc w:val="center"/>
        </w:trPr>
        <w:tc>
          <w:tcPr>
            <w:tcW w:w="1277" w:type="dxa"/>
            <w:tcBorders>
              <w:top w:val="nil"/>
              <w:left w:val="single" w:sz="4" w:space="0" w:color="auto"/>
              <w:bottom w:val="single" w:sz="4" w:space="0" w:color="auto"/>
              <w:right w:val="single" w:sz="4" w:space="0" w:color="auto"/>
            </w:tcBorders>
            <w:vAlign w:val="center"/>
          </w:tcPr>
          <w:p w:rsidR="00093239" w:rsidRDefault="00093239" w:rsidP="007B0C3B">
            <w:pPr>
              <w:rPr>
                <w:rFonts w:ascii="宋体" w:hAnsi="宋体" w:cs="宋体"/>
                <w:color w:val="000000"/>
                <w:sz w:val="16"/>
                <w:szCs w:val="16"/>
              </w:rPr>
            </w:pPr>
            <w:r>
              <w:rPr>
                <w:rFonts w:hint="eastAsia"/>
                <w:color w:val="000000"/>
                <w:sz w:val="16"/>
                <w:szCs w:val="16"/>
              </w:rPr>
              <w:t>林地面积</w:t>
            </w:r>
          </w:p>
        </w:tc>
        <w:tc>
          <w:tcPr>
            <w:tcW w:w="567"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万亩</w:t>
            </w:r>
          </w:p>
        </w:tc>
        <w:tc>
          <w:tcPr>
            <w:tcW w:w="850"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w:t>
            </w:r>
          </w:p>
        </w:tc>
        <w:tc>
          <w:tcPr>
            <w:tcW w:w="992"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249</w:t>
            </w:r>
          </w:p>
        </w:tc>
        <w:tc>
          <w:tcPr>
            <w:tcW w:w="1110"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249</w:t>
            </w:r>
          </w:p>
        </w:tc>
        <w:tc>
          <w:tcPr>
            <w:tcW w:w="618"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0</w:t>
            </w:r>
          </w:p>
        </w:tc>
        <w:tc>
          <w:tcPr>
            <w:tcW w:w="1043"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100</w:t>
            </w:r>
          </w:p>
        </w:tc>
        <w:tc>
          <w:tcPr>
            <w:tcW w:w="709"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10</w:t>
            </w:r>
          </w:p>
        </w:tc>
        <w:tc>
          <w:tcPr>
            <w:tcW w:w="799"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10</w:t>
            </w:r>
          </w:p>
        </w:tc>
        <w:tc>
          <w:tcPr>
            <w:tcW w:w="992"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 xml:space="preserve">是　</w:t>
            </w:r>
          </w:p>
        </w:tc>
        <w:tc>
          <w:tcPr>
            <w:tcW w:w="1894" w:type="dxa"/>
            <w:gridSpan w:val="2"/>
            <w:tcBorders>
              <w:top w:val="single" w:sz="4" w:space="0" w:color="auto"/>
              <w:left w:val="nil"/>
              <w:bottom w:val="single" w:sz="4" w:space="0" w:color="auto"/>
              <w:right w:val="single" w:sz="4" w:space="0" w:color="000000"/>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全县林地面积</w:t>
            </w:r>
            <w:r>
              <w:rPr>
                <w:rFonts w:hint="eastAsia"/>
                <w:color w:val="000000"/>
                <w:sz w:val="16"/>
                <w:szCs w:val="16"/>
              </w:rPr>
              <w:t>249</w:t>
            </w:r>
            <w:r>
              <w:rPr>
                <w:rFonts w:hint="eastAsia"/>
                <w:color w:val="000000"/>
                <w:sz w:val="16"/>
                <w:szCs w:val="16"/>
              </w:rPr>
              <w:t>万亩</w:t>
            </w:r>
          </w:p>
        </w:tc>
      </w:tr>
      <w:tr w:rsidR="00093239" w:rsidTr="007B0C3B">
        <w:trPr>
          <w:trHeight w:val="499"/>
          <w:jc w:val="center"/>
        </w:trPr>
        <w:tc>
          <w:tcPr>
            <w:tcW w:w="1277" w:type="dxa"/>
            <w:tcBorders>
              <w:top w:val="nil"/>
              <w:left w:val="single" w:sz="4" w:space="0" w:color="auto"/>
              <w:bottom w:val="single" w:sz="4" w:space="0" w:color="auto"/>
              <w:right w:val="single" w:sz="4" w:space="0" w:color="auto"/>
            </w:tcBorders>
            <w:vAlign w:val="center"/>
          </w:tcPr>
          <w:p w:rsidR="00093239" w:rsidRDefault="00093239" w:rsidP="007B0C3B">
            <w:pPr>
              <w:rPr>
                <w:rFonts w:ascii="宋体" w:hAnsi="宋体" w:cs="宋体"/>
                <w:color w:val="000000"/>
                <w:sz w:val="16"/>
                <w:szCs w:val="16"/>
              </w:rPr>
            </w:pPr>
            <w:r>
              <w:rPr>
                <w:rFonts w:hint="eastAsia"/>
                <w:color w:val="000000"/>
                <w:sz w:val="16"/>
                <w:szCs w:val="16"/>
              </w:rPr>
              <w:t>林业市级自然保护区</w:t>
            </w:r>
          </w:p>
        </w:tc>
        <w:tc>
          <w:tcPr>
            <w:tcW w:w="567"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个</w:t>
            </w:r>
          </w:p>
        </w:tc>
        <w:tc>
          <w:tcPr>
            <w:tcW w:w="850"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w:t>
            </w:r>
          </w:p>
        </w:tc>
        <w:tc>
          <w:tcPr>
            <w:tcW w:w="992"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w:t>
            </w:r>
          </w:p>
        </w:tc>
        <w:tc>
          <w:tcPr>
            <w:tcW w:w="1110"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w:t>
            </w:r>
          </w:p>
        </w:tc>
        <w:tc>
          <w:tcPr>
            <w:tcW w:w="618"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0</w:t>
            </w:r>
          </w:p>
        </w:tc>
        <w:tc>
          <w:tcPr>
            <w:tcW w:w="1043"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100</w:t>
            </w:r>
          </w:p>
        </w:tc>
        <w:tc>
          <w:tcPr>
            <w:tcW w:w="709"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5</w:t>
            </w:r>
          </w:p>
        </w:tc>
        <w:tc>
          <w:tcPr>
            <w:tcW w:w="799"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5</w:t>
            </w:r>
          </w:p>
        </w:tc>
        <w:tc>
          <w:tcPr>
            <w:tcW w:w="992"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 xml:space="preserve">　</w:t>
            </w:r>
          </w:p>
        </w:tc>
        <w:tc>
          <w:tcPr>
            <w:tcW w:w="1894" w:type="dxa"/>
            <w:gridSpan w:val="2"/>
            <w:tcBorders>
              <w:top w:val="single" w:sz="4" w:space="0" w:color="auto"/>
              <w:left w:val="nil"/>
              <w:bottom w:val="single" w:sz="4" w:space="0" w:color="auto"/>
              <w:right w:val="single" w:sz="4" w:space="0" w:color="000000"/>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林业市级自然保护区</w:t>
            </w:r>
            <w:r>
              <w:rPr>
                <w:rFonts w:hint="eastAsia"/>
                <w:color w:val="000000"/>
                <w:sz w:val="16"/>
                <w:szCs w:val="16"/>
              </w:rPr>
              <w:t>1</w:t>
            </w:r>
            <w:r>
              <w:rPr>
                <w:rFonts w:hint="eastAsia"/>
                <w:color w:val="000000"/>
                <w:sz w:val="16"/>
                <w:szCs w:val="16"/>
              </w:rPr>
              <w:t>个</w:t>
            </w:r>
          </w:p>
        </w:tc>
      </w:tr>
      <w:tr w:rsidR="00093239" w:rsidTr="007B0C3B">
        <w:trPr>
          <w:trHeight w:val="499"/>
          <w:jc w:val="center"/>
        </w:trPr>
        <w:tc>
          <w:tcPr>
            <w:tcW w:w="1277" w:type="dxa"/>
            <w:tcBorders>
              <w:top w:val="nil"/>
              <w:left w:val="single" w:sz="4" w:space="0" w:color="auto"/>
              <w:bottom w:val="single" w:sz="4" w:space="0" w:color="auto"/>
              <w:right w:val="single" w:sz="4" w:space="0" w:color="auto"/>
            </w:tcBorders>
            <w:vAlign w:val="center"/>
          </w:tcPr>
          <w:p w:rsidR="00093239" w:rsidRDefault="00093239" w:rsidP="007B0C3B">
            <w:pPr>
              <w:rPr>
                <w:rFonts w:ascii="宋体" w:hAnsi="宋体" w:cs="宋体"/>
                <w:color w:val="000000"/>
                <w:sz w:val="16"/>
                <w:szCs w:val="16"/>
              </w:rPr>
            </w:pPr>
            <w:r>
              <w:rPr>
                <w:rFonts w:hint="eastAsia"/>
                <w:color w:val="000000"/>
                <w:sz w:val="16"/>
                <w:szCs w:val="16"/>
              </w:rPr>
              <w:t>森林蓄积量</w:t>
            </w:r>
          </w:p>
        </w:tc>
        <w:tc>
          <w:tcPr>
            <w:tcW w:w="567"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立方米</w:t>
            </w:r>
          </w:p>
        </w:tc>
        <w:tc>
          <w:tcPr>
            <w:tcW w:w="850"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w:t>
            </w:r>
          </w:p>
        </w:tc>
        <w:tc>
          <w:tcPr>
            <w:tcW w:w="992"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8000000</w:t>
            </w:r>
          </w:p>
        </w:tc>
        <w:tc>
          <w:tcPr>
            <w:tcW w:w="1110"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color w:val="000000"/>
                <w:sz w:val="16"/>
                <w:szCs w:val="16"/>
              </w:rPr>
            </w:pPr>
            <w:r>
              <w:rPr>
                <w:rFonts w:hint="eastAsia"/>
                <w:color w:val="000000"/>
                <w:sz w:val="16"/>
                <w:szCs w:val="16"/>
              </w:rPr>
              <w:t>8000000</w:t>
            </w:r>
          </w:p>
        </w:tc>
        <w:tc>
          <w:tcPr>
            <w:tcW w:w="618"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0</w:t>
            </w:r>
          </w:p>
        </w:tc>
        <w:tc>
          <w:tcPr>
            <w:tcW w:w="1043"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100</w:t>
            </w:r>
          </w:p>
        </w:tc>
        <w:tc>
          <w:tcPr>
            <w:tcW w:w="709"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5</w:t>
            </w:r>
          </w:p>
        </w:tc>
        <w:tc>
          <w:tcPr>
            <w:tcW w:w="799"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5</w:t>
            </w:r>
          </w:p>
        </w:tc>
        <w:tc>
          <w:tcPr>
            <w:tcW w:w="992"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 xml:space="preserve">　</w:t>
            </w:r>
          </w:p>
        </w:tc>
        <w:tc>
          <w:tcPr>
            <w:tcW w:w="1894" w:type="dxa"/>
            <w:gridSpan w:val="2"/>
            <w:tcBorders>
              <w:top w:val="single" w:sz="4" w:space="0" w:color="auto"/>
              <w:left w:val="nil"/>
              <w:bottom w:val="single" w:sz="4" w:space="0" w:color="auto"/>
              <w:right w:val="single" w:sz="4" w:space="0" w:color="000000"/>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森林蓄积量</w:t>
            </w:r>
            <w:r>
              <w:rPr>
                <w:rFonts w:hint="eastAsia"/>
                <w:color w:val="000000"/>
                <w:sz w:val="16"/>
                <w:szCs w:val="16"/>
              </w:rPr>
              <w:t>800</w:t>
            </w:r>
            <w:r>
              <w:rPr>
                <w:rFonts w:hint="eastAsia"/>
                <w:color w:val="000000"/>
                <w:sz w:val="16"/>
                <w:szCs w:val="16"/>
              </w:rPr>
              <w:t>万立方米</w:t>
            </w:r>
          </w:p>
        </w:tc>
      </w:tr>
      <w:tr w:rsidR="00093239" w:rsidTr="007B0C3B">
        <w:trPr>
          <w:trHeight w:val="499"/>
          <w:jc w:val="center"/>
        </w:trPr>
        <w:tc>
          <w:tcPr>
            <w:tcW w:w="1277" w:type="dxa"/>
            <w:tcBorders>
              <w:top w:val="nil"/>
              <w:left w:val="single" w:sz="4" w:space="0" w:color="auto"/>
              <w:bottom w:val="single" w:sz="4" w:space="0" w:color="auto"/>
              <w:right w:val="single" w:sz="4" w:space="0" w:color="auto"/>
            </w:tcBorders>
            <w:vAlign w:val="center"/>
          </w:tcPr>
          <w:p w:rsidR="00093239" w:rsidRDefault="00093239" w:rsidP="007B0C3B">
            <w:pPr>
              <w:rPr>
                <w:rFonts w:ascii="宋体" w:hAnsi="宋体" w:cs="宋体"/>
                <w:color w:val="000000"/>
                <w:sz w:val="16"/>
                <w:szCs w:val="16"/>
              </w:rPr>
            </w:pPr>
            <w:r>
              <w:rPr>
                <w:rFonts w:hint="eastAsia"/>
                <w:color w:val="000000"/>
                <w:sz w:val="16"/>
                <w:szCs w:val="16"/>
              </w:rPr>
              <w:t>湿地面积</w:t>
            </w:r>
          </w:p>
        </w:tc>
        <w:tc>
          <w:tcPr>
            <w:tcW w:w="567"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万亩</w:t>
            </w:r>
          </w:p>
        </w:tc>
        <w:tc>
          <w:tcPr>
            <w:tcW w:w="850"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w:t>
            </w:r>
          </w:p>
        </w:tc>
        <w:tc>
          <w:tcPr>
            <w:tcW w:w="992"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13.58</w:t>
            </w:r>
          </w:p>
        </w:tc>
        <w:tc>
          <w:tcPr>
            <w:tcW w:w="1110"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13.58</w:t>
            </w:r>
          </w:p>
        </w:tc>
        <w:tc>
          <w:tcPr>
            <w:tcW w:w="618"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0</w:t>
            </w:r>
          </w:p>
        </w:tc>
        <w:tc>
          <w:tcPr>
            <w:tcW w:w="1043"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100</w:t>
            </w:r>
          </w:p>
        </w:tc>
        <w:tc>
          <w:tcPr>
            <w:tcW w:w="709"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5</w:t>
            </w:r>
          </w:p>
        </w:tc>
        <w:tc>
          <w:tcPr>
            <w:tcW w:w="799"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5</w:t>
            </w:r>
          </w:p>
        </w:tc>
        <w:tc>
          <w:tcPr>
            <w:tcW w:w="992"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 xml:space="preserve">　</w:t>
            </w:r>
          </w:p>
        </w:tc>
        <w:tc>
          <w:tcPr>
            <w:tcW w:w="1894" w:type="dxa"/>
            <w:gridSpan w:val="2"/>
            <w:tcBorders>
              <w:top w:val="single" w:sz="4" w:space="0" w:color="auto"/>
              <w:left w:val="nil"/>
              <w:bottom w:val="single" w:sz="4" w:space="0" w:color="auto"/>
              <w:right w:val="single" w:sz="4" w:space="0" w:color="000000"/>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湿地面积</w:t>
            </w:r>
            <w:r>
              <w:rPr>
                <w:rFonts w:hint="eastAsia"/>
                <w:color w:val="000000"/>
                <w:sz w:val="16"/>
                <w:szCs w:val="16"/>
              </w:rPr>
              <w:t>13.58</w:t>
            </w:r>
            <w:r>
              <w:rPr>
                <w:rFonts w:hint="eastAsia"/>
                <w:color w:val="000000"/>
                <w:sz w:val="16"/>
                <w:szCs w:val="16"/>
              </w:rPr>
              <w:t>万亩</w:t>
            </w:r>
          </w:p>
        </w:tc>
      </w:tr>
      <w:tr w:rsidR="00093239" w:rsidTr="007B0C3B">
        <w:trPr>
          <w:trHeight w:val="499"/>
          <w:jc w:val="center"/>
        </w:trPr>
        <w:tc>
          <w:tcPr>
            <w:tcW w:w="1277" w:type="dxa"/>
            <w:tcBorders>
              <w:top w:val="nil"/>
              <w:left w:val="single" w:sz="4" w:space="0" w:color="auto"/>
              <w:bottom w:val="single" w:sz="4" w:space="0" w:color="auto"/>
              <w:right w:val="single" w:sz="4" w:space="0" w:color="auto"/>
            </w:tcBorders>
            <w:vAlign w:val="center"/>
          </w:tcPr>
          <w:p w:rsidR="00093239" w:rsidRDefault="00093239" w:rsidP="007B0C3B">
            <w:pPr>
              <w:rPr>
                <w:rFonts w:ascii="宋体" w:hAnsi="宋体" w:cs="宋体"/>
                <w:color w:val="000000"/>
                <w:sz w:val="16"/>
                <w:szCs w:val="16"/>
              </w:rPr>
            </w:pPr>
            <w:r>
              <w:rPr>
                <w:rFonts w:hint="eastAsia"/>
                <w:color w:val="000000"/>
                <w:sz w:val="16"/>
                <w:szCs w:val="16"/>
              </w:rPr>
              <w:t>营造林面积</w:t>
            </w:r>
          </w:p>
        </w:tc>
        <w:tc>
          <w:tcPr>
            <w:tcW w:w="567"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万亩</w:t>
            </w:r>
          </w:p>
        </w:tc>
        <w:tc>
          <w:tcPr>
            <w:tcW w:w="850"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w:t>
            </w:r>
          </w:p>
        </w:tc>
        <w:tc>
          <w:tcPr>
            <w:tcW w:w="992"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2.48</w:t>
            </w:r>
          </w:p>
        </w:tc>
        <w:tc>
          <w:tcPr>
            <w:tcW w:w="1110"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2.48</w:t>
            </w:r>
          </w:p>
        </w:tc>
        <w:tc>
          <w:tcPr>
            <w:tcW w:w="618"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0</w:t>
            </w:r>
          </w:p>
        </w:tc>
        <w:tc>
          <w:tcPr>
            <w:tcW w:w="1043"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100</w:t>
            </w:r>
          </w:p>
        </w:tc>
        <w:tc>
          <w:tcPr>
            <w:tcW w:w="709"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20</w:t>
            </w:r>
          </w:p>
        </w:tc>
        <w:tc>
          <w:tcPr>
            <w:tcW w:w="799"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20</w:t>
            </w:r>
          </w:p>
        </w:tc>
        <w:tc>
          <w:tcPr>
            <w:tcW w:w="992"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 xml:space="preserve">　是</w:t>
            </w:r>
          </w:p>
        </w:tc>
        <w:tc>
          <w:tcPr>
            <w:tcW w:w="1894" w:type="dxa"/>
            <w:gridSpan w:val="2"/>
            <w:tcBorders>
              <w:top w:val="single" w:sz="4" w:space="0" w:color="auto"/>
              <w:left w:val="nil"/>
              <w:bottom w:val="single" w:sz="4" w:space="0" w:color="auto"/>
              <w:right w:val="single" w:sz="4" w:space="0" w:color="000000"/>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全年营造林面积</w:t>
            </w:r>
            <w:r>
              <w:rPr>
                <w:rFonts w:hint="eastAsia"/>
                <w:color w:val="000000"/>
                <w:sz w:val="16"/>
                <w:szCs w:val="16"/>
              </w:rPr>
              <w:t>2.48</w:t>
            </w:r>
            <w:r>
              <w:rPr>
                <w:rFonts w:hint="eastAsia"/>
                <w:color w:val="000000"/>
                <w:sz w:val="16"/>
                <w:szCs w:val="16"/>
              </w:rPr>
              <w:t>万亩以上</w:t>
            </w:r>
          </w:p>
        </w:tc>
      </w:tr>
      <w:tr w:rsidR="00093239" w:rsidTr="007B0C3B">
        <w:trPr>
          <w:trHeight w:val="499"/>
          <w:jc w:val="center"/>
        </w:trPr>
        <w:tc>
          <w:tcPr>
            <w:tcW w:w="1277" w:type="dxa"/>
            <w:tcBorders>
              <w:top w:val="nil"/>
              <w:left w:val="single" w:sz="4" w:space="0" w:color="auto"/>
              <w:bottom w:val="single" w:sz="4" w:space="0" w:color="auto"/>
              <w:right w:val="single" w:sz="4" w:space="0" w:color="auto"/>
            </w:tcBorders>
            <w:vAlign w:val="center"/>
          </w:tcPr>
          <w:p w:rsidR="00093239" w:rsidRDefault="00093239" w:rsidP="007B0C3B">
            <w:pPr>
              <w:rPr>
                <w:rFonts w:ascii="宋体" w:hAnsi="宋体" w:cs="宋体"/>
                <w:color w:val="000000"/>
                <w:sz w:val="16"/>
                <w:szCs w:val="16"/>
              </w:rPr>
            </w:pPr>
            <w:r>
              <w:rPr>
                <w:rFonts w:hint="eastAsia"/>
                <w:color w:val="000000"/>
                <w:sz w:val="16"/>
                <w:szCs w:val="16"/>
              </w:rPr>
              <w:t>林业有害生物防治成灾率</w:t>
            </w:r>
          </w:p>
        </w:tc>
        <w:tc>
          <w:tcPr>
            <w:tcW w:w="567"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w:t>
            </w:r>
          </w:p>
        </w:tc>
        <w:tc>
          <w:tcPr>
            <w:tcW w:w="850"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w:t>
            </w:r>
          </w:p>
        </w:tc>
        <w:tc>
          <w:tcPr>
            <w:tcW w:w="992"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3</w:t>
            </w:r>
          </w:p>
        </w:tc>
        <w:tc>
          <w:tcPr>
            <w:tcW w:w="1110"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w:t>
            </w:r>
          </w:p>
        </w:tc>
        <w:tc>
          <w:tcPr>
            <w:tcW w:w="618"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0</w:t>
            </w:r>
          </w:p>
        </w:tc>
        <w:tc>
          <w:tcPr>
            <w:tcW w:w="1043"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100</w:t>
            </w:r>
          </w:p>
        </w:tc>
        <w:tc>
          <w:tcPr>
            <w:tcW w:w="709"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5</w:t>
            </w:r>
          </w:p>
        </w:tc>
        <w:tc>
          <w:tcPr>
            <w:tcW w:w="799"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5</w:t>
            </w:r>
          </w:p>
        </w:tc>
        <w:tc>
          <w:tcPr>
            <w:tcW w:w="992"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 xml:space="preserve">　是</w:t>
            </w:r>
          </w:p>
        </w:tc>
        <w:tc>
          <w:tcPr>
            <w:tcW w:w="1894" w:type="dxa"/>
            <w:gridSpan w:val="2"/>
            <w:tcBorders>
              <w:top w:val="single" w:sz="4" w:space="0" w:color="auto"/>
              <w:left w:val="nil"/>
              <w:bottom w:val="single" w:sz="4" w:space="0" w:color="auto"/>
              <w:right w:val="single" w:sz="4" w:space="0" w:color="000000"/>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林业有害生物防治成灾率</w:t>
            </w:r>
            <w:r>
              <w:rPr>
                <w:rFonts w:hint="eastAsia"/>
                <w:color w:val="000000"/>
                <w:sz w:val="16"/>
                <w:szCs w:val="16"/>
              </w:rPr>
              <w:t>0.3</w:t>
            </w:r>
            <w:r>
              <w:rPr>
                <w:rFonts w:hint="eastAsia"/>
                <w:color w:val="000000"/>
                <w:sz w:val="16"/>
                <w:szCs w:val="16"/>
              </w:rPr>
              <w:t>‰以下</w:t>
            </w:r>
          </w:p>
        </w:tc>
      </w:tr>
      <w:tr w:rsidR="00093239" w:rsidTr="007B0C3B">
        <w:trPr>
          <w:trHeight w:val="499"/>
          <w:jc w:val="center"/>
        </w:trPr>
        <w:tc>
          <w:tcPr>
            <w:tcW w:w="1277" w:type="dxa"/>
            <w:tcBorders>
              <w:top w:val="nil"/>
              <w:left w:val="single" w:sz="4" w:space="0" w:color="auto"/>
              <w:bottom w:val="single" w:sz="4" w:space="0" w:color="auto"/>
              <w:right w:val="single" w:sz="4" w:space="0" w:color="auto"/>
            </w:tcBorders>
            <w:vAlign w:val="center"/>
          </w:tcPr>
          <w:p w:rsidR="00093239" w:rsidRDefault="00093239" w:rsidP="007B0C3B">
            <w:pPr>
              <w:rPr>
                <w:rFonts w:ascii="宋体" w:hAnsi="宋体" w:cs="宋体"/>
                <w:color w:val="000000"/>
                <w:sz w:val="16"/>
                <w:szCs w:val="16"/>
              </w:rPr>
            </w:pPr>
            <w:r>
              <w:rPr>
                <w:rFonts w:hint="eastAsia"/>
                <w:color w:val="000000"/>
                <w:sz w:val="16"/>
                <w:szCs w:val="16"/>
              </w:rPr>
              <w:t>森林抚育合格率</w:t>
            </w:r>
          </w:p>
        </w:tc>
        <w:tc>
          <w:tcPr>
            <w:tcW w:w="567"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w:t>
            </w:r>
          </w:p>
        </w:tc>
        <w:tc>
          <w:tcPr>
            <w:tcW w:w="850"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w:t>
            </w:r>
          </w:p>
        </w:tc>
        <w:tc>
          <w:tcPr>
            <w:tcW w:w="992"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85</w:t>
            </w:r>
          </w:p>
        </w:tc>
        <w:tc>
          <w:tcPr>
            <w:tcW w:w="1110"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95</w:t>
            </w:r>
          </w:p>
        </w:tc>
        <w:tc>
          <w:tcPr>
            <w:tcW w:w="618"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0</w:t>
            </w:r>
          </w:p>
        </w:tc>
        <w:tc>
          <w:tcPr>
            <w:tcW w:w="1043"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100</w:t>
            </w:r>
          </w:p>
        </w:tc>
        <w:tc>
          <w:tcPr>
            <w:tcW w:w="709"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5</w:t>
            </w:r>
          </w:p>
        </w:tc>
        <w:tc>
          <w:tcPr>
            <w:tcW w:w="799"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5</w:t>
            </w:r>
          </w:p>
        </w:tc>
        <w:tc>
          <w:tcPr>
            <w:tcW w:w="992"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 xml:space="preserve">　</w:t>
            </w:r>
          </w:p>
        </w:tc>
        <w:tc>
          <w:tcPr>
            <w:tcW w:w="1894" w:type="dxa"/>
            <w:gridSpan w:val="2"/>
            <w:tcBorders>
              <w:top w:val="single" w:sz="4" w:space="0" w:color="auto"/>
              <w:left w:val="nil"/>
              <w:bottom w:val="single" w:sz="4" w:space="0" w:color="auto"/>
              <w:right w:val="single" w:sz="4" w:space="0" w:color="000000"/>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森林抚育合格率</w:t>
            </w:r>
            <w:r>
              <w:rPr>
                <w:rFonts w:hint="eastAsia"/>
                <w:color w:val="000000"/>
                <w:sz w:val="16"/>
                <w:szCs w:val="16"/>
              </w:rPr>
              <w:t>85%</w:t>
            </w:r>
            <w:r>
              <w:rPr>
                <w:rFonts w:hint="eastAsia"/>
                <w:color w:val="000000"/>
                <w:sz w:val="16"/>
                <w:szCs w:val="16"/>
              </w:rPr>
              <w:t>以上</w:t>
            </w:r>
          </w:p>
        </w:tc>
      </w:tr>
      <w:tr w:rsidR="00093239" w:rsidTr="007B0C3B">
        <w:trPr>
          <w:trHeight w:val="499"/>
          <w:jc w:val="center"/>
        </w:trPr>
        <w:tc>
          <w:tcPr>
            <w:tcW w:w="1277" w:type="dxa"/>
            <w:tcBorders>
              <w:top w:val="nil"/>
              <w:left w:val="single" w:sz="4" w:space="0" w:color="auto"/>
              <w:bottom w:val="single" w:sz="4" w:space="0" w:color="auto"/>
              <w:right w:val="single" w:sz="4" w:space="0" w:color="auto"/>
            </w:tcBorders>
            <w:vAlign w:val="center"/>
          </w:tcPr>
          <w:p w:rsidR="00093239" w:rsidRDefault="00093239" w:rsidP="007B0C3B">
            <w:pPr>
              <w:rPr>
                <w:rFonts w:ascii="宋体" w:hAnsi="宋体" w:cs="宋体"/>
                <w:color w:val="000000"/>
                <w:sz w:val="16"/>
                <w:szCs w:val="16"/>
              </w:rPr>
            </w:pPr>
            <w:r>
              <w:rPr>
                <w:rFonts w:hint="eastAsia"/>
                <w:color w:val="000000"/>
                <w:sz w:val="16"/>
                <w:szCs w:val="16"/>
              </w:rPr>
              <w:t>森林覆盖率</w:t>
            </w:r>
          </w:p>
        </w:tc>
        <w:tc>
          <w:tcPr>
            <w:tcW w:w="567"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w:t>
            </w:r>
          </w:p>
        </w:tc>
        <w:tc>
          <w:tcPr>
            <w:tcW w:w="850"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w:t>
            </w:r>
          </w:p>
        </w:tc>
        <w:tc>
          <w:tcPr>
            <w:tcW w:w="992"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52</w:t>
            </w:r>
          </w:p>
        </w:tc>
        <w:tc>
          <w:tcPr>
            <w:tcW w:w="1110"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52</w:t>
            </w:r>
          </w:p>
        </w:tc>
        <w:tc>
          <w:tcPr>
            <w:tcW w:w="618"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0</w:t>
            </w:r>
          </w:p>
        </w:tc>
        <w:tc>
          <w:tcPr>
            <w:tcW w:w="1043"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100</w:t>
            </w:r>
          </w:p>
        </w:tc>
        <w:tc>
          <w:tcPr>
            <w:tcW w:w="709"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10</w:t>
            </w:r>
          </w:p>
        </w:tc>
        <w:tc>
          <w:tcPr>
            <w:tcW w:w="799"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10</w:t>
            </w:r>
          </w:p>
        </w:tc>
        <w:tc>
          <w:tcPr>
            <w:tcW w:w="992"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 xml:space="preserve">　是</w:t>
            </w:r>
          </w:p>
        </w:tc>
        <w:tc>
          <w:tcPr>
            <w:tcW w:w="1894" w:type="dxa"/>
            <w:gridSpan w:val="2"/>
            <w:tcBorders>
              <w:top w:val="single" w:sz="4" w:space="0" w:color="auto"/>
              <w:left w:val="nil"/>
              <w:bottom w:val="single" w:sz="4" w:space="0" w:color="auto"/>
              <w:right w:val="single" w:sz="4" w:space="0" w:color="000000"/>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全县森林覆盖率达</w:t>
            </w:r>
            <w:r>
              <w:rPr>
                <w:rFonts w:hint="eastAsia"/>
                <w:color w:val="000000"/>
                <w:sz w:val="16"/>
                <w:szCs w:val="16"/>
              </w:rPr>
              <w:t>52%</w:t>
            </w:r>
            <w:r>
              <w:rPr>
                <w:rFonts w:hint="eastAsia"/>
                <w:color w:val="000000"/>
                <w:sz w:val="16"/>
                <w:szCs w:val="16"/>
              </w:rPr>
              <w:t>以上</w:t>
            </w:r>
          </w:p>
        </w:tc>
      </w:tr>
      <w:tr w:rsidR="00093239" w:rsidTr="007B0C3B">
        <w:trPr>
          <w:trHeight w:val="499"/>
          <w:jc w:val="center"/>
        </w:trPr>
        <w:tc>
          <w:tcPr>
            <w:tcW w:w="1277" w:type="dxa"/>
            <w:tcBorders>
              <w:top w:val="nil"/>
              <w:left w:val="single" w:sz="4" w:space="0" w:color="auto"/>
              <w:bottom w:val="single" w:sz="4" w:space="0" w:color="auto"/>
              <w:right w:val="single" w:sz="4" w:space="0" w:color="auto"/>
            </w:tcBorders>
            <w:vAlign w:val="center"/>
          </w:tcPr>
          <w:p w:rsidR="00093239" w:rsidRDefault="00093239" w:rsidP="007B0C3B">
            <w:pPr>
              <w:rPr>
                <w:rFonts w:ascii="宋体" w:hAnsi="宋体" w:cs="宋体"/>
                <w:color w:val="000000"/>
                <w:sz w:val="16"/>
                <w:szCs w:val="16"/>
              </w:rPr>
            </w:pPr>
            <w:r>
              <w:rPr>
                <w:rFonts w:hint="eastAsia"/>
                <w:color w:val="000000"/>
                <w:sz w:val="16"/>
                <w:szCs w:val="16"/>
              </w:rPr>
              <w:t>森林火灾受害率</w:t>
            </w:r>
          </w:p>
        </w:tc>
        <w:tc>
          <w:tcPr>
            <w:tcW w:w="567"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w:t>
            </w:r>
          </w:p>
        </w:tc>
        <w:tc>
          <w:tcPr>
            <w:tcW w:w="850"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w:t>
            </w:r>
          </w:p>
        </w:tc>
        <w:tc>
          <w:tcPr>
            <w:tcW w:w="992"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0.3</w:t>
            </w:r>
          </w:p>
        </w:tc>
        <w:tc>
          <w:tcPr>
            <w:tcW w:w="1110"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0.3</w:t>
            </w:r>
          </w:p>
        </w:tc>
        <w:tc>
          <w:tcPr>
            <w:tcW w:w="618"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0</w:t>
            </w:r>
          </w:p>
        </w:tc>
        <w:tc>
          <w:tcPr>
            <w:tcW w:w="1043"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100</w:t>
            </w:r>
          </w:p>
        </w:tc>
        <w:tc>
          <w:tcPr>
            <w:tcW w:w="709"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5</w:t>
            </w:r>
          </w:p>
        </w:tc>
        <w:tc>
          <w:tcPr>
            <w:tcW w:w="799"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5</w:t>
            </w:r>
          </w:p>
        </w:tc>
        <w:tc>
          <w:tcPr>
            <w:tcW w:w="992"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 xml:space="preserve">　是</w:t>
            </w:r>
          </w:p>
        </w:tc>
        <w:tc>
          <w:tcPr>
            <w:tcW w:w="1894" w:type="dxa"/>
            <w:gridSpan w:val="2"/>
            <w:tcBorders>
              <w:top w:val="single" w:sz="4" w:space="0" w:color="auto"/>
              <w:left w:val="nil"/>
              <w:bottom w:val="single" w:sz="4" w:space="0" w:color="auto"/>
              <w:right w:val="single" w:sz="4" w:space="0" w:color="000000"/>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森林火灾受害率</w:t>
            </w:r>
            <w:r>
              <w:rPr>
                <w:rFonts w:hint="eastAsia"/>
                <w:color w:val="000000"/>
                <w:sz w:val="16"/>
                <w:szCs w:val="16"/>
              </w:rPr>
              <w:t>0.3</w:t>
            </w:r>
            <w:r>
              <w:rPr>
                <w:rFonts w:hint="eastAsia"/>
                <w:color w:val="000000"/>
                <w:sz w:val="16"/>
                <w:szCs w:val="16"/>
              </w:rPr>
              <w:t>‰以下</w:t>
            </w:r>
          </w:p>
        </w:tc>
      </w:tr>
      <w:tr w:rsidR="00093239" w:rsidTr="007B0C3B">
        <w:trPr>
          <w:trHeight w:val="499"/>
          <w:jc w:val="center"/>
        </w:trPr>
        <w:tc>
          <w:tcPr>
            <w:tcW w:w="1277" w:type="dxa"/>
            <w:tcBorders>
              <w:top w:val="nil"/>
              <w:left w:val="single" w:sz="4" w:space="0" w:color="auto"/>
              <w:bottom w:val="single" w:sz="4" w:space="0" w:color="auto"/>
              <w:right w:val="single" w:sz="4" w:space="0" w:color="auto"/>
            </w:tcBorders>
            <w:vAlign w:val="center"/>
          </w:tcPr>
          <w:p w:rsidR="00093239" w:rsidRDefault="00093239" w:rsidP="007B0C3B">
            <w:pPr>
              <w:rPr>
                <w:rFonts w:ascii="宋体" w:hAnsi="宋体" w:cs="宋体"/>
                <w:color w:val="000000"/>
                <w:sz w:val="16"/>
                <w:szCs w:val="16"/>
              </w:rPr>
            </w:pPr>
            <w:r>
              <w:rPr>
                <w:rFonts w:hint="eastAsia"/>
                <w:color w:val="000000"/>
                <w:sz w:val="16"/>
                <w:szCs w:val="16"/>
              </w:rPr>
              <w:t>市级自然保护区的自然生态系统完整</w:t>
            </w:r>
          </w:p>
        </w:tc>
        <w:tc>
          <w:tcPr>
            <w:tcW w:w="567"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 xml:space="preserve">　</w:t>
            </w:r>
          </w:p>
        </w:tc>
        <w:tc>
          <w:tcPr>
            <w:tcW w:w="850"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定性</w:t>
            </w:r>
          </w:p>
        </w:tc>
        <w:tc>
          <w:tcPr>
            <w:tcW w:w="992"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好</w:t>
            </w:r>
          </w:p>
        </w:tc>
        <w:tc>
          <w:tcPr>
            <w:tcW w:w="1110"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w:t>
            </w:r>
          </w:p>
        </w:tc>
        <w:tc>
          <w:tcPr>
            <w:tcW w:w="618"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0</w:t>
            </w:r>
          </w:p>
        </w:tc>
        <w:tc>
          <w:tcPr>
            <w:tcW w:w="1043"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100</w:t>
            </w:r>
          </w:p>
        </w:tc>
        <w:tc>
          <w:tcPr>
            <w:tcW w:w="709"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5</w:t>
            </w:r>
          </w:p>
        </w:tc>
        <w:tc>
          <w:tcPr>
            <w:tcW w:w="799"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5</w:t>
            </w:r>
          </w:p>
        </w:tc>
        <w:tc>
          <w:tcPr>
            <w:tcW w:w="992"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 xml:space="preserve">　</w:t>
            </w:r>
          </w:p>
        </w:tc>
        <w:tc>
          <w:tcPr>
            <w:tcW w:w="1894" w:type="dxa"/>
            <w:gridSpan w:val="2"/>
            <w:tcBorders>
              <w:top w:val="single" w:sz="4" w:space="0" w:color="auto"/>
              <w:left w:val="nil"/>
              <w:bottom w:val="single" w:sz="4" w:space="0" w:color="auto"/>
              <w:right w:val="single" w:sz="4" w:space="0" w:color="000000"/>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建立完整的市级自然保护区的自然生态系统</w:t>
            </w:r>
          </w:p>
        </w:tc>
      </w:tr>
      <w:tr w:rsidR="00093239" w:rsidTr="007B0C3B">
        <w:trPr>
          <w:trHeight w:val="499"/>
          <w:jc w:val="center"/>
        </w:trPr>
        <w:tc>
          <w:tcPr>
            <w:tcW w:w="1277" w:type="dxa"/>
            <w:tcBorders>
              <w:top w:val="nil"/>
              <w:left w:val="single" w:sz="4" w:space="0" w:color="auto"/>
              <w:bottom w:val="single" w:sz="4" w:space="0" w:color="auto"/>
              <w:right w:val="single" w:sz="4" w:space="0" w:color="auto"/>
            </w:tcBorders>
            <w:vAlign w:val="center"/>
          </w:tcPr>
          <w:p w:rsidR="00093239" w:rsidRDefault="00093239" w:rsidP="007B0C3B">
            <w:pPr>
              <w:rPr>
                <w:rFonts w:ascii="宋体" w:hAnsi="宋体" w:cs="宋体"/>
                <w:color w:val="000000"/>
                <w:sz w:val="16"/>
                <w:szCs w:val="16"/>
              </w:rPr>
            </w:pPr>
            <w:r>
              <w:rPr>
                <w:rFonts w:hint="eastAsia"/>
                <w:color w:val="000000"/>
                <w:sz w:val="16"/>
                <w:szCs w:val="16"/>
              </w:rPr>
              <w:t>新造林面积合格率</w:t>
            </w:r>
          </w:p>
        </w:tc>
        <w:tc>
          <w:tcPr>
            <w:tcW w:w="567"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w:t>
            </w:r>
          </w:p>
        </w:tc>
        <w:tc>
          <w:tcPr>
            <w:tcW w:w="850"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w:t>
            </w:r>
          </w:p>
        </w:tc>
        <w:tc>
          <w:tcPr>
            <w:tcW w:w="992"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85</w:t>
            </w:r>
          </w:p>
        </w:tc>
        <w:tc>
          <w:tcPr>
            <w:tcW w:w="1110"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90</w:t>
            </w:r>
          </w:p>
        </w:tc>
        <w:tc>
          <w:tcPr>
            <w:tcW w:w="618"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0</w:t>
            </w:r>
          </w:p>
        </w:tc>
        <w:tc>
          <w:tcPr>
            <w:tcW w:w="1043"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100</w:t>
            </w:r>
          </w:p>
        </w:tc>
        <w:tc>
          <w:tcPr>
            <w:tcW w:w="709"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10</w:t>
            </w:r>
          </w:p>
        </w:tc>
        <w:tc>
          <w:tcPr>
            <w:tcW w:w="799"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10</w:t>
            </w:r>
          </w:p>
        </w:tc>
        <w:tc>
          <w:tcPr>
            <w:tcW w:w="992"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 xml:space="preserve">是　</w:t>
            </w:r>
          </w:p>
        </w:tc>
        <w:tc>
          <w:tcPr>
            <w:tcW w:w="1894" w:type="dxa"/>
            <w:gridSpan w:val="2"/>
            <w:tcBorders>
              <w:top w:val="single" w:sz="4" w:space="0" w:color="auto"/>
              <w:left w:val="nil"/>
              <w:bottom w:val="single" w:sz="4" w:space="0" w:color="auto"/>
              <w:right w:val="single" w:sz="4" w:space="0" w:color="000000"/>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新造林面积合格率</w:t>
            </w:r>
            <w:r>
              <w:rPr>
                <w:rFonts w:hint="eastAsia"/>
                <w:color w:val="000000"/>
                <w:sz w:val="16"/>
                <w:szCs w:val="16"/>
              </w:rPr>
              <w:t>85%</w:t>
            </w:r>
            <w:r>
              <w:rPr>
                <w:rFonts w:hint="eastAsia"/>
                <w:color w:val="000000"/>
                <w:sz w:val="16"/>
                <w:szCs w:val="16"/>
              </w:rPr>
              <w:t>以上</w:t>
            </w:r>
          </w:p>
        </w:tc>
      </w:tr>
    </w:tbl>
    <w:p w:rsidR="00093239" w:rsidRDefault="00093239" w:rsidP="00093239">
      <w:pPr>
        <w:widowControl/>
        <w:rPr>
          <w:rFonts w:ascii="宋体" w:hAnsi="宋体" w:cs="宋体"/>
          <w:b/>
          <w:bCs/>
          <w:color w:val="000000"/>
          <w:kern w:val="0"/>
          <w:sz w:val="32"/>
          <w:szCs w:val="32"/>
        </w:rPr>
        <w:sectPr w:rsidR="00093239">
          <w:pgSz w:w="11906" w:h="16838"/>
          <w:pgMar w:top="2098" w:right="1474" w:bottom="1985" w:left="1588" w:header="851" w:footer="992" w:gutter="0"/>
          <w:cols w:space="720"/>
          <w:docGrid w:type="lines" w:linePitch="312"/>
        </w:sectPr>
      </w:pPr>
    </w:p>
    <w:tbl>
      <w:tblPr>
        <w:tblW w:w="0" w:type="auto"/>
        <w:jc w:val="center"/>
        <w:tblLayout w:type="fixed"/>
        <w:tblLook w:val="0000"/>
      </w:tblPr>
      <w:tblGrid>
        <w:gridCol w:w="1271"/>
        <w:gridCol w:w="565"/>
        <w:gridCol w:w="847"/>
        <w:gridCol w:w="988"/>
        <w:gridCol w:w="1034"/>
        <w:gridCol w:w="862"/>
        <w:gridCol w:w="1040"/>
        <w:gridCol w:w="707"/>
        <w:gridCol w:w="797"/>
        <w:gridCol w:w="989"/>
        <w:gridCol w:w="899"/>
        <w:gridCol w:w="989"/>
      </w:tblGrid>
      <w:tr w:rsidR="00093239" w:rsidTr="007B0C3B">
        <w:trPr>
          <w:trHeight w:val="584"/>
          <w:jc w:val="center"/>
        </w:trPr>
        <w:tc>
          <w:tcPr>
            <w:tcW w:w="10988" w:type="dxa"/>
            <w:gridSpan w:val="12"/>
            <w:tcBorders>
              <w:top w:val="single" w:sz="4" w:space="0" w:color="auto"/>
              <w:left w:val="single" w:sz="4" w:space="0" w:color="auto"/>
              <w:bottom w:val="single" w:sz="4" w:space="0" w:color="auto"/>
              <w:right w:val="single" w:sz="4" w:space="0" w:color="auto"/>
            </w:tcBorders>
            <w:vAlign w:val="center"/>
          </w:tcPr>
          <w:p w:rsidR="00093239" w:rsidRDefault="00093239" w:rsidP="007B0C3B">
            <w:pPr>
              <w:widowControl/>
              <w:jc w:val="center"/>
              <w:rPr>
                <w:rFonts w:ascii="微软雅黑" w:eastAsia="微软雅黑" w:hAnsi="微软雅黑" w:cs="宋体"/>
                <w:b/>
                <w:bCs/>
                <w:color w:val="000000"/>
                <w:kern w:val="0"/>
                <w:sz w:val="36"/>
                <w:szCs w:val="40"/>
              </w:rPr>
            </w:pPr>
            <w:r>
              <w:rPr>
                <w:rFonts w:ascii="微软雅黑" w:eastAsia="微软雅黑" w:hAnsi="微软雅黑" w:cs="宋体" w:hint="eastAsia"/>
                <w:b/>
                <w:bCs/>
                <w:color w:val="000000"/>
                <w:kern w:val="0"/>
                <w:sz w:val="32"/>
                <w:szCs w:val="40"/>
              </w:rPr>
              <w:lastRenderedPageBreak/>
              <w:t>2022年度项目绩效自评表</w:t>
            </w:r>
          </w:p>
        </w:tc>
      </w:tr>
      <w:tr w:rsidR="00093239" w:rsidTr="007B0C3B">
        <w:trPr>
          <w:trHeight w:val="499"/>
          <w:jc w:val="center"/>
        </w:trPr>
        <w:tc>
          <w:tcPr>
            <w:tcW w:w="1271" w:type="dxa"/>
            <w:tcBorders>
              <w:top w:val="nil"/>
              <w:left w:val="single" w:sz="4" w:space="0" w:color="auto"/>
              <w:bottom w:val="single" w:sz="4" w:space="0" w:color="auto"/>
              <w:right w:val="single" w:sz="4" w:space="0" w:color="auto"/>
            </w:tcBorders>
            <w:vAlign w:val="center"/>
          </w:tcPr>
          <w:p w:rsidR="00093239" w:rsidRDefault="00093239" w:rsidP="007B0C3B">
            <w:pPr>
              <w:widowControl/>
              <w:spacing w:line="240" w:lineRule="atLeast"/>
              <w:jc w:val="center"/>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1412" w:type="dxa"/>
            <w:gridSpan w:val="2"/>
            <w:tcBorders>
              <w:top w:val="nil"/>
              <w:left w:val="nil"/>
              <w:bottom w:val="single" w:sz="4" w:space="0" w:color="auto"/>
              <w:right w:val="single" w:sz="4" w:space="0" w:color="auto"/>
            </w:tcBorders>
            <w:vAlign w:val="center"/>
          </w:tcPr>
          <w:p w:rsidR="00093239" w:rsidRDefault="00093239" w:rsidP="007B0C3B">
            <w:pPr>
              <w:widowControl/>
              <w:spacing w:line="240" w:lineRule="atLeast"/>
              <w:ind w:firstLineChars="100" w:firstLine="160"/>
              <w:jc w:val="left"/>
              <w:rPr>
                <w:rFonts w:ascii="宋体" w:hAnsi="宋体" w:cs="宋体"/>
                <w:color w:val="000000"/>
                <w:kern w:val="0"/>
                <w:sz w:val="16"/>
                <w:szCs w:val="16"/>
              </w:rPr>
            </w:pPr>
            <w:r>
              <w:rPr>
                <w:rFonts w:ascii="宋体" w:hAnsi="宋体" w:cs="宋体" w:hint="eastAsia"/>
                <w:color w:val="000000"/>
                <w:kern w:val="0"/>
                <w:sz w:val="16"/>
                <w:szCs w:val="16"/>
              </w:rPr>
              <w:t xml:space="preserve">2022年国家级森林生态效益补偿　</w:t>
            </w:r>
          </w:p>
        </w:tc>
        <w:tc>
          <w:tcPr>
            <w:tcW w:w="988" w:type="dxa"/>
            <w:tcBorders>
              <w:top w:val="nil"/>
              <w:left w:val="nil"/>
              <w:bottom w:val="single" w:sz="4" w:space="0" w:color="auto"/>
              <w:right w:val="single" w:sz="4" w:space="0" w:color="auto"/>
            </w:tcBorders>
            <w:vAlign w:val="center"/>
          </w:tcPr>
          <w:p w:rsidR="00093239" w:rsidRDefault="00093239" w:rsidP="007B0C3B">
            <w:pPr>
              <w:widowControl/>
              <w:spacing w:line="240" w:lineRule="atLeast"/>
              <w:jc w:val="center"/>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1896" w:type="dxa"/>
            <w:gridSpan w:val="2"/>
            <w:tcBorders>
              <w:top w:val="nil"/>
              <w:left w:val="nil"/>
              <w:bottom w:val="single" w:sz="4" w:space="0" w:color="auto"/>
              <w:right w:val="single" w:sz="4" w:space="0" w:color="auto"/>
            </w:tcBorders>
            <w:vAlign w:val="center"/>
          </w:tcPr>
          <w:p w:rsidR="00093239" w:rsidRDefault="00093239" w:rsidP="007B0C3B">
            <w:pPr>
              <w:widowControl/>
              <w:spacing w:line="240" w:lineRule="atLeast"/>
              <w:ind w:firstLineChars="100" w:firstLine="160"/>
              <w:jc w:val="left"/>
              <w:rPr>
                <w:rFonts w:ascii="宋体" w:hAnsi="宋体" w:cs="宋体"/>
                <w:color w:val="000000"/>
                <w:kern w:val="0"/>
                <w:sz w:val="16"/>
                <w:szCs w:val="16"/>
              </w:rPr>
            </w:pPr>
            <w:r>
              <w:rPr>
                <w:rFonts w:ascii="宋体" w:hAnsi="宋体" w:cs="宋体"/>
                <w:color w:val="000000"/>
                <w:kern w:val="0"/>
                <w:sz w:val="16"/>
                <w:szCs w:val="16"/>
              </w:rPr>
              <w:t>50023022T000002700382</w:t>
            </w:r>
            <w:r>
              <w:rPr>
                <w:rFonts w:ascii="宋体" w:hAnsi="宋体" w:cs="宋体" w:hint="eastAsia"/>
                <w:color w:val="000000"/>
                <w:kern w:val="0"/>
                <w:sz w:val="16"/>
                <w:szCs w:val="16"/>
              </w:rPr>
              <w:t xml:space="preserve">　</w:t>
            </w:r>
          </w:p>
        </w:tc>
        <w:tc>
          <w:tcPr>
            <w:tcW w:w="1040" w:type="dxa"/>
            <w:tcBorders>
              <w:top w:val="nil"/>
              <w:left w:val="nil"/>
              <w:bottom w:val="single" w:sz="4" w:space="0" w:color="auto"/>
              <w:right w:val="single" w:sz="4" w:space="0" w:color="auto"/>
            </w:tcBorders>
            <w:vAlign w:val="center"/>
          </w:tcPr>
          <w:p w:rsidR="00093239" w:rsidRDefault="00093239" w:rsidP="007B0C3B">
            <w:pPr>
              <w:widowControl/>
              <w:spacing w:line="240" w:lineRule="atLeast"/>
              <w:jc w:val="center"/>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1504" w:type="dxa"/>
            <w:gridSpan w:val="2"/>
            <w:tcBorders>
              <w:top w:val="nil"/>
              <w:left w:val="nil"/>
              <w:bottom w:val="single" w:sz="4" w:space="0" w:color="auto"/>
              <w:right w:val="single" w:sz="4" w:space="0" w:color="auto"/>
            </w:tcBorders>
            <w:vAlign w:val="center"/>
          </w:tcPr>
          <w:p w:rsidR="00093239" w:rsidRDefault="00093239" w:rsidP="007B0C3B">
            <w:pPr>
              <w:widowControl/>
              <w:spacing w:line="240" w:lineRule="atLeast"/>
              <w:ind w:firstLineChars="100" w:firstLine="160"/>
              <w:jc w:val="left"/>
              <w:rPr>
                <w:rFonts w:ascii="宋体" w:hAnsi="宋体" w:cs="宋体"/>
                <w:color w:val="000000"/>
                <w:kern w:val="0"/>
                <w:sz w:val="16"/>
                <w:szCs w:val="16"/>
              </w:rPr>
            </w:pPr>
            <w:r>
              <w:rPr>
                <w:rFonts w:ascii="宋体" w:hAnsi="宋体" w:cs="宋体" w:hint="eastAsia"/>
                <w:color w:val="000000"/>
                <w:kern w:val="0"/>
                <w:sz w:val="16"/>
                <w:szCs w:val="16"/>
              </w:rPr>
              <w:t xml:space="preserve">　100</w:t>
            </w:r>
          </w:p>
        </w:tc>
        <w:tc>
          <w:tcPr>
            <w:tcW w:w="989" w:type="dxa"/>
            <w:tcBorders>
              <w:top w:val="nil"/>
              <w:left w:val="nil"/>
              <w:bottom w:val="single" w:sz="4" w:space="0" w:color="auto"/>
              <w:right w:val="single" w:sz="4" w:space="0" w:color="auto"/>
            </w:tcBorders>
            <w:vAlign w:val="center"/>
          </w:tcPr>
          <w:p w:rsidR="00093239" w:rsidRDefault="00093239" w:rsidP="007B0C3B">
            <w:pPr>
              <w:widowControl/>
              <w:spacing w:line="240" w:lineRule="atLeast"/>
              <w:jc w:val="center"/>
              <w:rPr>
                <w:rFonts w:ascii="宋体" w:hAnsi="宋体" w:cs="宋体"/>
                <w:b/>
                <w:bCs/>
                <w:color w:val="000000"/>
                <w:kern w:val="0"/>
                <w:sz w:val="16"/>
                <w:szCs w:val="16"/>
              </w:rPr>
            </w:pPr>
          </w:p>
        </w:tc>
        <w:tc>
          <w:tcPr>
            <w:tcW w:w="1888" w:type="dxa"/>
            <w:gridSpan w:val="2"/>
            <w:tcBorders>
              <w:top w:val="nil"/>
              <w:left w:val="nil"/>
              <w:bottom w:val="single" w:sz="4" w:space="0" w:color="auto"/>
              <w:right w:val="single" w:sz="4" w:space="0" w:color="auto"/>
            </w:tcBorders>
            <w:vAlign w:val="center"/>
          </w:tcPr>
          <w:p w:rsidR="00093239" w:rsidRDefault="00093239" w:rsidP="007B0C3B">
            <w:pPr>
              <w:widowControl/>
              <w:spacing w:line="240" w:lineRule="atLeast"/>
              <w:ind w:firstLineChars="100" w:firstLine="160"/>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93239" w:rsidTr="007B0C3B">
        <w:trPr>
          <w:trHeight w:val="499"/>
          <w:jc w:val="center"/>
        </w:trPr>
        <w:tc>
          <w:tcPr>
            <w:tcW w:w="1271" w:type="dxa"/>
            <w:tcBorders>
              <w:top w:val="nil"/>
              <w:left w:val="single" w:sz="4" w:space="0" w:color="auto"/>
              <w:bottom w:val="single" w:sz="4" w:space="0" w:color="auto"/>
              <w:right w:val="single" w:sz="4" w:space="0" w:color="auto"/>
            </w:tcBorders>
            <w:vAlign w:val="center"/>
          </w:tcPr>
          <w:p w:rsidR="00093239" w:rsidRDefault="00093239" w:rsidP="007B0C3B">
            <w:pPr>
              <w:widowControl/>
              <w:spacing w:line="240" w:lineRule="atLeast"/>
              <w:jc w:val="center"/>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1412" w:type="dxa"/>
            <w:gridSpan w:val="2"/>
            <w:tcBorders>
              <w:top w:val="single" w:sz="4" w:space="0" w:color="auto"/>
              <w:left w:val="nil"/>
              <w:bottom w:val="single" w:sz="4" w:space="0" w:color="auto"/>
              <w:right w:val="single" w:sz="4" w:space="0" w:color="auto"/>
            </w:tcBorders>
            <w:vAlign w:val="center"/>
          </w:tcPr>
          <w:p w:rsidR="00093239" w:rsidRDefault="00093239" w:rsidP="007B0C3B">
            <w:pPr>
              <w:widowControl/>
              <w:spacing w:line="240" w:lineRule="atLeast"/>
              <w:ind w:firstLineChars="100" w:firstLine="160"/>
              <w:jc w:val="left"/>
              <w:rPr>
                <w:rFonts w:ascii="宋体" w:hAnsi="宋体" w:cs="宋体"/>
                <w:color w:val="000000"/>
                <w:kern w:val="0"/>
                <w:sz w:val="16"/>
                <w:szCs w:val="16"/>
              </w:rPr>
            </w:pPr>
            <w:r>
              <w:rPr>
                <w:rFonts w:ascii="宋体" w:hAnsi="宋体" w:cs="宋体" w:hint="eastAsia"/>
                <w:color w:val="000000"/>
                <w:kern w:val="0"/>
                <w:sz w:val="16"/>
                <w:szCs w:val="16"/>
              </w:rPr>
              <w:t xml:space="preserve">304-丰都县林业局　</w:t>
            </w:r>
          </w:p>
        </w:tc>
        <w:tc>
          <w:tcPr>
            <w:tcW w:w="988" w:type="dxa"/>
            <w:tcBorders>
              <w:top w:val="nil"/>
              <w:left w:val="nil"/>
              <w:bottom w:val="single" w:sz="4" w:space="0" w:color="auto"/>
              <w:right w:val="single" w:sz="4" w:space="0" w:color="auto"/>
            </w:tcBorders>
            <w:vAlign w:val="center"/>
          </w:tcPr>
          <w:p w:rsidR="00093239" w:rsidRDefault="00093239" w:rsidP="007B0C3B">
            <w:pPr>
              <w:widowControl/>
              <w:spacing w:line="240" w:lineRule="atLeast"/>
              <w:jc w:val="center"/>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1896" w:type="dxa"/>
            <w:gridSpan w:val="2"/>
            <w:tcBorders>
              <w:top w:val="single" w:sz="4" w:space="0" w:color="auto"/>
              <w:left w:val="nil"/>
              <w:bottom w:val="single" w:sz="4" w:space="0" w:color="auto"/>
              <w:right w:val="single" w:sz="4" w:space="0" w:color="auto"/>
            </w:tcBorders>
            <w:vAlign w:val="center"/>
          </w:tcPr>
          <w:p w:rsidR="00093239" w:rsidRDefault="00093239" w:rsidP="007B0C3B">
            <w:pPr>
              <w:widowControl/>
              <w:spacing w:line="240" w:lineRule="atLeast"/>
              <w:ind w:firstLineChars="100" w:firstLine="160"/>
              <w:jc w:val="left"/>
              <w:rPr>
                <w:rFonts w:ascii="宋体" w:hAnsi="宋体" w:cs="宋体"/>
                <w:color w:val="000000"/>
                <w:kern w:val="0"/>
                <w:sz w:val="16"/>
                <w:szCs w:val="16"/>
              </w:rPr>
            </w:pPr>
            <w:r>
              <w:rPr>
                <w:rFonts w:ascii="宋体" w:hAnsi="宋体" w:cs="宋体" w:hint="eastAsia"/>
                <w:color w:val="000000"/>
                <w:kern w:val="0"/>
                <w:sz w:val="16"/>
                <w:szCs w:val="16"/>
              </w:rPr>
              <w:t xml:space="preserve">　006-经建科</w:t>
            </w:r>
          </w:p>
        </w:tc>
        <w:tc>
          <w:tcPr>
            <w:tcW w:w="1040" w:type="dxa"/>
            <w:tcBorders>
              <w:top w:val="nil"/>
              <w:left w:val="nil"/>
              <w:bottom w:val="single" w:sz="4" w:space="0" w:color="auto"/>
              <w:right w:val="single" w:sz="4" w:space="0" w:color="auto"/>
            </w:tcBorders>
            <w:vAlign w:val="center"/>
          </w:tcPr>
          <w:p w:rsidR="00093239" w:rsidRDefault="00093239" w:rsidP="007B0C3B">
            <w:pPr>
              <w:widowControl/>
              <w:spacing w:line="240" w:lineRule="atLeast"/>
              <w:ind w:right="483"/>
              <w:jc w:val="center"/>
              <w:rPr>
                <w:rFonts w:ascii="宋体" w:hAnsi="宋体" w:cs="宋体"/>
                <w:b/>
                <w:bCs/>
                <w:color w:val="000000"/>
                <w:kern w:val="0"/>
                <w:sz w:val="16"/>
                <w:szCs w:val="16"/>
              </w:rPr>
            </w:pPr>
            <w:r>
              <w:rPr>
                <w:rFonts w:ascii="宋体" w:hAnsi="宋体" w:cs="宋体" w:hint="eastAsia"/>
                <w:b/>
                <w:bCs/>
                <w:color w:val="000000"/>
                <w:kern w:val="0"/>
                <w:sz w:val="16"/>
                <w:szCs w:val="16"/>
              </w:rPr>
              <w:t>部门</w:t>
            </w:r>
          </w:p>
          <w:p w:rsidR="00093239" w:rsidRDefault="00093239" w:rsidP="007B0C3B">
            <w:pPr>
              <w:widowControl/>
              <w:spacing w:line="240" w:lineRule="atLeast"/>
              <w:ind w:right="161"/>
              <w:jc w:val="center"/>
              <w:rPr>
                <w:rFonts w:ascii="宋体" w:hAnsi="宋体" w:cs="宋体"/>
                <w:b/>
                <w:bCs/>
                <w:color w:val="000000"/>
                <w:kern w:val="0"/>
                <w:sz w:val="16"/>
                <w:szCs w:val="16"/>
              </w:rPr>
            </w:pPr>
            <w:r>
              <w:rPr>
                <w:rFonts w:ascii="宋体" w:hAnsi="宋体" w:cs="宋体" w:hint="eastAsia"/>
                <w:b/>
                <w:bCs/>
                <w:color w:val="000000"/>
                <w:kern w:val="0"/>
                <w:sz w:val="16"/>
                <w:szCs w:val="16"/>
              </w:rPr>
              <w:t>联系人：</w:t>
            </w:r>
          </w:p>
        </w:tc>
        <w:tc>
          <w:tcPr>
            <w:tcW w:w="1504" w:type="dxa"/>
            <w:gridSpan w:val="2"/>
            <w:tcBorders>
              <w:top w:val="single" w:sz="4" w:space="0" w:color="auto"/>
              <w:left w:val="nil"/>
              <w:bottom w:val="single" w:sz="4" w:space="0" w:color="auto"/>
              <w:right w:val="single" w:sz="4" w:space="0" w:color="auto"/>
            </w:tcBorders>
            <w:vAlign w:val="center"/>
          </w:tcPr>
          <w:p w:rsidR="00093239" w:rsidRDefault="00093239" w:rsidP="007B0C3B">
            <w:pPr>
              <w:widowControl/>
              <w:spacing w:line="240" w:lineRule="atLeast"/>
              <w:ind w:firstLineChars="100" w:firstLine="160"/>
              <w:jc w:val="left"/>
              <w:rPr>
                <w:rFonts w:ascii="宋体" w:hAnsi="宋体" w:cs="宋体"/>
                <w:color w:val="000000"/>
                <w:kern w:val="0"/>
                <w:sz w:val="16"/>
                <w:szCs w:val="16"/>
              </w:rPr>
            </w:pPr>
            <w:r>
              <w:rPr>
                <w:rFonts w:ascii="宋体" w:hAnsi="宋体" w:cs="宋体" w:hint="eastAsia"/>
                <w:color w:val="000000"/>
                <w:kern w:val="0"/>
                <w:sz w:val="16"/>
                <w:szCs w:val="16"/>
              </w:rPr>
              <w:t xml:space="preserve">　许玉梅</w:t>
            </w:r>
          </w:p>
        </w:tc>
        <w:tc>
          <w:tcPr>
            <w:tcW w:w="989" w:type="dxa"/>
            <w:tcBorders>
              <w:top w:val="nil"/>
              <w:left w:val="nil"/>
              <w:bottom w:val="single" w:sz="4" w:space="0" w:color="auto"/>
              <w:right w:val="single" w:sz="4" w:space="0" w:color="auto"/>
            </w:tcBorders>
            <w:vAlign w:val="center"/>
          </w:tcPr>
          <w:p w:rsidR="00093239" w:rsidRDefault="00093239" w:rsidP="007B0C3B">
            <w:pPr>
              <w:widowControl/>
              <w:spacing w:line="240" w:lineRule="atLeast"/>
              <w:ind w:right="181"/>
              <w:jc w:val="center"/>
              <w:rPr>
                <w:rFonts w:ascii="宋体" w:hAnsi="宋体" w:cs="宋体"/>
                <w:b/>
                <w:bCs/>
                <w:color w:val="000000"/>
                <w:kern w:val="0"/>
                <w:sz w:val="16"/>
                <w:szCs w:val="16"/>
              </w:rPr>
            </w:pPr>
            <w:r>
              <w:rPr>
                <w:rFonts w:ascii="宋体" w:hAnsi="宋体" w:cs="宋体" w:hint="eastAsia"/>
                <w:b/>
                <w:bCs/>
                <w:color w:val="000000"/>
                <w:kern w:val="0"/>
                <w:sz w:val="16"/>
                <w:szCs w:val="16"/>
              </w:rPr>
              <w:t>联系</w:t>
            </w:r>
          </w:p>
          <w:p w:rsidR="00093239" w:rsidRDefault="00093239" w:rsidP="007B0C3B">
            <w:pPr>
              <w:widowControl/>
              <w:spacing w:line="240" w:lineRule="atLeast"/>
              <w:ind w:right="181"/>
              <w:jc w:val="center"/>
              <w:rPr>
                <w:rFonts w:ascii="宋体" w:hAnsi="宋体" w:cs="宋体"/>
                <w:b/>
                <w:bCs/>
                <w:color w:val="000000"/>
                <w:kern w:val="0"/>
                <w:sz w:val="16"/>
                <w:szCs w:val="16"/>
              </w:rPr>
            </w:pPr>
            <w:r>
              <w:rPr>
                <w:rFonts w:ascii="宋体" w:hAnsi="宋体" w:cs="宋体" w:hint="eastAsia"/>
                <w:b/>
                <w:bCs/>
                <w:color w:val="000000"/>
                <w:kern w:val="0"/>
                <w:sz w:val="16"/>
                <w:szCs w:val="16"/>
              </w:rPr>
              <w:t>电话</w:t>
            </w:r>
          </w:p>
        </w:tc>
        <w:tc>
          <w:tcPr>
            <w:tcW w:w="1888" w:type="dxa"/>
            <w:gridSpan w:val="2"/>
            <w:tcBorders>
              <w:top w:val="single" w:sz="4" w:space="0" w:color="auto"/>
              <w:left w:val="nil"/>
              <w:bottom w:val="single" w:sz="4" w:space="0" w:color="auto"/>
              <w:right w:val="single" w:sz="4" w:space="0" w:color="auto"/>
            </w:tcBorders>
            <w:vAlign w:val="center"/>
          </w:tcPr>
          <w:p w:rsidR="00093239" w:rsidRDefault="00093239" w:rsidP="007B0C3B">
            <w:pPr>
              <w:widowControl/>
              <w:spacing w:line="240" w:lineRule="atLeast"/>
              <w:ind w:firstLineChars="100" w:firstLine="160"/>
              <w:jc w:val="left"/>
              <w:rPr>
                <w:rFonts w:ascii="宋体" w:hAnsi="宋体" w:cs="宋体"/>
                <w:color w:val="000000"/>
                <w:kern w:val="0"/>
                <w:sz w:val="16"/>
                <w:szCs w:val="16"/>
              </w:rPr>
            </w:pPr>
            <w:r>
              <w:rPr>
                <w:rFonts w:ascii="宋体" w:hAnsi="宋体" w:cs="宋体"/>
                <w:color w:val="000000"/>
                <w:kern w:val="0"/>
                <w:sz w:val="16"/>
                <w:szCs w:val="16"/>
              </w:rPr>
              <w:t>13896658190</w:t>
            </w:r>
            <w:r>
              <w:rPr>
                <w:rFonts w:ascii="宋体" w:hAnsi="宋体" w:cs="宋体" w:hint="eastAsia"/>
                <w:color w:val="000000"/>
                <w:kern w:val="0"/>
                <w:sz w:val="16"/>
                <w:szCs w:val="16"/>
              </w:rPr>
              <w:t xml:space="preserve">　</w:t>
            </w:r>
          </w:p>
        </w:tc>
      </w:tr>
      <w:tr w:rsidR="00093239" w:rsidTr="007B0C3B">
        <w:trPr>
          <w:trHeight w:val="469"/>
          <w:jc w:val="center"/>
        </w:trPr>
        <w:tc>
          <w:tcPr>
            <w:tcW w:w="10988" w:type="dxa"/>
            <w:gridSpan w:val="12"/>
            <w:tcBorders>
              <w:top w:val="single" w:sz="4" w:space="0" w:color="auto"/>
              <w:left w:val="single" w:sz="4" w:space="0" w:color="auto"/>
              <w:bottom w:val="single" w:sz="4" w:space="0" w:color="auto"/>
              <w:right w:val="single" w:sz="4" w:space="0" w:color="auto"/>
            </w:tcBorders>
            <w:vAlign w:val="center"/>
          </w:tcPr>
          <w:p w:rsidR="00093239" w:rsidRDefault="00093239" w:rsidP="007B0C3B">
            <w:pPr>
              <w:widowControl/>
              <w:jc w:val="center"/>
              <w:rPr>
                <w:rFonts w:ascii="微软雅黑" w:eastAsia="微软雅黑" w:hAnsi="微软雅黑" w:cs="宋体"/>
                <w:b/>
                <w:bCs/>
                <w:color w:val="808080"/>
                <w:kern w:val="0"/>
                <w:sz w:val="28"/>
                <w:szCs w:val="28"/>
              </w:rPr>
            </w:pPr>
            <w:r>
              <w:rPr>
                <w:rFonts w:ascii="微软雅黑" w:eastAsia="微软雅黑" w:hAnsi="微软雅黑" w:cs="宋体" w:hint="eastAsia"/>
                <w:b/>
                <w:bCs/>
                <w:color w:val="808080"/>
                <w:kern w:val="0"/>
                <w:sz w:val="18"/>
                <w:szCs w:val="28"/>
              </w:rPr>
              <w:t>资金情况</w:t>
            </w:r>
          </w:p>
        </w:tc>
      </w:tr>
      <w:tr w:rsidR="00093239" w:rsidTr="007B0C3B">
        <w:trPr>
          <w:trHeight w:val="445"/>
          <w:jc w:val="center"/>
        </w:trPr>
        <w:tc>
          <w:tcPr>
            <w:tcW w:w="1836" w:type="dxa"/>
            <w:gridSpan w:val="2"/>
            <w:tcBorders>
              <w:top w:val="single" w:sz="4" w:space="0" w:color="auto"/>
              <w:left w:val="single" w:sz="4" w:space="0" w:color="auto"/>
              <w:bottom w:val="single" w:sz="4" w:space="0" w:color="auto"/>
              <w:right w:val="single" w:sz="4" w:space="0" w:color="000000"/>
            </w:tcBorders>
            <w:vAlign w:val="center"/>
          </w:tcPr>
          <w:p w:rsidR="00093239" w:rsidRDefault="00093239" w:rsidP="007B0C3B">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835" w:type="dxa"/>
            <w:gridSpan w:val="2"/>
            <w:tcBorders>
              <w:top w:val="single" w:sz="4" w:space="0" w:color="auto"/>
              <w:left w:val="nil"/>
              <w:bottom w:val="single" w:sz="4" w:space="0" w:color="auto"/>
              <w:right w:val="single" w:sz="4" w:space="0" w:color="000000"/>
            </w:tcBorders>
            <w:vAlign w:val="center"/>
          </w:tcPr>
          <w:p w:rsidR="00093239" w:rsidRDefault="00093239" w:rsidP="007B0C3B">
            <w:pPr>
              <w:widowControl/>
              <w:ind w:right="724"/>
              <w:jc w:val="center"/>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1896" w:type="dxa"/>
            <w:gridSpan w:val="2"/>
            <w:tcBorders>
              <w:top w:val="single" w:sz="4" w:space="0" w:color="auto"/>
              <w:left w:val="nil"/>
              <w:bottom w:val="single" w:sz="4" w:space="0" w:color="auto"/>
              <w:right w:val="single" w:sz="4" w:space="0" w:color="000000"/>
            </w:tcBorders>
            <w:vAlign w:val="center"/>
          </w:tcPr>
          <w:p w:rsidR="00093239" w:rsidRDefault="00093239" w:rsidP="007B0C3B">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w:t>
            </w:r>
          </w:p>
          <w:p w:rsidR="00093239" w:rsidRDefault="00093239" w:rsidP="007B0C3B">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预算数</w:t>
            </w:r>
          </w:p>
        </w:tc>
        <w:tc>
          <w:tcPr>
            <w:tcW w:w="1747" w:type="dxa"/>
            <w:gridSpan w:val="2"/>
            <w:tcBorders>
              <w:top w:val="single" w:sz="4" w:space="0" w:color="auto"/>
              <w:left w:val="nil"/>
              <w:bottom w:val="single" w:sz="4" w:space="0" w:color="auto"/>
              <w:right w:val="single" w:sz="4" w:space="0" w:color="000000"/>
            </w:tcBorders>
            <w:vAlign w:val="center"/>
          </w:tcPr>
          <w:p w:rsidR="00093239" w:rsidRDefault="00093239" w:rsidP="007B0C3B">
            <w:pPr>
              <w:widowControl/>
              <w:ind w:right="161"/>
              <w:jc w:val="center"/>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1786" w:type="dxa"/>
            <w:gridSpan w:val="2"/>
            <w:tcBorders>
              <w:top w:val="single" w:sz="4" w:space="0" w:color="auto"/>
              <w:left w:val="nil"/>
              <w:bottom w:val="single" w:sz="4" w:space="0" w:color="auto"/>
              <w:right w:val="single" w:sz="4" w:space="0" w:color="000000"/>
            </w:tcBorders>
            <w:vAlign w:val="center"/>
          </w:tcPr>
          <w:p w:rsidR="00093239" w:rsidRDefault="00093239" w:rsidP="007B0C3B">
            <w:pPr>
              <w:widowControl/>
              <w:ind w:right="322"/>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899" w:type="dxa"/>
            <w:tcBorders>
              <w:top w:val="nil"/>
              <w:left w:val="nil"/>
              <w:bottom w:val="single" w:sz="4" w:space="0" w:color="auto"/>
              <w:right w:val="single" w:sz="4" w:space="0" w:color="auto"/>
            </w:tcBorders>
            <w:vAlign w:val="center"/>
          </w:tcPr>
          <w:p w:rsidR="00093239" w:rsidRDefault="00093239" w:rsidP="007B0C3B">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w:t>
            </w:r>
          </w:p>
          <w:p w:rsidR="00093239" w:rsidRDefault="00093239" w:rsidP="007B0C3B">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权重</w:t>
            </w:r>
          </w:p>
        </w:tc>
        <w:tc>
          <w:tcPr>
            <w:tcW w:w="989" w:type="dxa"/>
            <w:tcBorders>
              <w:top w:val="nil"/>
              <w:left w:val="nil"/>
              <w:bottom w:val="single" w:sz="4" w:space="0" w:color="auto"/>
              <w:right w:val="single" w:sz="4" w:space="0" w:color="auto"/>
            </w:tcBorders>
            <w:vAlign w:val="center"/>
          </w:tcPr>
          <w:p w:rsidR="00093239" w:rsidRDefault="00093239" w:rsidP="007B0C3B">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w:t>
            </w:r>
          </w:p>
          <w:p w:rsidR="00093239" w:rsidRDefault="00093239" w:rsidP="007B0C3B">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w:t>
            </w:r>
          </w:p>
        </w:tc>
      </w:tr>
      <w:tr w:rsidR="00093239" w:rsidTr="007B0C3B">
        <w:trPr>
          <w:trHeight w:val="499"/>
          <w:jc w:val="center"/>
        </w:trPr>
        <w:tc>
          <w:tcPr>
            <w:tcW w:w="1836" w:type="dxa"/>
            <w:gridSpan w:val="2"/>
            <w:tcBorders>
              <w:top w:val="single" w:sz="4" w:space="0" w:color="auto"/>
              <w:left w:val="single" w:sz="4" w:space="0" w:color="auto"/>
              <w:bottom w:val="single" w:sz="4" w:space="0" w:color="auto"/>
              <w:right w:val="single" w:sz="4" w:space="0" w:color="auto"/>
            </w:tcBorders>
            <w:vAlign w:val="center"/>
          </w:tcPr>
          <w:p w:rsidR="00093239" w:rsidRDefault="00093239" w:rsidP="007B0C3B">
            <w:pPr>
              <w:widowControl/>
              <w:ind w:firstLineChars="100" w:firstLine="160"/>
              <w:jc w:val="center"/>
              <w:rPr>
                <w:rFonts w:ascii="宋体" w:hAnsi="宋体" w:cs="宋体"/>
                <w:color w:val="000000"/>
                <w:kern w:val="0"/>
                <w:sz w:val="16"/>
                <w:szCs w:val="16"/>
              </w:rPr>
            </w:pPr>
            <w:r>
              <w:rPr>
                <w:rFonts w:ascii="宋体" w:hAnsi="宋体" w:cs="宋体" w:hint="eastAsia"/>
                <w:color w:val="000000"/>
                <w:kern w:val="0"/>
                <w:sz w:val="16"/>
                <w:szCs w:val="16"/>
              </w:rPr>
              <w:t>年度总金额</w:t>
            </w:r>
          </w:p>
        </w:tc>
        <w:tc>
          <w:tcPr>
            <w:tcW w:w="1835" w:type="dxa"/>
            <w:gridSpan w:val="2"/>
            <w:tcBorders>
              <w:top w:val="single" w:sz="4" w:space="0" w:color="auto"/>
              <w:left w:val="nil"/>
              <w:bottom w:val="single" w:sz="4" w:space="0" w:color="auto"/>
              <w:right w:val="single" w:sz="4" w:space="0" w:color="auto"/>
            </w:tcBorders>
            <w:vAlign w:val="center"/>
          </w:tcPr>
          <w:p w:rsidR="00093239" w:rsidRDefault="00093239" w:rsidP="007B0C3B">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896" w:type="dxa"/>
            <w:gridSpan w:val="2"/>
            <w:tcBorders>
              <w:top w:val="single" w:sz="4" w:space="0" w:color="auto"/>
              <w:left w:val="nil"/>
              <w:bottom w:val="single" w:sz="4" w:space="0" w:color="auto"/>
              <w:right w:val="single" w:sz="4" w:space="0" w:color="auto"/>
            </w:tcBorders>
            <w:vAlign w:val="center"/>
          </w:tcPr>
          <w:p w:rsidR="00093239" w:rsidRDefault="00093239" w:rsidP="007B0C3B">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 xml:space="preserve">582.95　</w:t>
            </w:r>
          </w:p>
        </w:tc>
        <w:tc>
          <w:tcPr>
            <w:tcW w:w="1747" w:type="dxa"/>
            <w:gridSpan w:val="2"/>
            <w:tcBorders>
              <w:top w:val="single" w:sz="4" w:space="0" w:color="auto"/>
              <w:left w:val="nil"/>
              <w:bottom w:val="single" w:sz="4" w:space="0" w:color="auto"/>
              <w:right w:val="single" w:sz="4" w:space="0" w:color="auto"/>
            </w:tcBorders>
            <w:vAlign w:val="center"/>
          </w:tcPr>
          <w:p w:rsidR="00093239" w:rsidRDefault="00093239" w:rsidP="007B0C3B">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 xml:space="preserve">582.93　</w:t>
            </w:r>
          </w:p>
        </w:tc>
        <w:tc>
          <w:tcPr>
            <w:tcW w:w="1786" w:type="dxa"/>
            <w:gridSpan w:val="2"/>
            <w:tcBorders>
              <w:top w:val="single" w:sz="4" w:space="0" w:color="auto"/>
              <w:left w:val="nil"/>
              <w:bottom w:val="single" w:sz="4" w:space="0" w:color="auto"/>
              <w:right w:val="single" w:sz="4" w:space="0" w:color="auto"/>
            </w:tcBorders>
            <w:vAlign w:val="center"/>
          </w:tcPr>
          <w:p w:rsidR="00093239" w:rsidRDefault="00093239" w:rsidP="007B0C3B">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899" w:type="dxa"/>
            <w:tcBorders>
              <w:top w:val="nil"/>
              <w:left w:val="nil"/>
              <w:bottom w:val="single" w:sz="4" w:space="0" w:color="auto"/>
              <w:right w:val="single" w:sz="4" w:space="0" w:color="auto"/>
            </w:tcBorders>
            <w:vAlign w:val="center"/>
          </w:tcPr>
          <w:p w:rsidR="00093239" w:rsidRDefault="00093239" w:rsidP="007B0C3B">
            <w:pPr>
              <w:widowControl/>
              <w:ind w:firstLineChars="100" w:firstLine="160"/>
              <w:jc w:val="right"/>
              <w:rPr>
                <w:rFonts w:ascii="宋体" w:hAnsi="宋体" w:cs="宋体"/>
                <w:kern w:val="0"/>
                <w:sz w:val="16"/>
                <w:szCs w:val="16"/>
              </w:rPr>
            </w:pPr>
            <w:r>
              <w:rPr>
                <w:rFonts w:ascii="宋体" w:hAnsi="宋体" w:cs="宋体" w:hint="eastAsia"/>
                <w:kern w:val="0"/>
                <w:sz w:val="16"/>
                <w:szCs w:val="16"/>
              </w:rPr>
              <w:t xml:space="preserve">　</w:t>
            </w:r>
          </w:p>
        </w:tc>
        <w:tc>
          <w:tcPr>
            <w:tcW w:w="989" w:type="dxa"/>
            <w:tcBorders>
              <w:top w:val="nil"/>
              <w:left w:val="nil"/>
              <w:bottom w:val="single" w:sz="4" w:space="0" w:color="auto"/>
              <w:right w:val="single" w:sz="4" w:space="0" w:color="auto"/>
            </w:tcBorders>
            <w:vAlign w:val="center"/>
          </w:tcPr>
          <w:p w:rsidR="00093239" w:rsidRDefault="00093239" w:rsidP="007B0C3B">
            <w:pPr>
              <w:widowControl/>
              <w:ind w:firstLineChars="100" w:firstLine="160"/>
              <w:jc w:val="right"/>
              <w:rPr>
                <w:rFonts w:ascii="宋体" w:hAnsi="宋体" w:cs="宋体"/>
                <w:kern w:val="0"/>
                <w:sz w:val="16"/>
                <w:szCs w:val="16"/>
              </w:rPr>
            </w:pPr>
            <w:r>
              <w:rPr>
                <w:rFonts w:ascii="宋体" w:hAnsi="宋体" w:cs="宋体" w:hint="eastAsia"/>
                <w:kern w:val="0"/>
                <w:sz w:val="16"/>
                <w:szCs w:val="16"/>
              </w:rPr>
              <w:t xml:space="preserve">　</w:t>
            </w:r>
          </w:p>
        </w:tc>
      </w:tr>
      <w:tr w:rsidR="00093239" w:rsidTr="007B0C3B">
        <w:trPr>
          <w:trHeight w:val="415"/>
          <w:jc w:val="center"/>
        </w:trPr>
        <w:tc>
          <w:tcPr>
            <w:tcW w:w="1836" w:type="dxa"/>
            <w:gridSpan w:val="2"/>
            <w:tcBorders>
              <w:top w:val="single" w:sz="4" w:space="0" w:color="auto"/>
              <w:left w:val="single" w:sz="4" w:space="0" w:color="auto"/>
              <w:bottom w:val="single" w:sz="4" w:space="0" w:color="auto"/>
              <w:right w:val="single" w:sz="4" w:space="0" w:color="auto"/>
            </w:tcBorders>
            <w:vAlign w:val="center"/>
          </w:tcPr>
          <w:p w:rsidR="00093239" w:rsidRDefault="00093239" w:rsidP="007B0C3B">
            <w:pPr>
              <w:widowControl/>
              <w:ind w:firstLineChars="100" w:firstLine="160"/>
              <w:jc w:val="center"/>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1835" w:type="dxa"/>
            <w:gridSpan w:val="2"/>
            <w:tcBorders>
              <w:top w:val="single" w:sz="4" w:space="0" w:color="auto"/>
              <w:left w:val="nil"/>
              <w:bottom w:val="single" w:sz="4" w:space="0" w:color="auto"/>
              <w:right w:val="single" w:sz="4" w:space="0" w:color="auto"/>
            </w:tcBorders>
            <w:vAlign w:val="center"/>
          </w:tcPr>
          <w:p w:rsidR="00093239" w:rsidRDefault="00093239" w:rsidP="007B0C3B">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896" w:type="dxa"/>
            <w:gridSpan w:val="2"/>
            <w:tcBorders>
              <w:top w:val="single" w:sz="4" w:space="0" w:color="auto"/>
              <w:left w:val="nil"/>
              <w:bottom w:val="single" w:sz="4" w:space="0" w:color="auto"/>
              <w:right w:val="single" w:sz="4" w:space="0" w:color="auto"/>
            </w:tcBorders>
            <w:vAlign w:val="center"/>
          </w:tcPr>
          <w:p w:rsidR="00093239" w:rsidRDefault="00093239" w:rsidP="007B0C3B">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 xml:space="preserve">582.95　</w:t>
            </w:r>
          </w:p>
        </w:tc>
        <w:tc>
          <w:tcPr>
            <w:tcW w:w="1747" w:type="dxa"/>
            <w:gridSpan w:val="2"/>
            <w:tcBorders>
              <w:top w:val="single" w:sz="4" w:space="0" w:color="auto"/>
              <w:left w:val="nil"/>
              <w:bottom w:val="single" w:sz="4" w:space="0" w:color="auto"/>
              <w:right w:val="single" w:sz="4" w:space="0" w:color="auto"/>
            </w:tcBorders>
            <w:vAlign w:val="center"/>
          </w:tcPr>
          <w:p w:rsidR="00093239" w:rsidRDefault="00093239" w:rsidP="007B0C3B">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 xml:space="preserve">582.93　</w:t>
            </w:r>
          </w:p>
        </w:tc>
        <w:tc>
          <w:tcPr>
            <w:tcW w:w="1786" w:type="dxa"/>
            <w:gridSpan w:val="2"/>
            <w:tcBorders>
              <w:top w:val="single" w:sz="4" w:space="0" w:color="auto"/>
              <w:left w:val="nil"/>
              <w:bottom w:val="single" w:sz="4" w:space="0" w:color="auto"/>
              <w:right w:val="single" w:sz="4" w:space="0" w:color="auto"/>
            </w:tcBorders>
            <w:vAlign w:val="center"/>
          </w:tcPr>
          <w:p w:rsidR="00093239" w:rsidRDefault="00093239" w:rsidP="007B0C3B">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 xml:space="preserve">100　</w:t>
            </w:r>
          </w:p>
        </w:tc>
        <w:tc>
          <w:tcPr>
            <w:tcW w:w="899" w:type="dxa"/>
            <w:tcBorders>
              <w:top w:val="nil"/>
              <w:left w:val="nil"/>
              <w:bottom w:val="single" w:sz="4" w:space="0" w:color="auto"/>
              <w:right w:val="single" w:sz="4" w:space="0" w:color="auto"/>
            </w:tcBorders>
            <w:vAlign w:val="center"/>
          </w:tcPr>
          <w:p w:rsidR="00093239" w:rsidRDefault="00093239" w:rsidP="007B0C3B">
            <w:pPr>
              <w:widowControl/>
              <w:ind w:firstLineChars="100" w:firstLine="160"/>
              <w:jc w:val="right"/>
              <w:rPr>
                <w:rFonts w:ascii="宋体" w:hAnsi="宋体" w:cs="宋体"/>
                <w:kern w:val="0"/>
                <w:sz w:val="16"/>
                <w:szCs w:val="16"/>
              </w:rPr>
            </w:pPr>
            <w:r>
              <w:rPr>
                <w:rFonts w:ascii="宋体" w:hAnsi="宋体" w:cs="宋体" w:hint="eastAsia"/>
                <w:kern w:val="0"/>
                <w:sz w:val="16"/>
                <w:szCs w:val="16"/>
              </w:rPr>
              <w:t xml:space="preserve">10　</w:t>
            </w:r>
          </w:p>
        </w:tc>
        <w:tc>
          <w:tcPr>
            <w:tcW w:w="989" w:type="dxa"/>
            <w:tcBorders>
              <w:top w:val="nil"/>
              <w:left w:val="nil"/>
              <w:bottom w:val="single" w:sz="4" w:space="0" w:color="auto"/>
              <w:right w:val="single" w:sz="4" w:space="0" w:color="auto"/>
            </w:tcBorders>
            <w:vAlign w:val="center"/>
          </w:tcPr>
          <w:p w:rsidR="00093239" w:rsidRDefault="00093239" w:rsidP="007B0C3B">
            <w:pPr>
              <w:widowControl/>
              <w:ind w:firstLineChars="100" w:firstLine="160"/>
              <w:jc w:val="right"/>
              <w:rPr>
                <w:rFonts w:ascii="宋体" w:hAnsi="宋体" w:cs="宋体"/>
                <w:kern w:val="0"/>
                <w:sz w:val="16"/>
                <w:szCs w:val="16"/>
              </w:rPr>
            </w:pPr>
            <w:r>
              <w:rPr>
                <w:rFonts w:ascii="宋体" w:hAnsi="宋体" w:cs="宋体" w:hint="eastAsia"/>
                <w:kern w:val="0"/>
                <w:sz w:val="16"/>
                <w:szCs w:val="16"/>
              </w:rPr>
              <w:t xml:space="preserve">10　</w:t>
            </w:r>
          </w:p>
        </w:tc>
      </w:tr>
      <w:tr w:rsidR="00093239" w:rsidTr="007B0C3B">
        <w:trPr>
          <w:trHeight w:val="600"/>
          <w:jc w:val="center"/>
        </w:trPr>
        <w:tc>
          <w:tcPr>
            <w:tcW w:w="10988" w:type="dxa"/>
            <w:gridSpan w:val="12"/>
            <w:tcBorders>
              <w:top w:val="single" w:sz="4" w:space="0" w:color="auto"/>
              <w:left w:val="single" w:sz="4" w:space="0" w:color="auto"/>
              <w:bottom w:val="single" w:sz="4" w:space="0" w:color="auto"/>
              <w:right w:val="single" w:sz="4" w:space="0" w:color="auto"/>
            </w:tcBorders>
            <w:vAlign w:val="center"/>
          </w:tcPr>
          <w:p w:rsidR="00093239" w:rsidRDefault="00093239" w:rsidP="007B0C3B">
            <w:pPr>
              <w:widowControl/>
              <w:jc w:val="center"/>
              <w:rPr>
                <w:rFonts w:ascii="微软雅黑" w:eastAsia="微软雅黑" w:hAnsi="微软雅黑" w:cs="宋体"/>
                <w:b/>
                <w:bCs/>
                <w:color w:val="808080"/>
                <w:kern w:val="0"/>
                <w:sz w:val="28"/>
                <w:szCs w:val="28"/>
              </w:rPr>
            </w:pPr>
            <w:r>
              <w:rPr>
                <w:rFonts w:ascii="微软雅黑" w:eastAsia="微软雅黑" w:hAnsi="微软雅黑" w:cs="宋体" w:hint="eastAsia"/>
                <w:b/>
                <w:bCs/>
                <w:color w:val="808080"/>
                <w:kern w:val="0"/>
                <w:szCs w:val="28"/>
              </w:rPr>
              <w:t>绩效目标</w:t>
            </w:r>
          </w:p>
        </w:tc>
      </w:tr>
      <w:tr w:rsidR="00093239" w:rsidTr="007B0C3B">
        <w:trPr>
          <w:trHeight w:val="499"/>
          <w:jc w:val="center"/>
        </w:trPr>
        <w:tc>
          <w:tcPr>
            <w:tcW w:w="3671" w:type="dxa"/>
            <w:gridSpan w:val="4"/>
            <w:tcBorders>
              <w:top w:val="single" w:sz="4" w:space="0" w:color="auto"/>
              <w:left w:val="single" w:sz="4" w:space="0" w:color="auto"/>
              <w:bottom w:val="single" w:sz="4" w:space="0" w:color="auto"/>
              <w:right w:val="single" w:sz="4" w:space="0" w:color="auto"/>
            </w:tcBorders>
            <w:vAlign w:val="center"/>
          </w:tcPr>
          <w:p w:rsidR="00093239" w:rsidRDefault="00093239" w:rsidP="007B0C3B">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3643" w:type="dxa"/>
            <w:gridSpan w:val="4"/>
            <w:tcBorders>
              <w:top w:val="single" w:sz="4" w:space="0" w:color="auto"/>
              <w:left w:val="nil"/>
              <w:bottom w:val="single" w:sz="4" w:space="0" w:color="auto"/>
              <w:right w:val="single" w:sz="4" w:space="0" w:color="auto"/>
            </w:tcBorders>
            <w:vAlign w:val="center"/>
          </w:tcPr>
          <w:p w:rsidR="00093239" w:rsidRDefault="00093239" w:rsidP="007B0C3B">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3674" w:type="dxa"/>
            <w:gridSpan w:val="4"/>
            <w:tcBorders>
              <w:top w:val="single" w:sz="4" w:space="0" w:color="auto"/>
              <w:left w:val="nil"/>
              <w:bottom w:val="single" w:sz="4" w:space="0" w:color="auto"/>
              <w:right w:val="single" w:sz="4" w:space="0" w:color="auto"/>
            </w:tcBorders>
            <w:vAlign w:val="center"/>
          </w:tcPr>
          <w:p w:rsidR="00093239" w:rsidRDefault="00093239" w:rsidP="007B0C3B">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93239" w:rsidTr="007B0C3B">
        <w:trPr>
          <w:trHeight w:val="537"/>
          <w:jc w:val="center"/>
        </w:trPr>
        <w:tc>
          <w:tcPr>
            <w:tcW w:w="3671" w:type="dxa"/>
            <w:gridSpan w:val="4"/>
            <w:tcBorders>
              <w:top w:val="single" w:sz="4" w:space="0" w:color="auto"/>
              <w:left w:val="single" w:sz="4" w:space="0" w:color="auto"/>
              <w:bottom w:val="single" w:sz="4" w:space="0" w:color="auto"/>
              <w:right w:val="single" w:sz="4" w:space="0" w:color="auto"/>
            </w:tcBorders>
          </w:tcPr>
          <w:p w:rsidR="00093239" w:rsidRDefault="00093239" w:rsidP="007B0C3B">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643" w:type="dxa"/>
            <w:gridSpan w:val="4"/>
            <w:tcBorders>
              <w:top w:val="single" w:sz="4" w:space="0" w:color="auto"/>
              <w:left w:val="nil"/>
              <w:bottom w:val="single" w:sz="4" w:space="0" w:color="auto"/>
              <w:right w:val="single" w:sz="4" w:space="0" w:color="auto"/>
            </w:tcBorders>
          </w:tcPr>
          <w:p w:rsidR="00093239" w:rsidRDefault="00093239" w:rsidP="007B0C3B">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落实国家级公益林管护面积52.3万亩</w:t>
            </w:r>
          </w:p>
        </w:tc>
        <w:tc>
          <w:tcPr>
            <w:tcW w:w="3674" w:type="dxa"/>
            <w:gridSpan w:val="4"/>
            <w:tcBorders>
              <w:top w:val="single" w:sz="4" w:space="0" w:color="auto"/>
              <w:left w:val="nil"/>
              <w:bottom w:val="single" w:sz="4" w:space="0" w:color="auto"/>
              <w:right w:val="single" w:sz="4" w:space="0" w:color="auto"/>
            </w:tcBorders>
          </w:tcPr>
          <w:p w:rsidR="00093239" w:rsidRDefault="00093239" w:rsidP="007B0C3B">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落实国家级公益林管护面积52.3万亩</w:t>
            </w:r>
          </w:p>
        </w:tc>
      </w:tr>
      <w:tr w:rsidR="00093239" w:rsidTr="007B0C3B">
        <w:trPr>
          <w:trHeight w:val="600"/>
          <w:jc w:val="center"/>
        </w:trPr>
        <w:tc>
          <w:tcPr>
            <w:tcW w:w="10988" w:type="dxa"/>
            <w:gridSpan w:val="12"/>
            <w:tcBorders>
              <w:top w:val="single" w:sz="4" w:space="0" w:color="auto"/>
              <w:left w:val="single" w:sz="4" w:space="0" w:color="auto"/>
              <w:bottom w:val="single" w:sz="4" w:space="0" w:color="auto"/>
              <w:right w:val="single" w:sz="4" w:space="0" w:color="auto"/>
            </w:tcBorders>
            <w:vAlign w:val="center"/>
          </w:tcPr>
          <w:p w:rsidR="00093239" w:rsidRDefault="00093239" w:rsidP="007B0C3B">
            <w:pPr>
              <w:widowControl/>
              <w:jc w:val="center"/>
              <w:rPr>
                <w:rFonts w:ascii="微软雅黑" w:eastAsia="微软雅黑" w:hAnsi="微软雅黑" w:cs="宋体"/>
                <w:b/>
                <w:bCs/>
                <w:color w:val="808080"/>
                <w:kern w:val="0"/>
                <w:sz w:val="28"/>
                <w:szCs w:val="28"/>
              </w:rPr>
            </w:pPr>
            <w:r>
              <w:rPr>
                <w:rFonts w:ascii="微软雅黑" w:eastAsia="微软雅黑" w:hAnsi="微软雅黑" w:cs="宋体" w:hint="eastAsia"/>
                <w:b/>
                <w:bCs/>
                <w:color w:val="808080"/>
                <w:kern w:val="0"/>
                <w:szCs w:val="28"/>
              </w:rPr>
              <w:t>绩效指标</w:t>
            </w:r>
          </w:p>
        </w:tc>
      </w:tr>
      <w:tr w:rsidR="00093239" w:rsidTr="007B0C3B">
        <w:trPr>
          <w:trHeight w:val="499"/>
          <w:jc w:val="center"/>
        </w:trPr>
        <w:tc>
          <w:tcPr>
            <w:tcW w:w="1271" w:type="dxa"/>
            <w:tcBorders>
              <w:top w:val="nil"/>
              <w:left w:val="single" w:sz="4" w:space="0" w:color="auto"/>
              <w:bottom w:val="single" w:sz="4" w:space="0" w:color="auto"/>
              <w:right w:val="single" w:sz="4" w:space="0" w:color="auto"/>
            </w:tcBorders>
            <w:vAlign w:val="center"/>
          </w:tcPr>
          <w:p w:rsidR="00093239" w:rsidRDefault="00093239" w:rsidP="007B0C3B">
            <w:pPr>
              <w:widowControl/>
              <w:jc w:val="center"/>
              <w:rPr>
                <w:rFonts w:ascii="宋体" w:hAnsi="宋体" w:cs="宋体"/>
                <w:b/>
                <w:bCs/>
                <w:color w:val="000000"/>
                <w:kern w:val="0"/>
                <w:sz w:val="16"/>
              </w:rPr>
            </w:pPr>
            <w:r>
              <w:rPr>
                <w:rFonts w:ascii="宋体" w:hAnsi="宋体" w:cs="宋体" w:hint="eastAsia"/>
                <w:b/>
                <w:bCs/>
                <w:color w:val="000000"/>
                <w:kern w:val="0"/>
                <w:sz w:val="16"/>
              </w:rPr>
              <w:t>指标</w:t>
            </w:r>
          </w:p>
          <w:p w:rsidR="00093239" w:rsidRDefault="00093239" w:rsidP="007B0C3B">
            <w:pPr>
              <w:widowControl/>
              <w:jc w:val="center"/>
              <w:rPr>
                <w:rFonts w:ascii="宋体" w:hAnsi="宋体" w:cs="宋体"/>
                <w:b/>
                <w:bCs/>
                <w:color w:val="000000"/>
                <w:kern w:val="0"/>
                <w:sz w:val="16"/>
              </w:rPr>
            </w:pPr>
            <w:r>
              <w:rPr>
                <w:rFonts w:ascii="宋体" w:hAnsi="宋体" w:cs="宋体" w:hint="eastAsia"/>
                <w:b/>
                <w:bCs/>
                <w:color w:val="000000"/>
                <w:kern w:val="0"/>
                <w:sz w:val="16"/>
              </w:rPr>
              <w:t>名称</w:t>
            </w:r>
          </w:p>
        </w:tc>
        <w:tc>
          <w:tcPr>
            <w:tcW w:w="565" w:type="dxa"/>
            <w:tcBorders>
              <w:top w:val="nil"/>
              <w:left w:val="nil"/>
              <w:bottom w:val="single" w:sz="4" w:space="0" w:color="auto"/>
              <w:right w:val="single" w:sz="4" w:space="0" w:color="auto"/>
            </w:tcBorders>
            <w:vAlign w:val="center"/>
          </w:tcPr>
          <w:p w:rsidR="00093239" w:rsidRDefault="00093239" w:rsidP="007B0C3B">
            <w:pPr>
              <w:widowControl/>
              <w:jc w:val="center"/>
              <w:rPr>
                <w:rFonts w:ascii="宋体" w:hAnsi="宋体" w:cs="宋体"/>
                <w:b/>
                <w:bCs/>
                <w:color w:val="000000"/>
                <w:kern w:val="0"/>
                <w:sz w:val="16"/>
              </w:rPr>
            </w:pPr>
            <w:r>
              <w:rPr>
                <w:rFonts w:ascii="宋体" w:hAnsi="宋体" w:cs="宋体" w:hint="eastAsia"/>
                <w:b/>
                <w:bCs/>
                <w:color w:val="000000"/>
                <w:kern w:val="0"/>
                <w:sz w:val="16"/>
              </w:rPr>
              <w:t>计量单位</w:t>
            </w:r>
          </w:p>
        </w:tc>
        <w:tc>
          <w:tcPr>
            <w:tcW w:w="847" w:type="dxa"/>
            <w:tcBorders>
              <w:top w:val="nil"/>
              <w:left w:val="nil"/>
              <w:bottom w:val="single" w:sz="4" w:space="0" w:color="auto"/>
              <w:right w:val="single" w:sz="4" w:space="0" w:color="auto"/>
            </w:tcBorders>
            <w:vAlign w:val="center"/>
          </w:tcPr>
          <w:p w:rsidR="00093239" w:rsidRDefault="00093239" w:rsidP="007B0C3B">
            <w:pPr>
              <w:widowControl/>
              <w:jc w:val="center"/>
              <w:rPr>
                <w:rFonts w:ascii="宋体" w:hAnsi="宋体" w:cs="宋体"/>
                <w:b/>
                <w:bCs/>
                <w:color w:val="000000"/>
                <w:kern w:val="0"/>
                <w:sz w:val="16"/>
              </w:rPr>
            </w:pPr>
            <w:r>
              <w:rPr>
                <w:rFonts w:ascii="宋体" w:hAnsi="宋体" w:cs="宋体" w:hint="eastAsia"/>
                <w:b/>
                <w:bCs/>
                <w:color w:val="000000"/>
                <w:kern w:val="0"/>
                <w:sz w:val="16"/>
              </w:rPr>
              <w:t>指标</w:t>
            </w:r>
          </w:p>
          <w:p w:rsidR="00093239" w:rsidRDefault="00093239" w:rsidP="007B0C3B">
            <w:pPr>
              <w:widowControl/>
              <w:jc w:val="center"/>
              <w:rPr>
                <w:rFonts w:ascii="宋体" w:hAnsi="宋体" w:cs="宋体"/>
                <w:b/>
                <w:bCs/>
                <w:color w:val="000000"/>
                <w:kern w:val="0"/>
                <w:sz w:val="16"/>
              </w:rPr>
            </w:pPr>
            <w:r>
              <w:rPr>
                <w:rFonts w:ascii="宋体" w:hAnsi="宋体" w:cs="宋体" w:hint="eastAsia"/>
                <w:b/>
                <w:bCs/>
                <w:color w:val="000000"/>
                <w:kern w:val="0"/>
                <w:sz w:val="16"/>
              </w:rPr>
              <w:t>性质</w:t>
            </w:r>
          </w:p>
        </w:tc>
        <w:tc>
          <w:tcPr>
            <w:tcW w:w="988" w:type="dxa"/>
            <w:tcBorders>
              <w:top w:val="nil"/>
              <w:left w:val="nil"/>
              <w:bottom w:val="single" w:sz="4" w:space="0" w:color="auto"/>
              <w:right w:val="single" w:sz="4" w:space="0" w:color="auto"/>
            </w:tcBorders>
            <w:vAlign w:val="center"/>
          </w:tcPr>
          <w:p w:rsidR="00093239" w:rsidRDefault="00093239" w:rsidP="007B0C3B">
            <w:pPr>
              <w:widowControl/>
              <w:jc w:val="center"/>
              <w:rPr>
                <w:rFonts w:ascii="宋体" w:hAnsi="宋体" w:cs="宋体"/>
                <w:b/>
                <w:bCs/>
                <w:color w:val="000000"/>
                <w:kern w:val="0"/>
                <w:sz w:val="16"/>
              </w:rPr>
            </w:pPr>
            <w:r>
              <w:rPr>
                <w:rFonts w:ascii="宋体" w:hAnsi="宋体" w:cs="宋体" w:hint="eastAsia"/>
                <w:b/>
                <w:bCs/>
                <w:color w:val="000000"/>
                <w:kern w:val="0"/>
                <w:sz w:val="16"/>
              </w:rPr>
              <w:t>指标值</w:t>
            </w:r>
          </w:p>
        </w:tc>
        <w:tc>
          <w:tcPr>
            <w:tcW w:w="1034" w:type="dxa"/>
            <w:tcBorders>
              <w:top w:val="nil"/>
              <w:left w:val="nil"/>
              <w:bottom w:val="single" w:sz="4" w:space="0" w:color="auto"/>
              <w:right w:val="single" w:sz="4" w:space="0" w:color="auto"/>
            </w:tcBorders>
            <w:vAlign w:val="center"/>
          </w:tcPr>
          <w:p w:rsidR="00093239" w:rsidRDefault="00093239" w:rsidP="007B0C3B">
            <w:pPr>
              <w:widowControl/>
              <w:jc w:val="center"/>
              <w:rPr>
                <w:rFonts w:ascii="宋体" w:hAnsi="宋体" w:cs="宋体"/>
                <w:b/>
                <w:bCs/>
                <w:color w:val="000000"/>
                <w:kern w:val="0"/>
                <w:sz w:val="16"/>
              </w:rPr>
            </w:pPr>
            <w:r>
              <w:rPr>
                <w:rFonts w:ascii="宋体" w:hAnsi="宋体" w:cs="宋体" w:hint="eastAsia"/>
                <w:b/>
                <w:bCs/>
                <w:color w:val="000000"/>
                <w:kern w:val="0"/>
                <w:sz w:val="16"/>
              </w:rPr>
              <w:t>全年完成值</w:t>
            </w:r>
          </w:p>
        </w:tc>
        <w:tc>
          <w:tcPr>
            <w:tcW w:w="862" w:type="dxa"/>
            <w:tcBorders>
              <w:top w:val="nil"/>
              <w:left w:val="nil"/>
              <w:bottom w:val="single" w:sz="4" w:space="0" w:color="auto"/>
              <w:right w:val="single" w:sz="4" w:space="0" w:color="auto"/>
            </w:tcBorders>
            <w:vAlign w:val="center"/>
          </w:tcPr>
          <w:p w:rsidR="00093239" w:rsidRDefault="00093239" w:rsidP="007B0C3B">
            <w:pPr>
              <w:widowControl/>
              <w:jc w:val="center"/>
              <w:rPr>
                <w:rFonts w:ascii="宋体" w:hAnsi="宋体" w:cs="宋体"/>
                <w:b/>
                <w:bCs/>
                <w:color w:val="000000"/>
                <w:kern w:val="0"/>
                <w:sz w:val="16"/>
              </w:rPr>
            </w:pPr>
            <w:r>
              <w:rPr>
                <w:rFonts w:ascii="宋体" w:hAnsi="宋体" w:cs="宋体" w:hint="eastAsia"/>
                <w:b/>
                <w:bCs/>
                <w:color w:val="000000"/>
                <w:kern w:val="0"/>
                <w:sz w:val="16"/>
              </w:rPr>
              <w:t>偏离度（%）</w:t>
            </w:r>
          </w:p>
        </w:tc>
        <w:tc>
          <w:tcPr>
            <w:tcW w:w="1040" w:type="dxa"/>
            <w:tcBorders>
              <w:top w:val="nil"/>
              <w:left w:val="nil"/>
              <w:bottom w:val="single" w:sz="4" w:space="0" w:color="auto"/>
              <w:right w:val="single" w:sz="4" w:space="0" w:color="auto"/>
            </w:tcBorders>
            <w:vAlign w:val="center"/>
          </w:tcPr>
          <w:p w:rsidR="00093239" w:rsidRDefault="00093239" w:rsidP="007B0C3B">
            <w:pPr>
              <w:widowControl/>
              <w:jc w:val="center"/>
              <w:rPr>
                <w:rFonts w:ascii="宋体" w:hAnsi="宋体" w:cs="宋体"/>
                <w:b/>
                <w:bCs/>
                <w:color w:val="000000"/>
                <w:kern w:val="0"/>
                <w:sz w:val="16"/>
              </w:rPr>
            </w:pPr>
            <w:r>
              <w:rPr>
                <w:rFonts w:ascii="宋体" w:hAnsi="宋体" w:cs="宋体" w:hint="eastAsia"/>
                <w:b/>
                <w:bCs/>
                <w:color w:val="000000"/>
                <w:kern w:val="0"/>
                <w:sz w:val="16"/>
              </w:rPr>
              <w:t>得分系数（%）</w:t>
            </w:r>
          </w:p>
        </w:tc>
        <w:tc>
          <w:tcPr>
            <w:tcW w:w="707" w:type="dxa"/>
            <w:tcBorders>
              <w:top w:val="nil"/>
              <w:left w:val="nil"/>
              <w:bottom w:val="single" w:sz="4" w:space="0" w:color="auto"/>
              <w:right w:val="single" w:sz="4" w:space="0" w:color="auto"/>
            </w:tcBorders>
            <w:vAlign w:val="center"/>
          </w:tcPr>
          <w:p w:rsidR="00093239" w:rsidRDefault="00093239" w:rsidP="007B0C3B">
            <w:pPr>
              <w:widowControl/>
              <w:jc w:val="center"/>
              <w:rPr>
                <w:rFonts w:ascii="宋体" w:hAnsi="宋体" w:cs="宋体"/>
                <w:b/>
                <w:bCs/>
                <w:color w:val="000000"/>
                <w:kern w:val="0"/>
                <w:sz w:val="16"/>
              </w:rPr>
            </w:pPr>
            <w:r>
              <w:rPr>
                <w:rFonts w:ascii="宋体" w:hAnsi="宋体" w:cs="宋体" w:hint="eastAsia"/>
                <w:b/>
                <w:bCs/>
                <w:color w:val="000000"/>
                <w:kern w:val="0"/>
                <w:sz w:val="16"/>
              </w:rPr>
              <w:t>指标</w:t>
            </w:r>
          </w:p>
          <w:p w:rsidR="00093239" w:rsidRDefault="00093239" w:rsidP="007B0C3B">
            <w:pPr>
              <w:widowControl/>
              <w:jc w:val="center"/>
              <w:rPr>
                <w:rFonts w:ascii="宋体" w:hAnsi="宋体" w:cs="宋体"/>
                <w:b/>
                <w:bCs/>
                <w:color w:val="000000"/>
                <w:kern w:val="0"/>
                <w:sz w:val="16"/>
              </w:rPr>
            </w:pPr>
            <w:r>
              <w:rPr>
                <w:rFonts w:ascii="宋体" w:hAnsi="宋体" w:cs="宋体" w:hint="eastAsia"/>
                <w:b/>
                <w:bCs/>
                <w:color w:val="000000"/>
                <w:kern w:val="0"/>
                <w:sz w:val="16"/>
              </w:rPr>
              <w:t>权重</w:t>
            </w:r>
          </w:p>
        </w:tc>
        <w:tc>
          <w:tcPr>
            <w:tcW w:w="797" w:type="dxa"/>
            <w:tcBorders>
              <w:top w:val="nil"/>
              <w:left w:val="nil"/>
              <w:bottom w:val="single" w:sz="4" w:space="0" w:color="auto"/>
              <w:right w:val="single" w:sz="4" w:space="0" w:color="auto"/>
            </w:tcBorders>
            <w:vAlign w:val="center"/>
          </w:tcPr>
          <w:p w:rsidR="00093239" w:rsidRDefault="00093239" w:rsidP="007B0C3B">
            <w:pPr>
              <w:widowControl/>
              <w:jc w:val="center"/>
              <w:rPr>
                <w:rFonts w:ascii="宋体" w:hAnsi="宋体" w:cs="宋体"/>
                <w:b/>
                <w:bCs/>
                <w:color w:val="000000"/>
                <w:kern w:val="0"/>
                <w:sz w:val="16"/>
              </w:rPr>
            </w:pPr>
            <w:r>
              <w:rPr>
                <w:rFonts w:ascii="宋体" w:hAnsi="宋体" w:cs="宋体" w:hint="eastAsia"/>
                <w:b/>
                <w:bCs/>
                <w:color w:val="000000"/>
                <w:kern w:val="0"/>
                <w:sz w:val="16"/>
              </w:rPr>
              <w:t>指标</w:t>
            </w:r>
          </w:p>
          <w:p w:rsidR="00093239" w:rsidRDefault="00093239" w:rsidP="007B0C3B">
            <w:pPr>
              <w:widowControl/>
              <w:jc w:val="center"/>
              <w:rPr>
                <w:rFonts w:ascii="宋体" w:hAnsi="宋体" w:cs="宋体"/>
                <w:b/>
                <w:bCs/>
                <w:color w:val="000000"/>
                <w:kern w:val="0"/>
                <w:sz w:val="16"/>
              </w:rPr>
            </w:pPr>
            <w:r>
              <w:rPr>
                <w:rFonts w:ascii="宋体" w:hAnsi="宋体" w:cs="宋体" w:hint="eastAsia"/>
                <w:b/>
                <w:bCs/>
                <w:color w:val="000000"/>
                <w:kern w:val="0"/>
                <w:sz w:val="16"/>
              </w:rPr>
              <w:t>得分</w:t>
            </w:r>
          </w:p>
        </w:tc>
        <w:tc>
          <w:tcPr>
            <w:tcW w:w="989" w:type="dxa"/>
            <w:tcBorders>
              <w:top w:val="nil"/>
              <w:left w:val="nil"/>
              <w:bottom w:val="single" w:sz="4" w:space="0" w:color="auto"/>
              <w:right w:val="single" w:sz="4" w:space="0" w:color="auto"/>
            </w:tcBorders>
            <w:vAlign w:val="center"/>
          </w:tcPr>
          <w:p w:rsidR="00093239" w:rsidRDefault="00093239" w:rsidP="007B0C3B">
            <w:pPr>
              <w:widowControl/>
              <w:jc w:val="center"/>
              <w:rPr>
                <w:rFonts w:ascii="宋体" w:hAnsi="宋体" w:cs="宋体"/>
                <w:b/>
                <w:bCs/>
                <w:color w:val="000000"/>
                <w:kern w:val="0"/>
                <w:sz w:val="16"/>
              </w:rPr>
            </w:pPr>
            <w:r>
              <w:rPr>
                <w:rFonts w:ascii="宋体" w:hAnsi="宋体" w:cs="宋体" w:hint="eastAsia"/>
                <w:b/>
                <w:bCs/>
                <w:color w:val="000000"/>
                <w:kern w:val="0"/>
                <w:sz w:val="16"/>
              </w:rPr>
              <w:t>是否核心指标</w:t>
            </w:r>
          </w:p>
        </w:tc>
        <w:tc>
          <w:tcPr>
            <w:tcW w:w="1888" w:type="dxa"/>
            <w:gridSpan w:val="2"/>
            <w:tcBorders>
              <w:top w:val="single" w:sz="4" w:space="0" w:color="auto"/>
              <w:left w:val="nil"/>
              <w:bottom w:val="single" w:sz="4" w:space="0" w:color="auto"/>
              <w:right w:val="single" w:sz="4" w:space="0" w:color="000000"/>
            </w:tcBorders>
            <w:vAlign w:val="center"/>
          </w:tcPr>
          <w:p w:rsidR="00093239" w:rsidRDefault="00093239" w:rsidP="007B0C3B">
            <w:pPr>
              <w:widowControl/>
              <w:jc w:val="center"/>
              <w:rPr>
                <w:rFonts w:ascii="宋体" w:hAnsi="宋体" w:cs="宋体"/>
                <w:b/>
                <w:bCs/>
                <w:color w:val="000000"/>
                <w:kern w:val="0"/>
                <w:sz w:val="16"/>
              </w:rPr>
            </w:pPr>
            <w:r>
              <w:rPr>
                <w:rFonts w:ascii="宋体" w:hAnsi="宋体" w:cs="宋体" w:hint="eastAsia"/>
                <w:b/>
                <w:bCs/>
                <w:color w:val="000000"/>
                <w:kern w:val="0"/>
                <w:sz w:val="16"/>
              </w:rPr>
              <w:t>说明</w:t>
            </w:r>
          </w:p>
        </w:tc>
      </w:tr>
      <w:tr w:rsidR="00093239" w:rsidTr="007B0C3B">
        <w:trPr>
          <w:trHeight w:val="777"/>
          <w:jc w:val="center"/>
        </w:trPr>
        <w:tc>
          <w:tcPr>
            <w:tcW w:w="1271" w:type="dxa"/>
            <w:tcBorders>
              <w:top w:val="nil"/>
              <w:left w:val="single" w:sz="4" w:space="0" w:color="auto"/>
              <w:bottom w:val="single" w:sz="4" w:space="0" w:color="auto"/>
              <w:right w:val="single" w:sz="4" w:space="0" w:color="auto"/>
            </w:tcBorders>
            <w:vAlign w:val="center"/>
          </w:tcPr>
          <w:p w:rsidR="00093239" w:rsidRDefault="00093239" w:rsidP="007B0C3B">
            <w:pPr>
              <w:rPr>
                <w:rFonts w:ascii="宋体" w:hAnsi="宋体" w:cs="宋体"/>
                <w:color w:val="000000"/>
                <w:sz w:val="16"/>
                <w:szCs w:val="16"/>
              </w:rPr>
            </w:pPr>
            <w:r>
              <w:rPr>
                <w:rFonts w:hint="eastAsia"/>
                <w:color w:val="000000"/>
                <w:sz w:val="16"/>
                <w:szCs w:val="16"/>
              </w:rPr>
              <w:t>落实国家级公益林管护面积</w:t>
            </w:r>
          </w:p>
        </w:tc>
        <w:tc>
          <w:tcPr>
            <w:tcW w:w="565"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万亩</w:t>
            </w:r>
          </w:p>
        </w:tc>
        <w:tc>
          <w:tcPr>
            <w:tcW w:w="847"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w:t>
            </w:r>
          </w:p>
        </w:tc>
        <w:tc>
          <w:tcPr>
            <w:tcW w:w="988"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52.3</w:t>
            </w:r>
          </w:p>
        </w:tc>
        <w:tc>
          <w:tcPr>
            <w:tcW w:w="1034"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52.3</w:t>
            </w:r>
          </w:p>
        </w:tc>
        <w:tc>
          <w:tcPr>
            <w:tcW w:w="862"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0</w:t>
            </w:r>
          </w:p>
        </w:tc>
        <w:tc>
          <w:tcPr>
            <w:tcW w:w="1040"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100</w:t>
            </w:r>
          </w:p>
        </w:tc>
        <w:tc>
          <w:tcPr>
            <w:tcW w:w="707"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10</w:t>
            </w:r>
          </w:p>
        </w:tc>
        <w:tc>
          <w:tcPr>
            <w:tcW w:w="797"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10</w:t>
            </w:r>
          </w:p>
        </w:tc>
        <w:tc>
          <w:tcPr>
            <w:tcW w:w="989"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是</w:t>
            </w:r>
          </w:p>
        </w:tc>
        <w:tc>
          <w:tcPr>
            <w:tcW w:w="1888" w:type="dxa"/>
            <w:gridSpan w:val="2"/>
            <w:tcBorders>
              <w:top w:val="single" w:sz="4" w:space="0" w:color="auto"/>
              <w:left w:val="nil"/>
              <w:bottom w:val="single" w:sz="4" w:space="0" w:color="auto"/>
              <w:right w:val="single" w:sz="4" w:space="0" w:color="000000"/>
            </w:tcBorders>
            <w:vAlign w:val="center"/>
          </w:tcPr>
          <w:p w:rsidR="00093239" w:rsidRDefault="00093239" w:rsidP="007B0C3B">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落实国家级公益林管护面积52.3万亩</w:t>
            </w:r>
          </w:p>
        </w:tc>
      </w:tr>
      <w:tr w:rsidR="00093239" w:rsidTr="007B0C3B">
        <w:trPr>
          <w:trHeight w:val="499"/>
          <w:jc w:val="center"/>
        </w:trPr>
        <w:tc>
          <w:tcPr>
            <w:tcW w:w="1271" w:type="dxa"/>
            <w:tcBorders>
              <w:top w:val="nil"/>
              <w:left w:val="single" w:sz="4" w:space="0" w:color="auto"/>
              <w:bottom w:val="single" w:sz="4" w:space="0" w:color="auto"/>
              <w:right w:val="single" w:sz="4" w:space="0" w:color="auto"/>
            </w:tcBorders>
            <w:vAlign w:val="center"/>
          </w:tcPr>
          <w:p w:rsidR="00093239" w:rsidRDefault="00093239" w:rsidP="007B0C3B">
            <w:pPr>
              <w:rPr>
                <w:rFonts w:ascii="宋体" w:hAnsi="宋体" w:cs="宋体"/>
                <w:color w:val="000000"/>
                <w:sz w:val="16"/>
                <w:szCs w:val="16"/>
              </w:rPr>
            </w:pPr>
            <w:r>
              <w:rPr>
                <w:rFonts w:hint="eastAsia"/>
                <w:color w:val="000000"/>
                <w:sz w:val="16"/>
                <w:szCs w:val="16"/>
              </w:rPr>
              <w:t>补助资金兑现率</w:t>
            </w:r>
          </w:p>
        </w:tc>
        <w:tc>
          <w:tcPr>
            <w:tcW w:w="565"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w:t>
            </w:r>
          </w:p>
        </w:tc>
        <w:tc>
          <w:tcPr>
            <w:tcW w:w="847"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w:t>
            </w:r>
          </w:p>
        </w:tc>
        <w:tc>
          <w:tcPr>
            <w:tcW w:w="988"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99</w:t>
            </w:r>
          </w:p>
        </w:tc>
        <w:tc>
          <w:tcPr>
            <w:tcW w:w="1034"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99</w:t>
            </w:r>
          </w:p>
        </w:tc>
        <w:tc>
          <w:tcPr>
            <w:tcW w:w="862"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0</w:t>
            </w:r>
          </w:p>
        </w:tc>
        <w:tc>
          <w:tcPr>
            <w:tcW w:w="1040"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100</w:t>
            </w:r>
          </w:p>
        </w:tc>
        <w:tc>
          <w:tcPr>
            <w:tcW w:w="707"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10</w:t>
            </w:r>
          </w:p>
        </w:tc>
        <w:tc>
          <w:tcPr>
            <w:tcW w:w="797"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10</w:t>
            </w:r>
          </w:p>
        </w:tc>
        <w:tc>
          <w:tcPr>
            <w:tcW w:w="989"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是</w:t>
            </w:r>
          </w:p>
        </w:tc>
        <w:tc>
          <w:tcPr>
            <w:tcW w:w="1888" w:type="dxa"/>
            <w:gridSpan w:val="2"/>
            <w:tcBorders>
              <w:top w:val="single" w:sz="4" w:space="0" w:color="auto"/>
              <w:left w:val="nil"/>
              <w:bottom w:val="single" w:sz="4" w:space="0" w:color="auto"/>
              <w:right w:val="single" w:sz="4" w:space="0" w:color="000000"/>
            </w:tcBorders>
            <w:vAlign w:val="center"/>
          </w:tcPr>
          <w:p w:rsidR="00093239" w:rsidRDefault="00093239" w:rsidP="007B0C3B">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93239" w:rsidTr="007B0C3B">
        <w:trPr>
          <w:trHeight w:val="472"/>
          <w:jc w:val="center"/>
        </w:trPr>
        <w:tc>
          <w:tcPr>
            <w:tcW w:w="1271" w:type="dxa"/>
            <w:tcBorders>
              <w:top w:val="nil"/>
              <w:left w:val="single" w:sz="4" w:space="0" w:color="auto"/>
              <w:bottom w:val="single" w:sz="4" w:space="0" w:color="auto"/>
              <w:right w:val="single" w:sz="4" w:space="0" w:color="auto"/>
            </w:tcBorders>
            <w:vAlign w:val="center"/>
          </w:tcPr>
          <w:p w:rsidR="00093239" w:rsidRDefault="00093239" w:rsidP="007B0C3B">
            <w:pPr>
              <w:rPr>
                <w:rFonts w:ascii="宋体" w:hAnsi="宋体" w:cs="宋体"/>
                <w:color w:val="000000"/>
                <w:sz w:val="16"/>
                <w:szCs w:val="16"/>
              </w:rPr>
            </w:pPr>
            <w:r>
              <w:rPr>
                <w:rFonts w:hint="eastAsia"/>
                <w:color w:val="000000"/>
                <w:sz w:val="16"/>
                <w:szCs w:val="16"/>
              </w:rPr>
              <w:t>森林资源管护合格率</w:t>
            </w:r>
          </w:p>
        </w:tc>
        <w:tc>
          <w:tcPr>
            <w:tcW w:w="565"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w:t>
            </w:r>
          </w:p>
        </w:tc>
        <w:tc>
          <w:tcPr>
            <w:tcW w:w="847"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w:t>
            </w:r>
          </w:p>
        </w:tc>
        <w:tc>
          <w:tcPr>
            <w:tcW w:w="988"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100</w:t>
            </w:r>
          </w:p>
        </w:tc>
        <w:tc>
          <w:tcPr>
            <w:tcW w:w="1034"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100</w:t>
            </w:r>
          </w:p>
        </w:tc>
        <w:tc>
          <w:tcPr>
            <w:tcW w:w="862"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0</w:t>
            </w:r>
          </w:p>
        </w:tc>
        <w:tc>
          <w:tcPr>
            <w:tcW w:w="1040"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100</w:t>
            </w:r>
          </w:p>
        </w:tc>
        <w:tc>
          <w:tcPr>
            <w:tcW w:w="707"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10</w:t>
            </w:r>
          </w:p>
        </w:tc>
        <w:tc>
          <w:tcPr>
            <w:tcW w:w="797"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10</w:t>
            </w:r>
          </w:p>
        </w:tc>
        <w:tc>
          <w:tcPr>
            <w:tcW w:w="989"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是</w:t>
            </w:r>
          </w:p>
        </w:tc>
        <w:tc>
          <w:tcPr>
            <w:tcW w:w="1888" w:type="dxa"/>
            <w:gridSpan w:val="2"/>
            <w:tcBorders>
              <w:top w:val="single" w:sz="4" w:space="0" w:color="auto"/>
              <w:left w:val="nil"/>
              <w:bottom w:val="single" w:sz="4" w:space="0" w:color="auto"/>
              <w:right w:val="single" w:sz="4" w:space="0" w:color="000000"/>
            </w:tcBorders>
            <w:vAlign w:val="center"/>
          </w:tcPr>
          <w:p w:rsidR="00093239" w:rsidRDefault="00093239" w:rsidP="007B0C3B">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93239" w:rsidTr="007B0C3B">
        <w:trPr>
          <w:trHeight w:val="499"/>
          <w:jc w:val="center"/>
        </w:trPr>
        <w:tc>
          <w:tcPr>
            <w:tcW w:w="1271" w:type="dxa"/>
            <w:tcBorders>
              <w:top w:val="nil"/>
              <w:left w:val="single" w:sz="4" w:space="0" w:color="auto"/>
              <w:bottom w:val="single" w:sz="4" w:space="0" w:color="auto"/>
              <w:right w:val="single" w:sz="4" w:space="0" w:color="auto"/>
            </w:tcBorders>
            <w:vAlign w:val="center"/>
          </w:tcPr>
          <w:p w:rsidR="00093239" w:rsidRDefault="00093239" w:rsidP="007B0C3B">
            <w:pPr>
              <w:rPr>
                <w:rFonts w:ascii="宋体" w:hAnsi="宋体" w:cs="宋体"/>
                <w:color w:val="000000"/>
                <w:sz w:val="16"/>
                <w:szCs w:val="16"/>
              </w:rPr>
            </w:pPr>
            <w:r>
              <w:rPr>
                <w:rFonts w:hint="eastAsia"/>
                <w:color w:val="000000"/>
                <w:sz w:val="16"/>
                <w:szCs w:val="16"/>
              </w:rPr>
              <w:t>补助资金及时发放率</w:t>
            </w:r>
          </w:p>
        </w:tc>
        <w:tc>
          <w:tcPr>
            <w:tcW w:w="565"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w:t>
            </w:r>
          </w:p>
        </w:tc>
        <w:tc>
          <w:tcPr>
            <w:tcW w:w="847"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w:t>
            </w:r>
          </w:p>
        </w:tc>
        <w:tc>
          <w:tcPr>
            <w:tcW w:w="988"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100</w:t>
            </w:r>
          </w:p>
        </w:tc>
        <w:tc>
          <w:tcPr>
            <w:tcW w:w="1034"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100</w:t>
            </w:r>
          </w:p>
        </w:tc>
        <w:tc>
          <w:tcPr>
            <w:tcW w:w="862"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0</w:t>
            </w:r>
          </w:p>
        </w:tc>
        <w:tc>
          <w:tcPr>
            <w:tcW w:w="1040"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100</w:t>
            </w:r>
          </w:p>
        </w:tc>
        <w:tc>
          <w:tcPr>
            <w:tcW w:w="707"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10</w:t>
            </w:r>
          </w:p>
        </w:tc>
        <w:tc>
          <w:tcPr>
            <w:tcW w:w="797"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10</w:t>
            </w:r>
          </w:p>
        </w:tc>
        <w:tc>
          <w:tcPr>
            <w:tcW w:w="989"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是</w:t>
            </w:r>
          </w:p>
        </w:tc>
        <w:tc>
          <w:tcPr>
            <w:tcW w:w="1888" w:type="dxa"/>
            <w:gridSpan w:val="2"/>
            <w:tcBorders>
              <w:top w:val="single" w:sz="4" w:space="0" w:color="auto"/>
              <w:left w:val="nil"/>
              <w:bottom w:val="single" w:sz="4" w:space="0" w:color="auto"/>
              <w:right w:val="single" w:sz="4" w:space="0" w:color="000000"/>
            </w:tcBorders>
            <w:vAlign w:val="center"/>
          </w:tcPr>
          <w:p w:rsidR="00093239" w:rsidRDefault="00093239" w:rsidP="007B0C3B">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93239" w:rsidTr="007B0C3B">
        <w:trPr>
          <w:trHeight w:val="499"/>
          <w:jc w:val="center"/>
        </w:trPr>
        <w:tc>
          <w:tcPr>
            <w:tcW w:w="1271" w:type="dxa"/>
            <w:tcBorders>
              <w:top w:val="nil"/>
              <w:left w:val="single" w:sz="4" w:space="0" w:color="auto"/>
              <w:bottom w:val="single" w:sz="4" w:space="0" w:color="auto"/>
              <w:right w:val="single" w:sz="4" w:space="0" w:color="auto"/>
            </w:tcBorders>
            <w:vAlign w:val="center"/>
          </w:tcPr>
          <w:p w:rsidR="00093239" w:rsidRDefault="00093239" w:rsidP="007B0C3B">
            <w:pPr>
              <w:rPr>
                <w:rFonts w:ascii="宋体" w:hAnsi="宋体" w:cs="宋体"/>
                <w:color w:val="000000"/>
                <w:sz w:val="16"/>
                <w:szCs w:val="16"/>
              </w:rPr>
            </w:pPr>
            <w:r>
              <w:rPr>
                <w:rFonts w:hint="eastAsia"/>
                <w:color w:val="000000"/>
                <w:sz w:val="16"/>
                <w:szCs w:val="16"/>
              </w:rPr>
              <w:t>管护当期任务完成率</w:t>
            </w:r>
          </w:p>
        </w:tc>
        <w:tc>
          <w:tcPr>
            <w:tcW w:w="565"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w:t>
            </w:r>
          </w:p>
        </w:tc>
        <w:tc>
          <w:tcPr>
            <w:tcW w:w="847"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w:t>
            </w:r>
          </w:p>
        </w:tc>
        <w:tc>
          <w:tcPr>
            <w:tcW w:w="988"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90</w:t>
            </w:r>
          </w:p>
        </w:tc>
        <w:tc>
          <w:tcPr>
            <w:tcW w:w="1034"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90</w:t>
            </w:r>
          </w:p>
        </w:tc>
        <w:tc>
          <w:tcPr>
            <w:tcW w:w="862"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0</w:t>
            </w:r>
          </w:p>
        </w:tc>
        <w:tc>
          <w:tcPr>
            <w:tcW w:w="1040"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100</w:t>
            </w:r>
          </w:p>
        </w:tc>
        <w:tc>
          <w:tcPr>
            <w:tcW w:w="707"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10</w:t>
            </w:r>
          </w:p>
        </w:tc>
        <w:tc>
          <w:tcPr>
            <w:tcW w:w="797"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10</w:t>
            </w:r>
          </w:p>
        </w:tc>
        <w:tc>
          <w:tcPr>
            <w:tcW w:w="989"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是</w:t>
            </w:r>
          </w:p>
        </w:tc>
        <w:tc>
          <w:tcPr>
            <w:tcW w:w="1888" w:type="dxa"/>
            <w:gridSpan w:val="2"/>
            <w:tcBorders>
              <w:top w:val="single" w:sz="4" w:space="0" w:color="auto"/>
              <w:left w:val="nil"/>
              <w:bottom w:val="single" w:sz="4" w:space="0" w:color="auto"/>
              <w:right w:val="single" w:sz="4" w:space="0" w:color="000000"/>
            </w:tcBorders>
            <w:vAlign w:val="center"/>
          </w:tcPr>
          <w:p w:rsidR="00093239" w:rsidRDefault="00093239" w:rsidP="007B0C3B">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93239" w:rsidTr="007B0C3B">
        <w:trPr>
          <w:trHeight w:val="499"/>
          <w:jc w:val="center"/>
        </w:trPr>
        <w:tc>
          <w:tcPr>
            <w:tcW w:w="1271" w:type="dxa"/>
            <w:tcBorders>
              <w:top w:val="nil"/>
              <w:left w:val="single" w:sz="4" w:space="0" w:color="auto"/>
              <w:bottom w:val="single" w:sz="4" w:space="0" w:color="auto"/>
              <w:right w:val="single" w:sz="4" w:space="0" w:color="auto"/>
            </w:tcBorders>
            <w:vAlign w:val="center"/>
          </w:tcPr>
          <w:p w:rsidR="00093239" w:rsidRDefault="00093239" w:rsidP="007B0C3B">
            <w:pPr>
              <w:rPr>
                <w:rFonts w:ascii="宋体" w:hAnsi="宋体" w:cs="宋体"/>
                <w:color w:val="000000"/>
                <w:sz w:val="16"/>
                <w:szCs w:val="16"/>
              </w:rPr>
            </w:pPr>
            <w:r>
              <w:rPr>
                <w:rFonts w:hint="eastAsia"/>
                <w:color w:val="000000"/>
                <w:sz w:val="16"/>
                <w:szCs w:val="16"/>
              </w:rPr>
              <w:t>国家级公益林管护财政补助标准</w:t>
            </w:r>
          </w:p>
        </w:tc>
        <w:tc>
          <w:tcPr>
            <w:tcW w:w="565"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元</w:t>
            </w:r>
            <w:r>
              <w:rPr>
                <w:rFonts w:hint="eastAsia"/>
                <w:color w:val="000000"/>
                <w:sz w:val="16"/>
                <w:szCs w:val="16"/>
              </w:rPr>
              <w:t>/</w:t>
            </w:r>
            <w:r>
              <w:rPr>
                <w:rFonts w:hint="eastAsia"/>
                <w:color w:val="000000"/>
                <w:sz w:val="16"/>
                <w:szCs w:val="16"/>
              </w:rPr>
              <w:t>亩</w:t>
            </w:r>
          </w:p>
        </w:tc>
        <w:tc>
          <w:tcPr>
            <w:tcW w:w="847"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w:t>
            </w:r>
          </w:p>
        </w:tc>
        <w:tc>
          <w:tcPr>
            <w:tcW w:w="988"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12.75</w:t>
            </w:r>
          </w:p>
        </w:tc>
        <w:tc>
          <w:tcPr>
            <w:tcW w:w="1034"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12.75</w:t>
            </w:r>
          </w:p>
        </w:tc>
        <w:tc>
          <w:tcPr>
            <w:tcW w:w="862"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0</w:t>
            </w:r>
          </w:p>
        </w:tc>
        <w:tc>
          <w:tcPr>
            <w:tcW w:w="1040"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100</w:t>
            </w:r>
          </w:p>
        </w:tc>
        <w:tc>
          <w:tcPr>
            <w:tcW w:w="707"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10</w:t>
            </w:r>
          </w:p>
        </w:tc>
        <w:tc>
          <w:tcPr>
            <w:tcW w:w="797"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10</w:t>
            </w:r>
          </w:p>
        </w:tc>
        <w:tc>
          <w:tcPr>
            <w:tcW w:w="989"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p>
        </w:tc>
        <w:tc>
          <w:tcPr>
            <w:tcW w:w="1888" w:type="dxa"/>
            <w:gridSpan w:val="2"/>
            <w:tcBorders>
              <w:top w:val="single" w:sz="4" w:space="0" w:color="auto"/>
              <w:left w:val="nil"/>
              <w:bottom w:val="single" w:sz="4" w:space="0" w:color="auto"/>
              <w:right w:val="single" w:sz="4" w:space="0" w:color="000000"/>
            </w:tcBorders>
            <w:vAlign w:val="center"/>
          </w:tcPr>
          <w:p w:rsidR="00093239" w:rsidRDefault="00093239" w:rsidP="007B0C3B">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93239" w:rsidTr="007B0C3B">
        <w:trPr>
          <w:trHeight w:val="499"/>
          <w:jc w:val="center"/>
        </w:trPr>
        <w:tc>
          <w:tcPr>
            <w:tcW w:w="1271" w:type="dxa"/>
            <w:tcBorders>
              <w:top w:val="nil"/>
              <w:left w:val="single" w:sz="4" w:space="0" w:color="auto"/>
              <w:bottom w:val="single" w:sz="4" w:space="0" w:color="auto"/>
              <w:right w:val="single" w:sz="4" w:space="0" w:color="auto"/>
            </w:tcBorders>
            <w:vAlign w:val="center"/>
          </w:tcPr>
          <w:p w:rsidR="00093239" w:rsidRDefault="00093239" w:rsidP="007B0C3B">
            <w:pPr>
              <w:rPr>
                <w:rFonts w:ascii="宋体" w:hAnsi="宋体" w:cs="宋体"/>
                <w:color w:val="000000"/>
                <w:sz w:val="16"/>
                <w:szCs w:val="16"/>
              </w:rPr>
            </w:pPr>
            <w:r>
              <w:rPr>
                <w:rFonts w:hint="eastAsia"/>
                <w:color w:val="000000"/>
                <w:sz w:val="16"/>
                <w:szCs w:val="16"/>
              </w:rPr>
              <w:t>森林生态系统生态效益发挥</w:t>
            </w:r>
          </w:p>
        </w:tc>
        <w:tc>
          <w:tcPr>
            <w:tcW w:w="565"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 xml:space="preserve">　</w:t>
            </w:r>
          </w:p>
        </w:tc>
        <w:tc>
          <w:tcPr>
            <w:tcW w:w="847"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定性</w:t>
            </w:r>
          </w:p>
        </w:tc>
        <w:tc>
          <w:tcPr>
            <w:tcW w:w="988"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好</w:t>
            </w:r>
          </w:p>
        </w:tc>
        <w:tc>
          <w:tcPr>
            <w:tcW w:w="1034"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w:t>
            </w:r>
          </w:p>
        </w:tc>
        <w:tc>
          <w:tcPr>
            <w:tcW w:w="862"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0</w:t>
            </w:r>
          </w:p>
        </w:tc>
        <w:tc>
          <w:tcPr>
            <w:tcW w:w="1040"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100</w:t>
            </w:r>
          </w:p>
        </w:tc>
        <w:tc>
          <w:tcPr>
            <w:tcW w:w="707"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10</w:t>
            </w:r>
          </w:p>
        </w:tc>
        <w:tc>
          <w:tcPr>
            <w:tcW w:w="797"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10</w:t>
            </w:r>
          </w:p>
        </w:tc>
        <w:tc>
          <w:tcPr>
            <w:tcW w:w="989"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ascii="宋体" w:hAnsi="宋体" w:cs="宋体" w:hint="eastAsia"/>
                <w:color w:val="000000"/>
                <w:sz w:val="16"/>
                <w:szCs w:val="16"/>
              </w:rPr>
              <w:t>是</w:t>
            </w:r>
          </w:p>
        </w:tc>
        <w:tc>
          <w:tcPr>
            <w:tcW w:w="1888" w:type="dxa"/>
            <w:gridSpan w:val="2"/>
            <w:tcBorders>
              <w:top w:val="single" w:sz="4" w:space="0" w:color="auto"/>
              <w:left w:val="nil"/>
              <w:bottom w:val="single" w:sz="4" w:space="0" w:color="auto"/>
              <w:right w:val="single" w:sz="4" w:space="0" w:color="000000"/>
            </w:tcBorders>
            <w:vAlign w:val="center"/>
          </w:tcPr>
          <w:p w:rsidR="00093239" w:rsidRDefault="00093239" w:rsidP="007B0C3B">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93239" w:rsidTr="007B0C3B">
        <w:trPr>
          <w:trHeight w:val="499"/>
          <w:jc w:val="center"/>
        </w:trPr>
        <w:tc>
          <w:tcPr>
            <w:tcW w:w="1271" w:type="dxa"/>
            <w:tcBorders>
              <w:top w:val="nil"/>
              <w:left w:val="single" w:sz="4" w:space="0" w:color="auto"/>
              <w:bottom w:val="single" w:sz="4" w:space="0" w:color="auto"/>
              <w:right w:val="single" w:sz="4" w:space="0" w:color="auto"/>
            </w:tcBorders>
            <w:vAlign w:val="center"/>
          </w:tcPr>
          <w:p w:rsidR="00093239" w:rsidRDefault="00093239" w:rsidP="007B0C3B">
            <w:pPr>
              <w:rPr>
                <w:rFonts w:ascii="宋体" w:hAnsi="宋体" w:cs="宋体"/>
                <w:color w:val="000000"/>
                <w:sz w:val="16"/>
                <w:szCs w:val="16"/>
              </w:rPr>
            </w:pPr>
            <w:r>
              <w:rPr>
                <w:rFonts w:hint="eastAsia"/>
                <w:color w:val="000000"/>
                <w:sz w:val="16"/>
                <w:szCs w:val="16"/>
              </w:rPr>
              <w:t>森林生态系统</w:t>
            </w:r>
            <w:r>
              <w:rPr>
                <w:rFonts w:hint="eastAsia"/>
                <w:color w:val="000000"/>
                <w:sz w:val="16"/>
                <w:szCs w:val="16"/>
              </w:rPr>
              <w:t xml:space="preserve"> </w:t>
            </w:r>
            <w:r>
              <w:rPr>
                <w:rFonts w:hint="eastAsia"/>
                <w:color w:val="000000"/>
                <w:sz w:val="16"/>
                <w:szCs w:val="16"/>
              </w:rPr>
              <w:t>功能改善可持续影响</w:t>
            </w:r>
          </w:p>
        </w:tc>
        <w:tc>
          <w:tcPr>
            <w:tcW w:w="565"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 xml:space="preserve">　</w:t>
            </w:r>
          </w:p>
        </w:tc>
        <w:tc>
          <w:tcPr>
            <w:tcW w:w="847"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定性</w:t>
            </w:r>
          </w:p>
        </w:tc>
        <w:tc>
          <w:tcPr>
            <w:tcW w:w="988"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好</w:t>
            </w:r>
          </w:p>
        </w:tc>
        <w:tc>
          <w:tcPr>
            <w:tcW w:w="1034"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w:t>
            </w:r>
          </w:p>
        </w:tc>
        <w:tc>
          <w:tcPr>
            <w:tcW w:w="862"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0</w:t>
            </w:r>
          </w:p>
        </w:tc>
        <w:tc>
          <w:tcPr>
            <w:tcW w:w="1040"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100</w:t>
            </w:r>
          </w:p>
        </w:tc>
        <w:tc>
          <w:tcPr>
            <w:tcW w:w="707"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10</w:t>
            </w:r>
          </w:p>
        </w:tc>
        <w:tc>
          <w:tcPr>
            <w:tcW w:w="797"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10</w:t>
            </w:r>
          </w:p>
        </w:tc>
        <w:tc>
          <w:tcPr>
            <w:tcW w:w="989"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p>
        </w:tc>
        <w:tc>
          <w:tcPr>
            <w:tcW w:w="1888" w:type="dxa"/>
            <w:gridSpan w:val="2"/>
            <w:tcBorders>
              <w:top w:val="single" w:sz="4" w:space="0" w:color="auto"/>
              <w:left w:val="nil"/>
              <w:bottom w:val="single" w:sz="4" w:space="0" w:color="auto"/>
              <w:right w:val="single" w:sz="4" w:space="0" w:color="000000"/>
            </w:tcBorders>
            <w:vAlign w:val="center"/>
          </w:tcPr>
          <w:p w:rsidR="00093239" w:rsidRDefault="00093239" w:rsidP="007B0C3B">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93239" w:rsidTr="007B0C3B">
        <w:trPr>
          <w:trHeight w:val="499"/>
          <w:jc w:val="center"/>
        </w:trPr>
        <w:tc>
          <w:tcPr>
            <w:tcW w:w="1271" w:type="dxa"/>
            <w:tcBorders>
              <w:top w:val="nil"/>
              <w:left w:val="single" w:sz="4" w:space="0" w:color="auto"/>
              <w:bottom w:val="single" w:sz="4" w:space="0" w:color="auto"/>
              <w:right w:val="single" w:sz="4" w:space="0" w:color="auto"/>
            </w:tcBorders>
            <w:vAlign w:val="center"/>
          </w:tcPr>
          <w:p w:rsidR="00093239" w:rsidRDefault="00093239" w:rsidP="007B0C3B">
            <w:pPr>
              <w:rPr>
                <w:rFonts w:ascii="宋体" w:hAnsi="宋体" w:cs="宋体"/>
                <w:color w:val="000000"/>
                <w:sz w:val="16"/>
                <w:szCs w:val="16"/>
              </w:rPr>
            </w:pPr>
            <w:r>
              <w:rPr>
                <w:rFonts w:hint="eastAsia"/>
                <w:color w:val="000000"/>
                <w:sz w:val="16"/>
                <w:szCs w:val="16"/>
              </w:rPr>
              <w:t>管护人员满意度</w:t>
            </w:r>
          </w:p>
        </w:tc>
        <w:tc>
          <w:tcPr>
            <w:tcW w:w="565"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w:t>
            </w:r>
          </w:p>
        </w:tc>
        <w:tc>
          <w:tcPr>
            <w:tcW w:w="847"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r>
              <w:rPr>
                <w:rFonts w:hint="eastAsia"/>
                <w:color w:val="000000"/>
                <w:sz w:val="16"/>
                <w:szCs w:val="16"/>
              </w:rPr>
              <w:t>≥</w:t>
            </w:r>
          </w:p>
        </w:tc>
        <w:tc>
          <w:tcPr>
            <w:tcW w:w="988"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90</w:t>
            </w:r>
          </w:p>
        </w:tc>
        <w:tc>
          <w:tcPr>
            <w:tcW w:w="1034"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90</w:t>
            </w:r>
          </w:p>
        </w:tc>
        <w:tc>
          <w:tcPr>
            <w:tcW w:w="862"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0</w:t>
            </w:r>
          </w:p>
        </w:tc>
        <w:tc>
          <w:tcPr>
            <w:tcW w:w="1040"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100</w:t>
            </w:r>
          </w:p>
        </w:tc>
        <w:tc>
          <w:tcPr>
            <w:tcW w:w="707"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10</w:t>
            </w:r>
          </w:p>
        </w:tc>
        <w:tc>
          <w:tcPr>
            <w:tcW w:w="797" w:type="dxa"/>
            <w:tcBorders>
              <w:top w:val="nil"/>
              <w:left w:val="nil"/>
              <w:bottom w:val="single" w:sz="4" w:space="0" w:color="auto"/>
              <w:right w:val="single" w:sz="4" w:space="0" w:color="auto"/>
            </w:tcBorders>
            <w:vAlign w:val="center"/>
          </w:tcPr>
          <w:p w:rsidR="00093239" w:rsidRDefault="00093239" w:rsidP="007B0C3B">
            <w:pPr>
              <w:ind w:firstLineChars="100" w:firstLine="160"/>
              <w:jc w:val="right"/>
              <w:rPr>
                <w:rFonts w:ascii="宋体" w:hAnsi="宋体" w:cs="宋体"/>
                <w:color w:val="000000"/>
                <w:sz w:val="16"/>
                <w:szCs w:val="16"/>
              </w:rPr>
            </w:pPr>
            <w:r>
              <w:rPr>
                <w:rFonts w:hint="eastAsia"/>
                <w:color w:val="000000"/>
                <w:sz w:val="16"/>
                <w:szCs w:val="16"/>
              </w:rPr>
              <w:t>10</w:t>
            </w:r>
          </w:p>
        </w:tc>
        <w:tc>
          <w:tcPr>
            <w:tcW w:w="989" w:type="dxa"/>
            <w:tcBorders>
              <w:top w:val="nil"/>
              <w:left w:val="nil"/>
              <w:bottom w:val="single" w:sz="4" w:space="0" w:color="auto"/>
              <w:right w:val="single" w:sz="4" w:space="0" w:color="auto"/>
            </w:tcBorders>
            <w:vAlign w:val="center"/>
          </w:tcPr>
          <w:p w:rsidR="00093239" w:rsidRDefault="00093239" w:rsidP="007B0C3B">
            <w:pPr>
              <w:ind w:firstLineChars="100" w:firstLine="160"/>
              <w:rPr>
                <w:rFonts w:ascii="宋体" w:hAnsi="宋体" w:cs="宋体"/>
                <w:color w:val="000000"/>
                <w:sz w:val="16"/>
                <w:szCs w:val="16"/>
              </w:rPr>
            </w:pPr>
          </w:p>
        </w:tc>
        <w:tc>
          <w:tcPr>
            <w:tcW w:w="1888" w:type="dxa"/>
            <w:gridSpan w:val="2"/>
            <w:tcBorders>
              <w:top w:val="single" w:sz="4" w:space="0" w:color="auto"/>
              <w:left w:val="nil"/>
              <w:bottom w:val="single" w:sz="4" w:space="0" w:color="auto"/>
              <w:right w:val="single" w:sz="4" w:space="0" w:color="000000"/>
            </w:tcBorders>
            <w:vAlign w:val="center"/>
          </w:tcPr>
          <w:p w:rsidR="00093239" w:rsidRDefault="00093239" w:rsidP="007B0C3B">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r>
    </w:tbl>
    <w:p w:rsidR="00093239" w:rsidRDefault="00093239" w:rsidP="00093239">
      <w:pPr>
        <w:spacing w:line="594" w:lineRule="exact"/>
        <w:rPr>
          <w:rFonts w:ascii="Times New Roman" w:eastAsia="方正仿宋_GBK" w:hAnsi="Times New Roman"/>
          <w:sz w:val="32"/>
          <w:szCs w:val="32"/>
        </w:rPr>
        <w:sectPr w:rsidR="00093239">
          <w:pgSz w:w="11906" w:h="16838"/>
          <w:pgMar w:top="851" w:right="567" w:bottom="851" w:left="567" w:header="851" w:footer="992" w:gutter="0"/>
          <w:cols w:space="720"/>
          <w:docGrid w:type="lines" w:linePitch="312"/>
        </w:sectPr>
      </w:pPr>
    </w:p>
    <w:p w:rsidR="00093239" w:rsidRDefault="00093239" w:rsidP="00093239">
      <w:pPr>
        <w:spacing w:line="570" w:lineRule="exact"/>
        <w:ind w:firstLineChars="200" w:firstLine="640"/>
        <w:rPr>
          <w:rFonts w:ascii="宋体" w:hAnsi="宋体"/>
          <w:sz w:val="32"/>
          <w:szCs w:val="32"/>
        </w:rPr>
      </w:pPr>
      <w:r>
        <w:rPr>
          <w:rFonts w:ascii="宋体" w:hAnsi="宋体" w:hint="eastAsia"/>
          <w:sz w:val="32"/>
          <w:szCs w:val="32"/>
        </w:rPr>
        <w:lastRenderedPageBreak/>
        <w:t>2、绩效自评分析</w:t>
      </w:r>
    </w:p>
    <w:p w:rsidR="00093239" w:rsidRDefault="00093239" w:rsidP="00093239">
      <w:pPr>
        <w:pStyle w:val="a6"/>
        <w:spacing w:before="0" w:beforeAutospacing="0" w:after="0" w:afterAutospacing="0" w:line="570" w:lineRule="exact"/>
        <w:ind w:firstLineChars="200" w:firstLine="640"/>
        <w:rPr>
          <w:rFonts w:ascii="Times New Roman" w:eastAsia="方正仿宋_GBK" w:hAnsi="Times New Roman" w:cs="Times New Roman"/>
          <w:snapToGrid w:val="0"/>
          <w:sz w:val="32"/>
          <w:szCs w:val="32"/>
        </w:rPr>
      </w:pPr>
      <w:r>
        <w:rPr>
          <w:rFonts w:ascii="Times New Roman" w:eastAsia="方正仿宋_GBK" w:hAnsi="Times New Roman" w:cs="Times New Roman" w:hint="eastAsia"/>
          <w:snapToGrid w:val="0"/>
          <w:sz w:val="32"/>
          <w:szCs w:val="32"/>
        </w:rPr>
        <w:t>2022</w:t>
      </w:r>
      <w:r>
        <w:rPr>
          <w:rFonts w:ascii="Times New Roman" w:eastAsia="方正仿宋_GBK" w:hAnsi="Times New Roman" w:cs="Times New Roman" w:hint="eastAsia"/>
          <w:snapToGrid w:val="0"/>
          <w:sz w:val="32"/>
          <w:szCs w:val="32"/>
        </w:rPr>
        <w:t>年，完成营造林面积</w:t>
      </w:r>
      <w:r>
        <w:rPr>
          <w:rFonts w:ascii="Times New Roman" w:eastAsia="方正仿宋_GBK" w:hAnsi="Times New Roman" w:cs="Times New Roman" w:hint="eastAsia"/>
          <w:snapToGrid w:val="0"/>
          <w:sz w:val="32"/>
          <w:szCs w:val="32"/>
        </w:rPr>
        <w:t>2.23</w:t>
      </w:r>
      <w:r>
        <w:rPr>
          <w:rFonts w:ascii="Times New Roman" w:eastAsia="方正仿宋_GBK" w:hAnsi="Times New Roman" w:cs="Times New Roman" w:hint="eastAsia"/>
          <w:snapToGrid w:val="0"/>
          <w:sz w:val="32"/>
          <w:szCs w:val="32"/>
        </w:rPr>
        <w:t>万亩、落实森林管护面积</w:t>
      </w:r>
      <w:r>
        <w:rPr>
          <w:rFonts w:ascii="Times New Roman" w:eastAsia="方正仿宋_GBK" w:hAnsi="Times New Roman" w:cs="Times New Roman" w:hint="eastAsia"/>
          <w:snapToGrid w:val="0"/>
          <w:sz w:val="32"/>
          <w:szCs w:val="32"/>
        </w:rPr>
        <w:t>191.38</w:t>
      </w:r>
      <w:r>
        <w:rPr>
          <w:rFonts w:ascii="Times New Roman" w:eastAsia="方正仿宋_GBK" w:hAnsi="Times New Roman" w:cs="Times New Roman" w:hint="eastAsia"/>
          <w:snapToGrid w:val="0"/>
          <w:sz w:val="32"/>
          <w:szCs w:val="32"/>
        </w:rPr>
        <w:t>万亩、聘用生态护林员</w:t>
      </w:r>
      <w:r>
        <w:rPr>
          <w:rFonts w:ascii="Times New Roman" w:eastAsia="方正仿宋_GBK" w:hAnsi="Times New Roman" w:cs="Times New Roman" w:hint="eastAsia"/>
          <w:snapToGrid w:val="0"/>
          <w:sz w:val="32"/>
          <w:szCs w:val="32"/>
        </w:rPr>
        <w:t>802</w:t>
      </w:r>
      <w:r>
        <w:rPr>
          <w:rFonts w:ascii="Times New Roman" w:eastAsia="方正仿宋_GBK" w:hAnsi="Times New Roman" w:cs="Times New Roman" w:hint="eastAsia"/>
          <w:snapToGrid w:val="0"/>
          <w:sz w:val="32"/>
          <w:szCs w:val="32"/>
        </w:rPr>
        <w:t>名，林业有害生物无公害防治率</w:t>
      </w:r>
      <w:r>
        <w:rPr>
          <w:rFonts w:ascii="Times New Roman" w:eastAsia="方正仿宋_GBK" w:hAnsi="Times New Roman" w:cs="Times New Roman" w:hint="eastAsia"/>
          <w:snapToGrid w:val="0"/>
          <w:sz w:val="32"/>
          <w:szCs w:val="32"/>
        </w:rPr>
        <w:t>85%</w:t>
      </w:r>
      <w:r>
        <w:rPr>
          <w:rFonts w:ascii="Times New Roman" w:eastAsia="方正仿宋_GBK" w:hAnsi="Times New Roman" w:cs="Times New Roman" w:hint="eastAsia"/>
          <w:snapToGrid w:val="0"/>
          <w:sz w:val="32"/>
          <w:szCs w:val="32"/>
        </w:rPr>
        <w:t>，全县森林覆盖率</w:t>
      </w:r>
      <w:r>
        <w:rPr>
          <w:rFonts w:ascii="Times New Roman" w:eastAsia="方正仿宋_GBK" w:hAnsi="Times New Roman" w:cs="Times New Roman" w:hint="eastAsia"/>
          <w:snapToGrid w:val="0"/>
          <w:sz w:val="32"/>
          <w:szCs w:val="32"/>
        </w:rPr>
        <w:t>52%</w:t>
      </w:r>
      <w:r>
        <w:rPr>
          <w:rFonts w:ascii="Times New Roman" w:eastAsia="方正仿宋_GBK" w:hAnsi="Times New Roman" w:cs="Times New Roman" w:hint="eastAsia"/>
          <w:snapToGrid w:val="0"/>
          <w:sz w:val="32"/>
          <w:szCs w:val="32"/>
        </w:rPr>
        <w:t>，森林火灾受害率</w:t>
      </w:r>
      <w:r>
        <w:rPr>
          <w:rFonts w:ascii="Times New Roman" w:eastAsia="方正仿宋_GBK" w:hAnsi="Times New Roman" w:cs="Times New Roman" w:hint="eastAsia"/>
          <w:snapToGrid w:val="0"/>
          <w:sz w:val="32"/>
          <w:szCs w:val="32"/>
        </w:rPr>
        <w:t>0.3</w:t>
      </w:r>
      <w:r>
        <w:rPr>
          <w:rFonts w:ascii="Times New Roman" w:eastAsia="方正仿宋_GBK" w:hAnsi="Times New Roman" w:cs="Times New Roman" w:hint="eastAsia"/>
          <w:snapToGrid w:val="0"/>
          <w:sz w:val="32"/>
          <w:szCs w:val="32"/>
        </w:rPr>
        <w:t>‰，森林蓄积量持续增长，全县生态安全屏障得到巩固，生态服务功能有效提升。总体绩效指标完成率</w:t>
      </w:r>
      <w:r>
        <w:rPr>
          <w:rFonts w:ascii="Times New Roman" w:eastAsia="方正仿宋_GBK" w:hAnsi="Times New Roman" w:cs="Times New Roman" w:hint="eastAsia"/>
          <w:snapToGrid w:val="0"/>
          <w:sz w:val="32"/>
          <w:szCs w:val="32"/>
        </w:rPr>
        <w:t>100%</w:t>
      </w:r>
      <w:r>
        <w:rPr>
          <w:rFonts w:ascii="Times New Roman" w:eastAsia="方正仿宋_GBK" w:hAnsi="Times New Roman" w:cs="Times New Roman" w:hint="eastAsia"/>
          <w:snapToGrid w:val="0"/>
          <w:sz w:val="32"/>
          <w:szCs w:val="32"/>
        </w:rPr>
        <w:t>。根据各项指标完成情况分析，林区职工、周边群众满意度</w:t>
      </w:r>
      <w:r>
        <w:rPr>
          <w:rFonts w:ascii="Times New Roman" w:eastAsia="方正仿宋_GBK" w:hAnsi="Times New Roman" w:cs="Times New Roman" w:hint="eastAsia"/>
          <w:snapToGrid w:val="0"/>
          <w:sz w:val="32"/>
          <w:szCs w:val="32"/>
        </w:rPr>
        <w:t>96%</w:t>
      </w:r>
      <w:r>
        <w:rPr>
          <w:rFonts w:ascii="Times New Roman" w:eastAsia="方正仿宋_GBK" w:hAnsi="Times New Roman" w:cs="Times New Roman" w:hint="eastAsia"/>
          <w:snapToGrid w:val="0"/>
          <w:sz w:val="32"/>
          <w:szCs w:val="32"/>
        </w:rPr>
        <w:t>；总体目标自评得</w:t>
      </w:r>
      <w:r>
        <w:rPr>
          <w:rFonts w:ascii="Times New Roman" w:eastAsia="方正仿宋_GBK" w:hAnsi="Times New Roman" w:cs="Times New Roman" w:hint="eastAsia"/>
          <w:snapToGrid w:val="0"/>
          <w:sz w:val="32"/>
          <w:szCs w:val="32"/>
        </w:rPr>
        <w:t>96.7</w:t>
      </w:r>
      <w:r>
        <w:rPr>
          <w:rFonts w:ascii="Times New Roman" w:eastAsia="方正仿宋_GBK" w:hAnsi="Times New Roman" w:cs="Times New Roman" w:hint="eastAsia"/>
          <w:snapToGrid w:val="0"/>
          <w:sz w:val="32"/>
          <w:szCs w:val="32"/>
        </w:rPr>
        <w:t>分，达到预期绩效目标。</w:t>
      </w:r>
    </w:p>
    <w:p w:rsidR="00093239" w:rsidRDefault="00093239" w:rsidP="00093239">
      <w:pPr>
        <w:spacing w:line="570" w:lineRule="exact"/>
        <w:ind w:firstLineChars="200" w:firstLine="640"/>
        <w:outlineLvl w:val="0"/>
        <w:rPr>
          <w:rFonts w:ascii="Times New Roman" w:eastAsia="方正仿宋_GBK" w:hAnsi="Times New Roman"/>
          <w:sz w:val="32"/>
          <w:szCs w:val="32"/>
        </w:rPr>
      </w:pPr>
      <w:r>
        <w:rPr>
          <w:rFonts w:ascii="Times New Roman" w:eastAsia="方正仿宋_GBK" w:hAnsi="Times New Roman"/>
          <w:sz w:val="32"/>
          <w:szCs w:val="32"/>
        </w:rPr>
        <w:t>2022</w:t>
      </w:r>
      <w:r>
        <w:rPr>
          <w:rFonts w:ascii="Times New Roman" w:eastAsia="方正仿宋_GBK" w:hAnsi="Times New Roman"/>
          <w:sz w:val="32"/>
          <w:szCs w:val="32"/>
        </w:rPr>
        <w:t>年已落实国家级公益林管护面积</w:t>
      </w:r>
      <w:r>
        <w:rPr>
          <w:rFonts w:ascii="Times New Roman" w:eastAsia="方正仿宋_GBK" w:hAnsi="Times New Roman"/>
          <w:sz w:val="32"/>
          <w:szCs w:val="32"/>
        </w:rPr>
        <w:t>52.3</w:t>
      </w:r>
      <w:r>
        <w:rPr>
          <w:rFonts w:ascii="Times New Roman" w:eastAsia="方正仿宋_GBK" w:hAnsi="Times New Roman"/>
          <w:sz w:val="32"/>
          <w:szCs w:val="32"/>
        </w:rPr>
        <w:t>万亩</w:t>
      </w:r>
      <w:r>
        <w:rPr>
          <w:rFonts w:ascii="Times New Roman" w:eastAsia="方正仿宋_GBK" w:hAnsi="Times New Roman"/>
          <w:sz w:val="32"/>
          <w:szCs w:val="32"/>
        </w:rPr>
        <w:t>,</w:t>
      </w:r>
      <w:r>
        <w:rPr>
          <w:rFonts w:ascii="Times New Roman" w:eastAsia="方正仿宋_GBK" w:hAnsi="Times New Roman"/>
          <w:sz w:val="32"/>
          <w:szCs w:val="32"/>
        </w:rPr>
        <w:t>直补申报率</w:t>
      </w:r>
      <w:r>
        <w:rPr>
          <w:rFonts w:ascii="Times New Roman" w:eastAsia="方正仿宋_GBK" w:hAnsi="Times New Roman"/>
          <w:sz w:val="32"/>
          <w:szCs w:val="32"/>
        </w:rPr>
        <w:t>95%</w:t>
      </w:r>
      <w:r>
        <w:rPr>
          <w:rFonts w:ascii="Times New Roman" w:eastAsia="方正仿宋_GBK" w:hAnsi="Times New Roman"/>
          <w:sz w:val="32"/>
          <w:szCs w:val="32"/>
        </w:rPr>
        <w:t>，直补兑现率</w:t>
      </w:r>
      <w:r>
        <w:rPr>
          <w:rFonts w:ascii="Times New Roman" w:eastAsia="方正仿宋_GBK" w:hAnsi="Times New Roman"/>
          <w:sz w:val="32"/>
          <w:szCs w:val="32"/>
        </w:rPr>
        <w:t>100%</w:t>
      </w:r>
      <w:r>
        <w:rPr>
          <w:rFonts w:ascii="Times New Roman" w:eastAsia="方正仿宋_GBK" w:hAnsi="Times New Roman"/>
          <w:sz w:val="32"/>
          <w:szCs w:val="32"/>
        </w:rPr>
        <w:t>，国家补偿政策落实到户，确保林区社会秩序稳定。总体绩效目标完成率</w:t>
      </w:r>
      <w:r>
        <w:rPr>
          <w:rFonts w:ascii="Times New Roman" w:eastAsia="方正仿宋_GBK" w:hAnsi="Times New Roman"/>
          <w:sz w:val="32"/>
          <w:szCs w:val="32"/>
        </w:rPr>
        <w:t>100%</w:t>
      </w:r>
      <w:r>
        <w:rPr>
          <w:rFonts w:ascii="Times New Roman" w:eastAsia="方正仿宋_GBK" w:hAnsi="Times New Roman"/>
          <w:sz w:val="32"/>
          <w:szCs w:val="32"/>
        </w:rPr>
        <w:t>。</w:t>
      </w:r>
    </w:p>
    <w:p w:rsidR="00093239" w:rsidRDefault="00CA78FD" w:rsidP="00093239">
      <w:pPr>
        <w:spacing w:line="570" w:lineRule="exact"/>
        <w:ind w:firstLineChars="200" w:firstLine="640"/>
        <w:outlineLvl w:val="0"/>
        <w:rPr>
          <w:rFonts w:ascii="Times New Roman" w:eastAsia="方正仿宋_GBK" w:hAnsi="Times New Roman"/>
          <w:sz w:val="32"/>
          <w:szCs w:val="32"/>
        </w:rPr>
      </w:pPr>
      <w:r>
        <w:rPr>
          <w:rFonts w:ascii="Times New Roman" w:eastAsia="方正仿宋_GBK" w:hAnsi="Times New Roman"/>
          <w:sz w:val="32"/>
          <w:szCs w:val="32"/>
        </w:rPr>
        <w:pict>
          <v:shapetype id="_x0000_t32" coordsize="21600,21600" o:spt="32" o:oned="t" path="m,l21600,21600e" filled="f">
            <v:path arrowok="t" fillok="f" o:connecttype="none"/>
            <o:lock v:ext="edit" shapetype="t"/>
          </v:shapetype>
          <v:shape id="自选图形 3" o:spid="_x0000_s2050" type="#_x0000_t32" style="position:absolute;left:0;text-align:left;margin-left:-20.6pt;margin-top:-552.05pt;width:36pt;height:0;z-index:251658240" o:connectortype="straight"/>
        </w:pict>
      </w:r>
      <w:r w:rsidR="001166C7">
        <w:rPr>
          <w:rFonts w:ascii="Times New Roman" w:eastAsia="方正仿宋_GBK" w:hAnsi="Times New Roman" w:hint="eastAsia"/>
          <w:sz w:val="32"/>
          <w:szCs w:val="32"/>
        </w:rPr>
        <w:t>3</w:t>
      </w:r>
      <w:r w:rsidR="00093239">
        <w:rPr>
          <w:rFonts w:ascii="Times New Roman" w:eastAsia="方正仿宋_GBK" w:hAnsi="Times New Roman"/>
          <w:sz w:val="32"/>
          <w:szCs w:val="32"/>
        </w:rPr>
        <w:t>．绩效自评报告或案例</w:t>
      </w:r>
    </w:p>
    <w:p w:rsidR="00093239" w:rsidRDefault="00093239" w:rsidP="00093239">
      <w:pPr>
        <w:spacing w:line="570" w:lineRule="exact"/>
        <w:ind w:firstLineChars="200" w:firstLine="643"/>
        <w:outlineLvl w:val="0"/>
        <w:rPr>
          <w:rFonts w:ascii="Times New Roman" w:eastAsia="方正仿宋_GBK" w:hAnsi="Times New Roman"/>
          <w:sz w:val="32"/>
          <w:szCs w:val="32"/>
        </w:rPr>
      </w:pPr>
      <w:r>
        <w:rPr>
          <w:rFonts w:ascii="Times New Roman" w:eastAsia="方正仿宋_GBK" w:hAnsi="Times New Roman"/>
          <w:b/>
          <w:bCs/>
          <w:sz w:val="32"/>
          <w:szCs w:val="32"/>
        </w:rPr>
        <w:t>我单位未委托第三方开展绩效自评。</w:t>
      </w:r>
    </w:p>
    <w:p w:rsidR="00093239" w:rsidRDefault="001166C7" w:rsidP="00093239">
      <w:pPr>
        <w:spacing w:line="570" w:lineRule="exact"/>
        <w:ind w:firstLineChars="200" w:firstLine="640"/>
        <w:outlineLvl w:val="0"/>
        <w:rPr>
          <w:rFonts w:ascii="Times New Roman" w:eastAsia="方正仿宋_GBK" w:hAnsi="Times New Roman"/>
          <w:sz w:val="32"/>
          <w:szCs w:val="32"/>
        </w:rPr>
      </w:pPr>
      <w:r>
        <w:rPr>
          <w:rFonts w:ascii="Times New Roman" w:eastAsia="方正仿宋_GBK" w:hAnsi="Times New Roman" w:hint="eastAsia"/>
          <w:sz w:val="32"/>
          <w:szCs w:val="32"/>
        </w:rPr>
        <w:t>4</w:t>
      </w:r>
      <w:r w:rsidR="00093239">
        <w:rPr>
          <w:rFonts w:ascii="Times New Roman" w:eastAsia="方正仿宋_GBK" w:hAnsi="Times New Roman"/>
          <w:sz w:val="32"/>
          <w:szCs w:val="32"/>
        </w:rPr>
        <w:t>．关于绩效自评结果的说明</w:t>
      </w:r>
    </w:p>
    <w:p w:rsidR="00093239" w:rsidRDefault="00093239" w:rsidP="00093239">
      <w:pPr>
        <w:spacing w:line="570" w:lineRule="exact"/>
        <w:ind w:firstLineChars="200" w:firstLine="643"/>
        <w:outlineLvl w:val="0"/>
        <w:rPr>
          <w:rFonts w:ascii="Times New Roman" w:eastAsia="方正仿宋_GBK" w:hAnsi="Times New Roman"/>
          <w:sz w:val="32"/>
          <w:szCs w:val="32"/>
        </w:rPr>
      </w:pPr>
      <w:r>
        <w:rPr>
          <w:rFonts w:ascii="Times New Roman" w:eastAsia="方正仿宋_GBK" w:hAnsi="Times New Roman"/>
          <w:b/>
          <w:bCs/>
          <w:sz w:val="32"/>
          <w:szCs w:val="32"/>
        </w:rPr>
        <w:t>我单位绩效自评均已完成年度绩效目标。</w:t>
      </w:r>
    </w:p>
    <w:p w:rsidR="00093239" w:rsidRDefault="00093239" w:rsidP="00093239">
      <w:pPr>
        <w:spacing w:line="570" w:lineRule="exact"/>
        <w:ind w:firstLineChars="200" w:firstLine="640"/>
        <w:outlineLvl w:val="0"/>
        <w:rPr>
          <w:rFonts w:ascii="Times New Roman" w:eastAsia="方正仿宋_GBK" w:hAnsi="Times New Roman"/>
          <w:sz w:val="32"/>
          <w:szCs w:val="32"/>
        </w:rPr>
      </w:pPr>
      <w:r>
        <w:rPr>
          <w:rFonts w:ascii="方正楷体_GBK" w:eastAsia="方正楷体_GBK" w:hAnsi="方正楷体_GBK" w:cs="方正楷体_GBK" w:hint="eastAsia"/>
          <w:sz w:val="32"/>
          <w:szCs w:val="32"/>
        </w:rPr>
        <w:t>（三）重点绩效评价结果</w:t>
      </w:r>
    </w:p>
    <w:p w:rsidR="00093239" w:rsidRDefault="00093239" w:rsidP="00093239">
      <w:pPr>
        <w:spacing w:line="570" w:lineRule="exact"/>
        <w:ind w:firstLineChars="200" w:firstLine="643"/>
        <w:outlineLvl w:val="0"/>
        <w:rPr>
          <w:rFonts w:ascii="Times New Roman" w:eastAsia="方正仿宋_GBK" w:hAnsi="Times New Roman"/>
          <w:b/>
          <w:bCs/>
          <w:sz w:val="32"/>
          <w:szCs w:val="32"/>
        </w:rPr>
      </w:pPr>
      <w:r>
        <w:rPr>
          <w:rFonts w:ascii="Times New Roman" w:eastAsia="方正仿宋_GBK" w:hAnsi="Times New Roman"/>
          <w:b/>
          <w:bCs/>
          <w:sz w:val="32"/>
          <w:szCs w:val="32"/>
        </w:rPr>
        <w:t>我单位未委托第三方开展重点绩效评价。</w:t>
      </w:r>
    </w:p>
    <w:p w:rsidR="00093239" w:rsidRDefault="00093239" w:rsidP="00093239">
      <w:pPr>
        <w:spacing w:line="570" w:lineRule="exact"/>
        <w:ind w:firstLineChars="200" w:firstLine="640"/>
        <w:outlineLvl w:val="0"/>
        <w:rPr>
          <w:rStyle w:val="a5"/>
          <w:rFonts w:ascii="方正黑体_GBK" w:eastAsia="方正黑体_GBK" w:hAnsi="方正黑体_GBK" w:cs="方正黑体_GBK"/>
          <w:b w:val="0"/>
          <w:bCs w:val="0"/>
          <w:sz w:val="32"/>
          <w:szCs w:val="32"/>
        </w:rPr>
      </w:pPr>
      <w:r>
        <w:rPr>
          <w:rStyle w:val="a5"/>
          <w:rFonts w:ascii="方正黑体_GBK" w:eastAsia="方正黑体_GBK" w:hAnsi="方正黑体_GBK" w:cs="方正黑体_GBK" w:hint="eastAsia"/>
          <w:b w:val="0"/>
          <w:bCs w:val="0"/>
          <w:sz w:val="32"/>
          <w:szCs w:val="32"/>
        </w:rPr>
        <w:t>六、专业名词解释</w:t>
      </w:r>
    </w:p>
    <w:p w:rsidR="00093239" w:rsidRDefault="00093239" w:rsidP="00093239">
      <w:pPr>
        <w:spacing w:line="570" w:lineRule="exact"/>
        <w:ind w:firstLineChars="200" w:firstLine="640"/>
        <w:outlineLvl w:val="0"/>
        <w:rPr>
          <w:rFonts w:ascii="Times New Roman" w:eastAsia="方正仿宋_GBK" w:hAnsi="Times New Roman"/>
          <w:sz w:val="32"/>
          <w:szCs w:val="32"/>
        </w:rPr>
      </w:pPr>
      <w:r>
        <w:rPr>
          <w:rStyle w:val="a5"/>
          <w:rFonts w:ascii="方正楷体_GBK" w:eastAsia="方正楷体_GBK" w:hAnsi="方正楷体_GBK" w:cs="方正楷体_GBK" w:hint="eastAsia"/>
          <w:b w:val="0"/>
          <w:bCs w:val="0"/>
          <w:sz w:val="32"/>
          <w:szCs w:val="32"/>
        </w:rPr>
        <w:t>（</w:t>
      </w:r>
      <w:r>
        <w:rPr>
          <w:rStyle w:val="15"/>
          <w:rFonts w:ascii="方正楷体_GBK" w:eastAsia="方正楷体_GBK" w:hAnsi="方正楷体_GBK" w:cs="方正楷体_GBK" w:hint="eastAsia"/>
          <w:b w:val="0"/>
          <w:bCs w:val="0"/>
          <w:sz w:val="32"/>
          <w:szCs w:val="32"/>
          <w:shd w:val="clear" w:color="auto" w:fill="FFFFFF"/>
        </w:rPr>
        <w:t>一）财政拨款收入</w:t>
      </w:r>
      <w:r>
        <w:rPr>
          <w:rFonts w:ascii="方正楷体_GBK" w:eastAsia="方正楷体_GBK" w:hAnsi="方正楷体_GBK" w:cs="方正楷体_GBK" w:hint="eastAsia"/>
          <w:sz w:val="32"/>
          <w:szCs w:val="32"/>
          <w:shd w:val="clear" w:color="auto" w:fill="FFFFFF"/>
        </w:rPr>
        <w:t>：</w:t>
      </w:r>
      <w:r>
        <w:rPr>
          <w:rFonts w:ascii="Times New Roman" w:eastAsia="方正仿宋_GBK" w:hAnsi="Times New Roman"/>
          <w:sz w:val="32"/>
          <w:szCs w:val="32"/>
          <w:shd w:val="clear" w:color="auto" w:fill="FFFFFF"/>
        </w:rPr>
        <w:t>指本年度从本级财政部门取得的财政拨款，包括一般公共预算财政拨款和政府性基金预算财政拨款。</w:t>
      </w:r>
    </w:p>
    <w:p w:rsidR="00093239" w:rsidRDefault="00093239" w:rsidP="00093239">
      <w:pPr>
        <w:pStyle w:val="a6"/>
        <w:snapToGrid w:val="0"/>
        <w:spacing w:before="0" w:beforeAutospacing="0" w:after="0" w:afterAutospacing="0" w:line="570" w:lineRule="exact"/>
        <w:ind w:firstLineChars="200" w:firstLine="640"/>
        <w:rPr>
          <w:rFonts w:ascii="Times New Roman" w:eastAsia="方正仿宋_GBK" w:hAnsi="Times New Roman" w:cs="Times New Roman"/>
          <w:sz w:val="32"/>
          <w:szCs w:val="32"/>
        </w:rPr>
      </w:pPr>
      <w:r>
        <w:rPr>
          <w:rStyle w:val="15"/>
          <w:rFonts w:ascii="方正楷体_GBK" w:eastAsia="方正楷体_GBK" w:hAnsi="方正楷体_GBK" w:cs="方正楷体_GBK" w:hint="eastAsia"/>
          <w:b w:val="0"/>
          <w:bCs w:val="0"/>
          <w:sz w:val="32"/>
          <w:szCs w:val="32"/>
          <w:shd w:val="clear" w:color="auto" w:fill="FFFFFF"/>
        </w:rPr>
        <w:t>（二）事业收入</w:t>
      </w:r>
      <w:r>
        <w:rPr>
          <w:rFonts w:ascii="方正楷体_GBK" w:eastAsia="方正楷体_GBK" w:hAnsi="方正楷体_GBK" w:cs="方正楷体_GBK" w:hint="eastAsia"/>
          <w:sz w:val="32"/>
          <w:szCs w:val="32"/>
          <w:shd w:val="clear" w:color="auto" w:fill="FFFFFF"/>
        </w:rPr>
        <w:t>：</w:t>
      </w:r>
      <w:r>
        <w:rPr>
          <w:rFonts w:ascii="Times New Roman" w:eastAsia="方正仿宋_GBK" w:hAnsi="Times New Roman" w:cs="Times New Roman"/>
          <w:sz w:val="32"/>
          <w:szCs w:val="32"/>
          <w:shd w:val="clear" w:color="auto" w:fill="FFFFFF"/>
        </w:rPr>
        <w:t>指事业单位开展专业业务活动及其辅助活动取得的现金流入；事业单位收到的财政专户实际核拨的教育收费等资金在此反映。</w:t>
      </w:r>
    </w:p>
    <w:p w:rsidR="00093239" w:rsidRDefault="00093239" w:rsidP="00093239">
      <w:pPr>
        <w:pStyle w:val="a6"/>
        <w:snapToGrid w:val="0"/>
        <w:spacing w:before="0" w:beforeAutospacing="0" w:after="0" w:afterAutospacing="0" w:line="570" w:lineRule="exact"/>
        <w:ind w:firstLineChars="200" w:firstLine="640"/>
        <w:rPr>
          <w:rFonts w:ascii="Times New Roman" w:eastAsia="方正仿宋_GBK" w:hAnsi="Times New Roman" w:cs="Times New Roman"/>
          <w:sz w:val="32"/>
          <w:szCs w:val="32"/>
        </w:rPr>
      </w:pPr>
      <w:r>
        <w:rPr>
          <w:rStyle w:val="15"/>
          <w:rFonts w:ascii="方正楷体_GBK" w:eastAsia="方正楷体_GBK" w:hAnsi="方正楷体_GBK" w:cs="方正楷体_GBK" w:hint="eastAsia"/>
          <w:b w:val="0"/>
          <w:bCs w:val="0"/>
          <w:sz w:val="32"/>
          <w:szCs w:val="32"/>
          <w:shd w:val="clear" w:color="auto" w:fill="FFFFFF"/>
        </w:rPr>
        <w:lastRenderedPageBreak/>
        <w:t>（三）经营收入</w:t>
      </w:r>
      <w:r>
        <w:rPr>
          <w:rFonts w:ascii="方正楷体_GBK" w:eastAsia="方正楷体_GBK" w:hAnsi="方正楷体_GBK" w:cs="方正楷体_GBK" w:hint="eastAsia"/>
          <w:sz w:val="32"/>
          <w:szCs w:val="32"/>
          <w:shd w:val="clear" w:color="auto" w:fill="FFFFFF"/>
        </w:rPr>
        <w:t>：</w:t>
      </w:r>
      <w:r>
        <w:rPr>
          <w:rFonts w:ascii="Times New Roman" w:eastAsia="方正仿宋_GBK" w:hAnsi="Times New Roman" w:cs="Times New Roman"/>
          <w:sz w:val="32"/>
          <w:szCs w:val="32"/>
          <w:shd w:val="clear" w:color="auto" w:fill="FFFFFF"/>
        </w:rPr>
        <w:t>指事业单位在专业业务活动及其辅助活动之外开展非独立核算经营活动取得的现金流入。</w:t>
      </w:r>
    </w:p>
    <w:p w:rsidR="00093239" w:rsidRDefault="00093239" w:rsidP="00093239">
      <w:pPr>
        <w:pStyle w:val="a6"/>
        <w:snapToGrid w:val="0"/>
        <w:spacing w:before="0" w:beforeAutospacing="0" w:after="0" w:afterAutospacing="0" w:line="570" w:lineRule="exact"/>
        <w:ind w:firstLineChars="200" w:firstLine="640"/>
        <w:rPr>
          <w:rFonts w:ascii="Times New Roman" w:eastAsia="方正仿宋_GBK" w:hAnsi="Times New Roman" w:cs="Times New Roman"/>
          <w:sz w:val="32"/>
          <w:szCs w:val="32"/>
        </w:rPr>
      </w:pPr>
      <w:r>
        <w:rPr>
          <w:rStyle w:val="15"/>
          <w:rFonts w:ascii="方正楷体_GBK" w:eastAsia="方正楷体_GBK" w:hAnsi="方正楷体_GBK" w:cs="方正楷体_GBK" w:hint="eastAsia"/>
          <w:b w:val="0"/>
          <w:bCs w:val="0"/>
          <w:sz w:val="32"/>
          <w:szCs w:val="32"/>
          <w:shd w:val="clear" w:color="auto" w:fill="FFFFFF"/>
        </w:rPr>
        <w:t>（四）其他收入</w:t>
      </w:r>
      <w:r>
        <w:rPr>
          <w:rFonts w:ascii="方正楷体_GBK" w:eastAsia="方正楷体_GBK" w:hAnsi="方正楷体_GBK" w:cs="方正楷体_GBK" w:hint="eastAsia"/>
          <w:sz w:val="32"/>
          <w:szCs w:val="32"/>
          <w:shd w:val="clear" w:color="auto" w:fill="FFFFFF"/>
        </w:rPr>
        <w:t>：</w:t>
      </w:r>
      <w:r>
        <w:rPr>
          <w:rFonts w:ascii="Times New Roman" w:eastAsia="方正仿宋_GBK" w:hAnsi="Times New Roman" w:cs="Times New Roman"/>
          <w:sz w:val="32"/>
          <w:szCs w:val="32"/>
          <w:shd w:val="clear" w:color="auto" w:fill="FFFFFF"/>
        </w:rPr>
        <w:t>指单位取得的除</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财政拨款收入</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事业收入</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经营收入</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rsidR="00093239" w:rsidRDefault="00093239" w:rsidP="00093239">
      <w:pPr>
        <w:pStyle w:val="a6"/>
        <w:snapToGrid w:val="0"/>
        <w:spacing w:before="0" w:beforeAutospacing="0" w:after="0" w:afterAutospacing="0" w:line="570" w:lineRule="exact"/>
        <w:ind w:firstLineChars="200" w:firstLine="640"/>
        <w:rPr>
          <w:rFonts w:ascii="Times New Roman" w:eastAsia="方正仿宋_GBK" w:hAnsi="Times New Roman" w:cs="Times New Roman"/>
          <w:sz w:val="32"/>
          <w:szCs w:val="32"/>
        </w:rPr>
      </w:pPr>
      <w:r>
        <w:rPr>
          <w:rStyle w:val="15"/>
          <w:rFonts w:ascii="方正楷体_GBK" w:eastAsia="方正楷体_GBK" w:hAnsi="方正楷体_GBK" w:cs="方正楷体_GBK" w:hint="eastAsia"/>
          <w:b w:val="0"/>
          <w:bCs w:val="0"/>
          <w:sz w:val="32"/>
          <w:szCs w:val="32"/>
          <w:shd w:val="clear" w:color="auto" w:fill="FFFFFF"/>
        </w:rPr>
        <w:t>（五）使用非财政拨款结余</w:t>
      </w:r>
      <w:r>
        <w:rPr>
          <w:rFonts w:ascii="方正楷体_GBK" w:eastAsia="方正楷体_GBK" w:hAnsi="方正楷体_GBK" w:cs="方正楷体_GBK" w:hint="eastAsia"/>
          <w:sz w:val="32"/>
          <w:szCs w:val="32"/>
          <w:shd w:val="clear" w:color="auto" w:fill="FFFFFF"/>
        </w:rPr>
        <w:t>：</w:t>
      </w:r>
      <w:r>
        <w:rPr>
          <w:rFonts w:ascii="Times New Roman" w:eastAsia="方正仿宋_GBK" w:hAnsi="Times New Roman" w:cs="Times New Roman"/>
          <w:sz w:val="32"/>
          <w:szCs w:val="32"/>
          <w:shd w:val="clear" w:color="auto" w:fill="FFFFFF"/>
        </w:rPr>
        <w:t>指单位在当年的</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财政拨款收入</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事业收入</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经营收入</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其他收入</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等不足以安排当年支出的情况下，使用以前年度积累的非财政拨款结余弥补本年度收支缺口的资金。</w:t>
      </w:r>
    </w:p>
    <w:p w:rsidR="00093239" w:rsidRDefault="00093239" w:rsidP="00093239">
      <w:pPr>
        <w:pStyle w:val="a6"/>
        <w:snapToGrid w:val="0"/>
        <w:spacing w:before="0" w:beforeAutospacing="0" w:after="0" w:afterAutospacing="0" w:line="570" w:lineRule="exact"/>
        <w:ind w:firstLineChars="200" w:firstLine="640"/>
        <w:rPr>
          <w:rFonts w:ascii="Times New Roman" w:eastAsia="方正仿宋_GBK" w:hAnsi="Times New Roman" w:cs="Times New Roman"/>
          <w:sz w:val="32"/>
          <w:szCs w:val="32"/>
        </w:rPr>
      </w:pPr>
      <w:r>
        <w:rPr>
          <w:rStyle w:val="15"/>
          <w:rFonts w:ascii="方正楷体_GBK" w:eastAsia="方正楷体_GBK" w:hAnsi="方正楷体_GBK" w:cs="方正楷体_GBK" w:hint="eastAsia"/>
          <w:b w:val="0"/>
          <w:bCs w:val="0"/>
          <w:sz w:val="32"/>
          <w:szCs w:val="32"/>
          <w:shd w:val="clear" w:color="auto" w:fill="FFFFFF"/>
        </w:rPr>
        <w:t>（六）年初结转和结余</w:t>
      </w:r>
      <w:r>
        <w:rPr>
          <w:rFonts w:ascii="方正楷体_GBK" w:eastAsia="方正楷体_GBK" w:hAnsi="方正楷体_GBK" w:cs="方正楷体_GBK" w:hint="eastAsia"/>
          <w:sz w:val="32"/>
          <w:szCs w:val="32"/>
          <w:shd w:val="clear" w:color="auto" w:fill="FFFFFF"/>
        </w:rPr>
        <w:t>：</w:t>
      </w:r>
      <w:r>
        <w:rPr>
          <w:rFonts w:ascii="Times New Roman" w:eastAsia="方正仿宋_GBK" w:hAnsi="Times New Roman" w:cs="Times New Roman"/>
          <w:sz w:val="32"/>
          <w:szCs w:val="32"/>
          <w:shd w:val="clear" w:color="auto" w:fill="FFFFFF"/>
        </w:rPr>
        <w:t>指单位上年结转本年使用的基本支出结转、项目支出结转和结余、经营结余。</w:t>
      </w:r>
    </w:p>
    <w:p w:rsidR="00093239" w:rsidRDefault="00093239" w:rsidP="00093239">
      <w:pPr>
        <w:pStyle w:val="a6"/>
        <w:snapToGrid w:val="0"/>
        <w:spacing w:before="0" w:beforeAutospacing="0" w:after="0" w:afterAutospacing="0" w:line="570" w:lineRule="exact"/>
        <w:ind w:firstLineChars="200" w:firstLine="640"/>
        <w:rPr>
          <w:rFonts w:ascii="Times New Roman" w:eastAsia="方正仿宋_GBK" w:hAnsi="Times New Roman" w:cs="Times New Roman"/>
          <w:sz w:val="32"/>
          <w:szCs w:val="32"/>
        </w:rPr>
      </w:pPr>
      <w:r>
        <w:rPr>
          <w:rStyle w:val="15"/>
          <w:rFonts w:ascii="方正楷体_GBK" w:eastAsia="方正楷体_GBK" w:hAnsi="方正楷体_GBK" w:cs="方正楷体_GBK" w:hint="eastAsia"/>
          <w:b w:val="0"/>
          <w:bCs w:val="0"/>
          <w:sz w:val="32"/>
          <w:szCs w:val="32"/>
          <w:shd w:val="clear" w:color="auto" w:fill="FFFFFF"/>
        </w:rPr>
        <w:t>（七）结余分配</w:t>
      </w:r>
      <w:r>
        <w:rPr>
          <w:rFonts w:ascii="方正楷体_GBK" w:eastAsia="方正楷体_GBK" w:hAnsi="方正楷体_GBK" w:cs="方正楷体_GBK" w:hint="eastAsia"/>
          <w:sz w:val="32"/>
          <w:szCs w:val="32"/>
          <w:shd w:val="clear" w:color="auto" w:fill="FFFFFF"/>
        </w:rPr>
        <w:t>：</w:t>
      </w:r>
      <w:r>
        <w:rPr>
          <w:rFonts w:ascii="Times New Roman" w:eastAsia="方正仿宋_GBK" w:hAnsi="Times New Roman" w:cs="Times New Roman"/>
          <w:sz w:val="32"/>
          <w:szCs w:val="32"/>
          <w:shd w:val="clear" w:color="auto" w:fill="FFFFFF"/>
        </w:rPr>
        <w:t>指单位按照国家有关规定，缴纳所得税、提取专用基金、转入非财政拨款结余等当年结余的分配情况。</w:t>
      </w:r>
    </w:p>
    <w:p w:rsidR="00093239" w:rsidRDefault="00093239" w:rsidP="00093239">
      <w:pPr>
        <w:pStyle w:val="a6"/>
        <w:snapToGrid w:val="0"/>
        <w:spacing w:before="0" w:beforeAutospacing="0" w:after="0" w:afterAutospacing="0" w:line="570" w:lineRule="exact"/>
        <w:ind w:firstLineChars="200" w:firstLine="640"/>
        <w:rPr>
          <w:rFonts w:ascii="Times New Roman" w:eastAsia="方正仿宋_GBK" w:hAnsi="Times New Roman" w:cs="Times New Roman"/>
          <w:sz w:val="32"/>
          <w:szCs w:val="32"/>
        </w:rPr>
      </w:pPr>
      <w:r>
        <w:rPr>
          <w:rStyle w:val="15"/>
          <w:rFonts w:ascii="方正楷体_GBK" w:eastAsia="方正楷体_GBK" w:hAnsi="方正楷体_GBK" w:cs="方正楷体_GBK" w:hint="eastAsia"/>
          <w:b w:val="0"/>
          <w:bCs w:val="0"/>
          <w:sz w:val="32"/>
          <w:szCs w:val="32"/>
          <w:shd w:val="clear" w:color="auto" w:fill="FFFFFF"/>
        </w:rPr>
        <w:t>（八）年末结转和结余</w:t>
      </w:r>
      <w:r>
        <w:rPr>
          <w:rFonts w:ascii="方正楷体_GBK" w:eastAsia="方正楷体_GBK" w:hAnsi="方正楷体_GBK" w:cs="方正楷体_GBK" w:hint="eastAsia"/>
          <w:sz w:val="32"/>
          <w:szCs w:val="32"/>
          <w:shd w:val="clear" w:color="auto" w:fill="FFFFFF"/>
        </w:rPr>
        <w:t>：</w:t>
      </w:r>
      <w:r>
        <w:rPr>
          <w:rFonts w:ascii="Times New Roman" w:eastAsia="方正仿宋_GBK" w:hAnsi="Times New Roman" w:cs="Times New Roman"/>
          <w:sz w:val="32"/>
          <w:szCs w:val="32"/>
          <w:shd w:val="clear" w:color="auto" w:fill="FFFFFF"/>
        </w:rPr>
        <w:t>指单位结转下年的基本支出结转、项目支出结转和结余、经营结余。</w:t>
      </w:r>
    </w:p>
    <w:p w:rsidR="00093239" w:rsidRDefault="00093239" w:rsidP="00093239">
      <w:pPr>
        <w:pStyle w:val="a6"/>
        <w:snapToGrid w:val="0"/>
        <w:spacing w:before="0" w:beforeAutospacing="0" w:after="0" w:afterAutospacing="0" w:line="570" w:lineRule="exact"/>
        <w:ind w:firstLineChars="200" w:firstLine="640"/>
        <w:rPr>
          <w:rFonts w:ascii="Times New Roman" w:eastAsia="方正仿宋_GBK" w:hAnsi="Times New Roman" w:cs="Times New Roman"/>
          <w:sz w:val="32"/>
          <w:szCs w:val="32"/>
        </w:rPr>
      </w:pPr>
      <w:r>
        <w:rPr>
          <w:rStyle w:val="15"/>
          <w:rFonts w:ascii="方正楷体_GBK" w:eastAsia="方正楷体_GBK" w:hAnsi="方正楷体_GBK" w:cs="方正楷体_GBK" w:hint="eastAsia"/>
          <w:b w:val="0"/>
          <w:bCs w:val="0"/>
          <w:sz w:val="32"/>
          <w:szCs w:val="32"/>
          <w:shd w:val="clear" w:color="auto" w:fill="FFFFFF"/>
        </w:rPr>
        <w:t>（九）基本支出</w:t>
      </w:r>
      <w:r>
        <w:rPr>
          <w:rFonts w:ascii="方正楷体_GBK" w:eastAsia="方正楷体_GBK" w:hAnsi="方正楷体_GBK" w:cs="方正楷体_GBK" w:hint="eastAsia"/>
          <w:sz w:val="32"/>
          <w:szCs w:val="32"/>
          <w:shd w:val="clear" w:color="auto" w:fill="FFFFFF"/>
        </w:rPr>
        <w:t>：</w:t>
      </w:r>
      <w:r>
        <w:rPr>
          <w:rFonts w:ascii="Times New Roman" w:eastAsia="方正仿宋_GBK" w:hAnsi="Times New Roman" w:cs="Times New Roman"/>
          <w:sz w:val="32"/>
          <w:szCs w:val="32"/>
          <w:shd w:val="clear" w:color="auto" w:fill="FFFFFF"/>
        </w:rPr>
        <w:t>指为保障机构正常运转、完成日常工作任务而发生的人员经费和公用经费。其中：人员经费指政府收支分类经济科目中的</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工资福利支出</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和</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对个人和家庭</w:t>
      </w:r>
      <w:r>
        <w:rPr>
          <w:rFonts w:ascii="Times New Roman" w:eastAsia="方正仿宋_GBK" w:hAnsi="Times New Roman" w:cs="Times New Roman"/>
          <w:sz w:val="32"/>
          <w:szCs w:val="32"/>
          <w:shd w:val="clear" w:color="auto" w:fill="FFFFFF"/>
        </w:rPr>
        <w:lastRenderedPageBreak/>
        <w:t>的补助</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；公用经费指政府收支分类经济科目中除</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工资福利支出</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和</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对个人和家庭的补助</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外的其他支出。</w:t>
      </w:r>
    </w:p>
    <w:p w:rsidR="00093239" w:rsidRDefault="00093239" w:rsidP="00093239">
      <w:pPr>
        <w:pStyle w:val="a6"/>
        <w:snapToGrid w:val="0"/>
        <w:spacing w:before="0" w:beforeAutospacing="0" w:after="0" w:afterAutospacing="0" w:line="570" w:lineRule="exact"/>
        <w:ind w:firstLineChars="200" w:firstLine="640"/>
        <w:rPr>
          <w:rFonts w:ascii="Times New Roman" w:eastAsia="方正仿宋_GBK" w:hAnsi="Times New Roman" w:cs="Times New Roman"/>
          <w:sz w:val="32"/>
          <w:szCs w:val="32"/>
        </w:rPr>
      </w:pPr>
      <w:r>
        <w:rPr>
          <w:rStyle w:val="15"/>
          <w:rFonts w:ascii="方正楷体_GBK" w:eastAsia="方正楷体_GBK" w:hAnsi="方正楷体_GBK" w:cs="方正楷体_GBK" w:hint="eastAsia"/>
          <w:b w:val="0"/>
          <w:bCs w:val="0"/>
          <w:sz w:val="32"/>
          <w:szCs w:val="32"/>
          <w:shd w:val="clear" w:color="auto" w:fill="FFFFFF"/>
        </w:rPr>
        <w:t>（十）项目支出</w:t>
      </w:r>
      <w:r>
        <w:rPr>
          <w:rFonts w:ascii="方正楷体_GBK" w:eastAsia="方正楷体_GBK" w:hAnsi="方正楷体_GBK" w:cs="方正楷体_GBK" w:hint="eastAsia"/>
          <w:sz w:val="32"/>
          <w:szCs w:val="32"/>
          <w:shd w:val="clear" w:color="auto" w:fill="FFFFFF"/>
        </w:rPr>
        <w:t>：</w:t>
      </w:r>
      <w:r>
        <w:rPr>
          <w:rFonts w:ascii="Times New Roman" w:eastAsia="方正仿宋_GBK" w:hAnsi="Times New Roman" w:cs="Times New Roman"/>
          <w:sz w:val="32"/>
          <w:szCs w:val="32"/>
          <w:shd w:val="clear" w:color="auto" w:fill="FFFFFF"/>
        </w:rPr>
        <w:t>指在基本支出之外为完成特定行政任务和事业发展目标所发生的支出。</w:t>
      </w:r>
    </w:p>
    <w:p w:rsidR="00093239" w:rsidRDefault="00093239" w:rsidP="00093239">
      <w:pPr>
        <w:pStyle w:val="a6"/>
        <w:snapToGrid w:val="0"/>
        <w:spacing w:before="0" w:beforeAutospacing="0" w:after="0" w:afterAutospacing="0" w:line="570" w:lineRule="exact"/>
        <w:ind w:firstLineChars="200" w:firstLine="640"/>
        <w:rPr>
          <w:rFonts w:ascii="Times New Roman" w:eastAsia="方正仿宋_GBK" w:hAnsi="Times New Roman" w:cs="Times New Roman"/>
          <w:sz w:val="32"/>
          <w:szCs w:val="32"/>
        </w:rPr>
      </w:pPr>
      <w:r>
        <w:rPr>
          <w:rStyle w:val="15"/>
          <w:rFonts w:ascii="方正楷体_GBK" w:eastAsia="方正楷体_GBK" w:hAnsi="方正楷体_GBK" w:cs="方正楷体_GBK" w:hint="eastAsia"/>
          <w:b w:val="0"/>
          <w:bCs w:val="0"/>
          <w:sz w:val="32"/>
          <w:szCs w:val="32"/>
          <w:shd w:val="clear" w:color="auto" w:fill="FFFFFF"/>
        </w:rPr>
        <w:t>（十一）经营支出</w:t>
      </w:r>
      <w:r>
        <w:rPr>
          <w:rFonts w:ascii="方正楷体_GBK" w:eastAsia="方正楷体_GBK" w:hAnsi="方正楷体_GBK" w:cs="方正楷体_GBK" w:hint="eastAsia"/>
          <w:sz w:val="32"/>
          <w:szCs w:val="32"/>
          <w:shd w:val="clear" w:color="auto" w:fill="FFFFFF"/>
        </w:rPr>
        <w:t>：</w:t>
      </w:r>
      <w:r>
        <w:rPr>
          <w:rFonts w:ascii="Times New Roman" w:eastAsia="方正仿宋_GBK" w:hAnsi="Times New Roman" w:cs="Times New Roman"/>
          <w:sz w:val="32"/>
          <w:szCs w:val="32"/>
          <w:shd w:val="clear" w:color="auto" w:fill="FFFFFF"/>
        </w:rPr>
        <w:t>指事业单位在专业业务活动及其辅助活动之外开展非独立核算经营活动发生的支出。</w:t>
      </w:r>
    </w:p>
    <w:p w:rsidR="00093239" w:rsidRDefault="00093239" w:rsidP="00093239">
      <w:pPr>
        <w:pStyle w:val="a6"/>
        <w:snapToGrid w:val="0"/>
        <w:spacing w:before="0" w:beforeAutospacing="0" w:after="0" w:afterAutospacing="0" w:line="570" w:lineRule="exact"/>
        <w:ind w:firstLineChars="200" w:firstLine="640"/>
        <w:rPr>
          <w:rFonts w:ascii="Times New Roman" w:eastAsia="方正仿宋_GBK" w:hAnsi="Times New Roman" w:cs="Times New Roman"/>
          <w:sz w:val="32"/>
          <w:szCs w:val="32"/>
        </w:rPr>
      </w:pPr>
      <w:r>
        <w:rPr>
          <w:rStyle w:val="15"/>
          <w:rFonts w:ascii="方正楷体_GBK" w:eastAsia="方正楷体_GBK" w:hAnsi="方正楷体_GBK" w:cs="方正楷体_GBK" w:hint="eastAsia"/>
          <w:b w:val="0"/>
          <w:bCs w:val="0"/>
          <w:sz w:val="32"/>
          <w:szCs w:val="32"/>
          <w:shd w:val="clear" w:color="auto" w:fill="FFFFFF"/>
        </w:rPr>
        <w:t>（十二）“三公”经费</w:t>
      </w:r>
      <w:r>
        <w:rPr>
          <w:rFonts w:ascii="方正楷体_GBK" w:eastAsia="方正楷体_GBK" w:hAnsi="方正楷体_GBK" w:cs="方正楷体_GBK" w:hint="eastAsia"/>
          <w:sz w:val="32"/>
          <w:szCs w:val="32"/>
          <w:shd w:val="clear" w:color="auto" w:fill="FFFFFF"/>
        </w:rPr>
        <w:t>：</w:t>
      </w:r>
      <w:r>
        <w:rPr>
          <w:rFonts w:ascii="Times New Roman" w:eastAsia="方正仿宋_GBK" w:hAnsi="Times New Roman" w:cs="Times New Roman"/>
          <w:sz w:val="32"/>
          <w:szCs w:val="32"/>
          <w:shd w:val="clear" w:color="auto"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093239" w:rsidRDefault="00093239" w:rsidP="00093239">
      <w:pPr>
        <w:pStyle w:val="a6"/>
        <w:snapToGrid w:val="0"/>
        <w:spacing w:before="0" w:beforeAutospacing="0" w:after="0" w:afterAutospacing="0" w:line="570" w:lineRule="exact"/>
        <w:ind w:firstLineChars="200" w:firstLine="640"/>
        <w:rPr>
          <w:rFonts w:ascii="Times New Roman" w:eastAsia="方正仿宋_GBK" w:hAnsi="Times New Roman" w:cs="Times New Roman"/>
          <w:sz w:val="32"/>
          <w:szCs w:val="32"/>
        </w:rPr>
      </w:pPr>
      <w:r>
        <w:rPr>
          <w:rStyle w:val="15"/>
          <w:rFonts w:ascii="方正楷体_GBK" w:eastAsia="方正楷体_GBK" w:hAnsi="方正楷体_GBK" w:cs="方正楷体_GBK" w:hint="eastAsia"/>
          <w:b w:val="0"/>
          <w:bCs w:val="0"/>
          <w:sz w:val="32"/>
          <w:szCs w:val="32"/>
          <w:shd w:val="clear" w:color="auto" w:fill="FFFFFF"/>
        </w:rPr>
        <w:t>（十三）机关运行经费</w:t>
      </w:r>
      <w:r>
        <w:rPr>
          <w:rFonts w:ascii="方正楷体_GBK" w:eastAsia="方正楷体_GBK" w:hAnsi="方正楷体_GBK" w:cs="方正楷体_GBK" w:hint="eastAsia"/>
          <w:sz w:val="32"/>
          <w:szCs w:val="32"/>
          <w:shd w:val="clear" w:color="auto" w:fill="FFFFFF"/>
        </w:rPr>
        <w:t>：</w:t>
      </w:r>
      <w:r>
        <w:rPr>
          <w:rFonts w:ascii="Times New Roman" w:eastAsia="方正仿宋_GBK" w:hAnsi="Times New Roman" w:cs="Times New Roman"/>
          <w:sz w:val="32"/>
          <w:szCs w:val="32"/>
          <w:shd w:val="clear" w:color="auto"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093239" w:rsidRDefault="00093239" w:rsidP="00093239">
      <w:pPr>
        <w:pStyle w:val="a6"/>
        <w:snapToGrid w:val="0"/>
        <w:spacing w:before="0" w:beforeAutospacing="0" w:after="0" w:afterAutospacing="0" w:line="570" w:lineRule="exact"/>
        <w:ind w:firstLineChars="200" w:firstLine="640"/>
        <w:rPr>
          <w:rFonts w:ascii="Times New Roman" w:eastAsia="方正仿宋_GBK" w:hAnsi="Times New Roman" w:cs="Times New Roman"/>
          <w:sz w:val="32"/>
          <w:szCs w:val="32"/>
        </w:rPr>
      </w:pPr>
      <w:r>
        <w:rPr>
          <w:rStyle w:val="15"/>
          <w:rFonts w:ascii="方正楷体_GBK" w:eastAsia="方正楷体_GBK" w:hAnsi="方正楷体_GBK" w:cs="方正楷体_GBK" w:hint="eastAsia"/>
          <w:b w:val="0"/>
          <w:bCs w:val="0"/>
          <w:sz w:val="32"/>
          <w:szCs w:val="32"/>
          <w:shd w:val="clear" w:color="auto" w:fill="FFFFFF"/>
        </w:rPr>
        <w:t>（十四）工资福利支出（支出经济分类科目类级）</w:t>
      </w:r>
      <w:r>
        <w:rPr>
          <w:rFonts w:ascii="方正楷体_GBK" w:eastAsia="方正楷体_GBK" w:hAnsi="方正楷体_GBK" w:cs="方正楷体_GBK" w:hint="eastAsia"/>
          <w:sz w:val="32"/>
          <w:szCs w:val="32"/>
          <w:shd w:val="clear" w:color="auto" w:fill="FFFFFF"/>
        </w:rPr>
        <w:t>：</w:t>
      </w:r>
      <w:r>
        <w:rPr>
          <w:rFonts w:ascii="Times New Roman" w:eastAsia="方正仿宋_GBK" w:hAnsi="Times New Roman" w:cs="Times New Roman"/>
          <w:sz w:val="32"/>
          <w:szCs w:val="32"/>
          <w:shd w:val="clear" w:color="auto" w:fill="FFFFFF"/>
        </w:rPr>
        <w:t>反映单位开支的在职职工和编制外长期聘用人员的各类劳动报酬，以及为上述人员缴纳的各项社会保险费等。</w:t>
      </w:r>
    </w:p>
    <w:p w:rsidR="00093239" w:rsidRDefault="00093239" w:rsidP="00093239">
      <w:pPr>
        <w:pStyle w:val="a6"/>
        <w:snapToGrid w:val="0"/>
        <w:spacing w:before="0" w:beforeAutospacing="0" w:after="0" w:afterAutospacing="0" w:line="570" w:lineRule="exact"/>
        <w:ind w:firstLineChars="200" w:firstLine="640"/>
        <w:rPr>
          <w:rFonts w:ascii="Times New Roman" w:eastAsia="方正仿宋_GBK" w:hAnsi="Times New Roman" w:cs="Times New Roman"/>
          <w:sz w:val="32"/>
          <w:szCs w:val="32"/>
        </w:rPr>
      </w:pPr>
      <w:r>
        <w:rPr>
          <w:rStyle w:val="15"/>
          <w:rFonts w:ascii="方正楷体_GBK" w:eastAsia="方正楷体_GBK" w:hAnsi="方正楷体_GBK" w:cs="方正楷体_GBK" w:hint="eastAsia"/>
          <w:b w:val="0"/>
          <w:bCs w:val="0"/>
          <w:sz w:val="32"/>
          <w:szCs w:val="32"/>
          <w:shd w:val="clear" w:color="auto" w:fill="FFFFFF"/>
        </w:rPr>
        <w:lastRenderedPageBreak/>
        <w:t>（十五）商品和服务支出（支出经济分类科目类级）</w:t>
      </w:r>
      <w:r>
        <w:rPr>
          <w:rFonts w:ascii="方正楷体_GBK" w:eastAsia="方正楷体_GBK" w:hAnsi="方正楷体_GBK" w:cs="方正楷体_GBK" w:hint="eastAsia"/>
          <w:sz w:val="32"/>
          <w:szCs w:val="32"/>
          <w:shd w:val="clear" w:color="auto" w:fill="FFFFFF"/>
        </w:rPr>
        <w:t>：</w:t>
      </w:r>
      <w:r>
        <w:rPr>
          <w:rFonts w:ascii="Times New Roman" w:eastAsia="方正仿宋_GBK" w:hAnsi="Times New Roman" w:cs="Times New Roman"/>
          <w:sz w:val="32"/>
          <w:szCs w:val="32"/>
          <w:shd w:val="clear" w:color="auto" w:fill="FFFFFF"/>
        </w:rPr>
        <w:t>反映单位购买商品和服务的支出（不包括用于购置固定资产的支出、战略性和应急储备支出）。</w:t>
      </w:r>
    </w:p>
    <w:p w:rsidR="00093239" w:rsidRDefault="00093239" w:rsidP="00093239">
      <w:pPr>
        <w:pStyle w:val="a6"/>
        <w:snapToGrid w:val="0"/>
        <w:spacing w:before="0" w:beforeAutospacing="0" w:after="0" w:afterAutospacing="0" w:line="570" w:lineRule="exact"/>
        <w:ind w:firstLineChars="200" w:firstLine="640"/>
        <w:rPr>
          <w:rFonts w:ascii="Times New Roman" w:eastAsia="方正仿宋_GBK" w:hAnsi="Times New Roman" w:cs="Times New Roman"/>
          <w:sz w:val="32"/>
          <w:szCs w:val="32"/>
        </w:rPr>
      </w:pPr>
      <w:r>
        <w:rPr>
          <w:rStyle w:val="15"/>
          <w:rFonts w:ascii="方正楷体_GBK" w:eastAsia="方正楷体_GBK" w:hAnsi="方正楷体_GBK" w:cs="方正楷体_GBK" w:hint="eastAsia"/>
          <w:b w:val="0"/>
          <w:bCs w:val="0"/>
          <w:sz w:val="32"/>
          <w:szCs w:val="32"/>
          <w:shd w:val="clear" w:color="auto" w:fill="FFFFFF"/>
        </w:rPr>
        <w:t>（十六）对个人和家庭的补助（支出经济分类科目类级）</w:t>
      </w:r>
      <w:r>
        <w:rPr>
          <w:rFonts w:ascii="方正楷体_GBK" w:eastAsia="方正楷体_GBK" w:hAnsi="方正楷体_GBK" w:cs="方正楷体_GBK" w:hint="eastAsia"/>
          <w:sz w:val="32"/>
          <w:szCs w:val="32"/>
          <w:shd w:val="clear" w:color="auto" w:fill="FFFFFF"/>
        </w:rPr>
        <w:t>：</w:t>
      </w:r>
      <w:r>
        <w:rPr>
          <w:rFonts w:ascii="Times New Roman" w:eastAsia="方正仿宋_GBK" w:hAnsi="Times New Roman" w:cs="Times New Roman"/>
          <w:sz w:val="32"/>
          <w:szCs w:val="32"/>
          <w:shd w:val="clear" w:color="auto" w:fill="FFFFFF"/>
        </w:rPr>
        <w:t>反映用于对个人和家庭的补助支出。</w:t>
      </w:r>
    </w:p>
    <w:p w:rsidR="00093239" w:rsidRDefault="00093239" w:rsidP="00093239">
      <w:pPr>
        <w:pStyle w:val="a6"/>
        <w:snapToGrid w:val="0"/>
        <w:spacing w:before="0" w:beforeAutospacing="0" w:after="0" w:afterAutospacing="0" w:line="570" w:lineRule="exact"/>
        <w:ind w:firstLineChars="200" w:firstLine="640"/>
        <w:rPr>
          <w:rFonts w:ascii="Times New Roman" w:eastAsia="方正仿宋_GBK" w:hAnsi="Times New Roman" w:cs="Times New Roman"/>
          <w:sz w:val="32"/>
          <w:szCs w:val="32"/>
        </w:rPr>
      </w:pPr>
      <w:r>
        <w:rPr>
          <w:rStyle w:val="15"/>
          <w:rFonts w:ascii="方正楷体_GBK" w:eastAsia="方正楷体_GBK" w:hAnsi="方正楷体_GBK" w:cs="方正楷体_GBK" w:hint="eastAsia"/>
          <w:b w:val="0"/>
          <w:bCs w:val="0"/>
          <w:sz w:val="32"/>
          <w:szCs w:val="32"/>
          <w:shd w:val="clear" w:color="auto" w:fill="FFFFFF"/>
        </w:rPr>
        <w:t>（十七）其他资本性支出（支出经济分类科目类级）</w:t>
      </w:r>
      <w:r>
        <w:rPr>
          <w:rFonts w:ascii="方正楷体_GBK" w:eastAsia="方正楷体_GBK" w:hAnsi="方正楷体_GBK" w:cs="方正楷体_GBK" w:hint="eastAsia"/>
          <w:sz w:val="32"/>
          <w:szCs w:val="32"/>
          <w:shd w:val="clear" w:color="auto" w:fill="FFFFFF"/>
        </w:rPr>
        <w:t>：</w:t>
      </w:r>
      <w:r>
        <w:rPr>
          <w:rFonts w:ascii="Times New Roman" w:eastAsia="方正仿宋_GBK" w:hAnsi="Times New Roman" w:cs="Times New Roman"/>
          <w:sz w:val="32"/>
          <w:szCs w:val="32"/>
          <w:shd w:val="clear" w:color="auto" w:fill="FFFFFF"/>
        </w:rPr>
        <w:t>反映非各级发展与改革部门集中安排的用于购置固定资产、战略性和应急性储备、土地和无形资产，以及构建基础设施、大型修缮和财政支持企业更新改造所发生的支出。</w:t>
      </w:r>
    </w:p>
    <w:p w:rsidR="00093239" w:rsidRDefault="00093239" w:rsidP="00093239">
      <w:pPr>
        <w:pStyle w:val="a6"/>
        <w:snapToGrid w:val="0"/>
        <w:spacing w:before="0" w:beforeAutospacing="0" w:after="0" w:afterAutospacing="0" w:line="570" w:lineRule="exact"/>
        <w:ind w:firstLineChars="200" w:firstLine="640"/>
        <w:rPr>
          <w:rStyle w:val="a5"/>
          <w:rFonts w:ascii="方正黑体_GBK" w:eastAsia="方正黑体_GBK" w:hAnsi="方正黑体_GBK" w:cs="方正黑体_GBK"/>
          <w:b w:val="0"/>
          <w:bCs w:val="0"/>
          <w:sz w:val="32"/>
          <w:szCs w:val="32"/>
        </w:rPr>
      </w:pPr>
      <w:r>
        <w:rPr>
          <w:rStyle w:val="a5"/>
          <w:rFonts w:ascii="方正黑体_GBK" w:eastAsia="方正黑体_GBK" w:hAnsi="方正黑体_GBK" w:cs="方正黑体_GBK" w:hint="eastAsia"/>
          <w:b w:val="0"/>
          <w:bCs w:val="0"/>
          <w:sz w:val="32"/>
          <w:szCs w:val="32"/>
        </w:rPr>
        <w:t>七、决算公开联系方式及信息反馈渠道</w:t>
      </w:r>
    </w:p>
    <w:p w:rsidR="00093239" w:rsidRDefault="00093239" w:rsidP="00093239">
      <w:pPr>
        <w:pStyle w:val="a6"/>
        <w:snapToGrid w:val="0"/>
        <w:spacing w:before="0" w:beforeAutospacing="0" w:after="0" w:afterAutospacing="0" w:line="570" w:lineRule="exact"/>
        <w:ind w:firstLineChars="200" w:firstLine="640"/>
        <w:rPr>
          <w:rFonts w:ascii="Times New Roman" w:eastAsia="方正仿宋_GBK" w:hAnsi="Times New Roman" w:cs="Times New Roman"/>
          <w:sz w:val="32"/>
          <w:szCs w:val="32"/>
        </w:rPr>
      </w:pPr>
      <w:r>
        <w:rPr>
          <w:rFonts w:ascii="Times New Roman" w:eastAsia="方正仿宋_GBK" w:hAnsi="Times New Roman"/>
          <w:sz w:val="32"/>
          <w:szCs w:val="32"/>
        </w:rPr>
        <w:t>本单位决算公开信息反馈和联系方式：</w:t>
      </w:r>
    </w:p>
    <w:p w:rsidR="00093239" w:rsidRDefault="00093239" w:rsidP="00093239">
      <w:pPr>
        <w:pStyle w:val="a6"/>
        <w:snapToGrid w:val="0"/>
        <w:spacing w:before="0" w:beforeAutospacing="0" w:after="0" w:afterAutospacing="0" w:line="57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联系人：杨燕</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联系电话：</w:t>
      </w:r>
      <w:r>
        <w:rPr>
          <w:rFonts w:ascii="Times New Roman" w:eastAsia="方正仿宋_GBK" w:hAnsi="Times New Roman" w:cs="Times New Roman"/>
          <w:sz w:val="32"/>
          <w:szCs w:val="32"/>
        </w:rPr>
        <w:t xml:space="preserve"> 023-70606433</w:t>
      </w:r>
    </w:p>
    <w:p w:rsidR="004F4C2B" w:rsidRPr="00093239" w:rsidRDefault="004F4C2B"/>
    <w:sectPr w:rsidR="004F4C2B" w:rsidRPr="00093239" w:rsidSect="00CA78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C2B" w:rsidRDefault="004F4C2B" w:rsidP="00093239">
      <w:r>
        <w:separator/>
      </w:r>
    </w:p>
  </w:endnote>
  <w:endnote w:type="continuationSeparator" w:id="1">
    <w:p w:rsidR="004F4C2B" w:rsidRDefault="004F4C2B" w:rsidP="000932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C2B" w:rsidRDefault="004F4C2B" w:rsidP="00093239">
      <w:r>
        <w:separator/>
      </w:r>
    </w:p>
  </w:footnote>
  <w:footnote w:type="continuationSeparator" w:id="1">
    <w:p w:rsidR="004F4C2B" w:rsidRDefault="004F4C2B" w:rsidP="000932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3239"/>
    <w:rsid w:val="00093239"/>
    <w:rsid w:val="001166C7"/>
    <w:rsid w:val="004F4C2B"/>
    <w:rsid w:val="00CA78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rules v:ext="edit">
        <o:r id="V:Rule2" type="connector" idref="#自选图形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23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32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3239"/>
    <w:rPr>
      <w:sz w:val="18"/>
      <w:szCs w:val="18"/>
    </w:rPr>
  </w:style>
  <w:style w:type="paragraph" w:styleId="a4">
    <w:name w:val="footer"/>
    <w:basedOn w:val="a"/>
    <w:link w:val="Char0"/>
    <w:uiPriority w:val="99"/>
    <w:semiHidden/>
    <w:unhideWhenUsed/>
    <w:rsid w:val="000932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93239"/>
    <w:rPr>
      <w:sz w:val="18"/>
      <w:szCs w:val="18"/>
    </w:rPr>
  </w:style>
  <w:style w:type="character" w:styleId="a5">
    <w:name w:val="Strong"/>
    <w:qFormat/>
    <w:rsid w:val="00093239"/>
    <w:rPr>
      <w:b/>
      <w:bCs/>
    </w:rPr>
  </w:style>
  <w:style w:type="character" w:customStyle="1" w:styleId="15">
    <w:name w:val="15"/>
    <w:basedOn w:val="a0"/>
    <w:rsid w:val="00093239"/>
    <w:rPr>
      <w:rFonts w:ascii="Times New Roman" w:hAnsi="Times New Roman" w:cs="Times New Roman" w:hint="default"/>
      <w:b/>
      <w:bCs/>
    </w:rPr>
  </w:style>
  <w:style w:type="paragraph" w:styleId="a6">
    <w:name w:val="Normal (Web)"/>
    <w:basedOn w:val="a"/>
    <w:uiPriority w:val="99"/>
    <w:rsid w:val="00093239"/>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1335</Words>
  <Characters>7610</Characters>
  <Application>Microsoft Office Word</Application>
  <DocSecurity>0</DocSecurity>
  <Lines>63</Lines>
  <Paragraphs>17</Paragraphs>
  <ScaleCrop>false</ScaleCrop>
  <Company>Microsoft</Company>
  <LinksUpToDate>false</LinksUpToDate>
  <CharactersWithSpaces>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丰都县林业局</dc:creator>
  <cp:keywords/>
  <dc:description/>
  <cp:lastModifiedBy>丰都县林业局</cp:lastModifiedBy>
  <cp:revision>3</cp:revision>
  <dcterms:created xsi:type="dcterms:W3CDTF">2023-09-15T01:54:00Z</dcterms:created>
  <dcterms:modified xsi:type="dcterms:W3CDTF">2023-09-15T02:32:00Z</dcterms:modified>
</cp:coreProperties>
</file>