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p>
    <w:p>
      <w:pPr>
        <w:spacing w:line="64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丰都县经济和信息化委员会</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关于切实做好深化电力接入改革优化营商环境工作的通知</w:t>
      </w:r>
    </w:p>
    <w:p>
      <w:pPr>
        <w:adjustRightInd w:val="0"/>
        <w:snapToGrid w:val="0"/>
        <w:spacing w:line="640" w:lineRule="exact"/>
        <w:rPr>
          <w:rFonts w:ascii="Times New Roman" w:hAnsi="Times New Roman" w:eastAsia="方正仿宋_GBK" w:cs="Times New Roman"/>
          <w:kern w:val="44"/>
          <w:sz w:val="32"/>
          <w:szCs w:val="32"/>
        </w:rPr>
      </w:pPr>
    </w:p>
    <w:p>
      <w:pPr>
        <w:pStyle w:val="4"/>
        <w:spacing w:after="0" w:line="640" w:lineRule="exact"/>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各乡镇人民政府、街道办事处，工业园区管委会，县级相关部门，有关企业:</w:t>
      </w:r>
    </w:p>
    <w:p>
      <w:pPr>
        <w:pStyle w:val="4"/>
        <w:spacing w:after="0" w:line="64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县委、县政府统一部署，县发展改革委会同县经信委、住房和城乡建委、城管局、交通局和国网重庆丰都供电公司共同印发了《关于印发丰都县深入推进审批服务便民化进一步优化电力接入营商环境实施方案的通知》（丰都发改委发﹝2019﹞337号，下称《方案》），全面实施低压小微企业“三零”（零上门、零审批、零投资）服务和10千伏非居民用户“三省”（省力、省时、省钱）服务，为构建全县统一的工作体系和责任体系，确保《方案》落地见效，现将有关事宜通知如下：</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一、</w:t>
      </w:r>
      <w:r>
        <w:rPr>
          <w:rFonts w:ascii="方正黑体_GBK" w:hAnsi="Times New Roman" w:eastAsia="方正黑体_GBK" w:cs="Times New Roman"/>
          <w:kern w:val="44"/>
          <w:sz w:val="32"/>
          <w:szCs w:val="32"/>
        </w:rPr>
        <w:t>加强组织领导</w:t>
      </w:r>
    </w:p>
    <w:p>
      <w:pPr>
        <w:pStyle w:val="4"/>
        <w:spacing w:after="0"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各乡镇人民政府、街道办事处、县工业园区管委会、县级相关部门和有关企业要深刻认识优化电力营商环境是贯彻习近平新时代中国特色社会主义经济思想和提高对外开放水平的重要内容，是落实市、县优化营商环境的重点工作任务，要切实加强组织领导，抽派熟悉业务的精干力量组成工作专班，扎实推进优化电力营商环境相关工作。</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二、完善配套措施</w:t>
      </w:r>
    </w:p>
    <w:p>
      <w:pPr>
        <w:pStyle w:val="4"/>
        <w:spacing w:after="0"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各乡镇人民政府、街道办事处、县工业园区管委会、县级相关部门</w:t>
      </w:r>
      <w:r>
        <w:rPr>
          <w:rFonts w:ascii="Times New Roman" w:hAnsi="Times New Roman" w:eastAsia="方正仿宋_GBK" w:cs="Times New Roman"/>
          <w:sz w:val="32"/>
          <w:szCs w:val="32"/>
        </w:rPr>
        <w:t>要</w:t>
      </w:r>
      <w:r>
        <w:rPr>
          <w:rFonts w:ascii="Times New Roman" w:hAnsi="方正仿宋_GBK" w:eastAsia="方正仿宋_GBK" w:cs="Times New Roman"/>
          <w:sz w:val="32"/>
          <w:szCs w:val="32"/>
        </w:rPr>
        <w:t>根据</w:t>
      </w:r>
      <w:r>
        <w:rPr>
          <w:rFonts w:ascii="Times New Roman" w:hAnsi="Times New Roman" w:eastAsia="方正仿宋_GBK" w:cs="Times New Roman"/>
          <w:sz w:val="32"/>
          <w:szCs w:val="32"/>
        </w:rPr>
        <w:t>《方案》要求，结合本地区实际，制定具有针对性、操作性的措施、政策，切实履行属地监管的原则，确保改革措施落地见效。国网重庆丰都供电公司要</w:t>
      </w:r>
      <w:r>
        <w:rPr>
          <w:rFonts w:ascii="Times New Roman" w:hAnsi="方正仿宋_GBK" w:eastAsia="方正仿宋_GBK" w:cs="Times New Roman"/>
          <w:sz w:val="32"/>
          <w:szCs w:val="32"/>
        </w:rPr>
        <w:t>对标京沪标准，优化流程、压缩办电时限、细化措施，学习</w:t>
      </w:r>
      <w:r>
        <w:rPr>
          <w:rFonts w:ascii="Times New Roman" w:hAnsi="Times New Roman" w:eastAsia="方正仿宋_GBK" w:cs="Times New Roman"/>
          <w:sz w:val="32"/>
          <w:szCs w:val="32"/>
        </w:rPr>
        <w:t>北京、上海等先进经验，确保我县优化电力营商环境改革各项措施落实落地。</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三、</w:t>
      </w:r>
      <w:r>
        <w:rPr>
          <w:rFonts w:ascii="方正黑体_GBK" w:hAnsi="Times New Roman" w:eastAsia="方正黑体_GBK" w:cs="Times New Roman"/>
          <w:kern w:val="44"/>
          <w:sz w:val="32"/>
          <w:szCs w:val="32"/>
        </w:rPr>
        <w:t>深入贯彻宣传培训</w:t>
      </w:r>
    </w:p>
    <w:p>
      <w:pPr>
        <w:pStyle w:val="4"/>
        <w:spacing w:after="0" w:line="640" w:lineRule="exact"/>
        <w:ind w:firstLine="640" w:firstLineChars="20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各乡镇人民政府、街道办事处、县工业园区管委会、县级相关部门和有关企业要通过门户网站、自有渠道、平面广告、宣传标语、宣传手册，以及其他网络媒体和专场推介会等多种途径大力推广、广泛宣传，竭尽全力让办电用电企业群众知晓优化电力营商环境工作相关内容（详见附件《国网重庆市电力公司丰都供电分公司优化电力营商环境提升“获得电力”水平服务举措》）。要开通电力营商环境网站专栏，及时公布办电流程、政策、电价和停电计划等信息。有条件的可通过短信进行覆盖式推送和制作宣传短片进行宣传。要切实加强一线窗口服务人员专项培训，对优化电力营商环境政策和流程不熟悉的工作人员不得从事一线窗口岗位。</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四、抓好督促检查</w:t>
      </w:r>
    </w:p>
    <w:p>
      <w:pPr>
        <w:pStyle w:val="4"/>
        <w:spacing w:after="0"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各乡镇人民政府、街道办事处、县工业园区管委会、县级相关部门和有关企业要进一步畅通监督和投诉渠道，并建立回访制度，对各投诉事项要明确办理责任人和时限，对已办电用户、监督和投诉人进行全面回访，切实提升企业群众办用电满意度。</w:t>
      </w:r>
    </w:p>
    <w:p>
      <w:pPr>
        <w:pStyle w:val="4"/>
        <w:spacing w:after="0" w:line="640" w:lineRule="exact"/>
        <w:ind w:firstLine="640" w:firstLineChars="200"/>
        <w:rPr>
          <w:rFonts w:ascii="Times New Roman" w:hAnsi="Times New Roman" w:eastAsia="方正仿宋_GBK" w:cs="Times New Roman"/>
          <w:b/>
          <w:bCs/>
          <w:kern w:val="44"/>
          <w:sz w:val="32"/>
          <w:szCs w:val="32"/>
        </w:rPr>
      </w:pPr>
      <w:r>
        <w:rPr>
          <w:rFonts w:ascii="Times New Roman" w:hAnsi="Times New Roman" w:eastAsia="方正仿宋_GBK" w:cs="Times New Roman"/>
          <w:kern w:val="44"/>
          <w:sz w:val="32"/>
          <w:szCs w:val="32"/>
        </w:rPr>
        <w:t>附件：国网重庆市电力公司丰都供电分公司优化电力营商环境提升“获得电力”水平服务举措</w:t>
      </w:r>
    </w:p>
    <w:p>
      <w:pPr>
        <w:pStyle w:val="4"/>
        <w:spacing w:after="0" w:line="640" w:lineRule="exact"/>
        <w:rPr>
          <w:rFonts w:ascii="Times New Roman" w:hAnsi="Times New Roman" w:eastAsia="方正仿宋_GBK" w:cs="Times New Roman"/>
          <w:kern w:val="44"/>
          <w:sz w:val="32"/>
          <w:szCs w:val="32"/>
        </w:rPr>
      </w:pPr>
    </w:p>
    <w:p>
      <w:pPr>
        <w:pStyle w:val="4"/>
        <w:spacing w:after="0" w:line="640" w:lineRule="exact"/>
        <w:ind w:firstLine="2240" w:firstLineChars="700"/>
        <w:jc w:val="right"/>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丰都县经济和信息化委员会</w:t>
      </w:r>
    </w:p>
    <w:p>
      <w:pPr>
        <w:pStyle w:val="4"/>
        <w:spacing w:after="0" w:line="640" w:lineRule="exact"/>
        <w:ind w:firstLine="2880" w:firstLineChars="900"/>
        <w:jc w:val="right"/>
        <w:rPr>
          <w:rFonts w:hint="eastAsia"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2020年3月4日</w:t>
      </w:r>
    </w:p>
    <w:p>
      <w:pPr>
        <w:pStyle w:val="4"/>
        <w:spacing w:after="0" w:line="640" w:lineRule="exact"/>
        <w:jc w:val="left"/>
        <w:rPr>
          <w:rFonts w:hint="eastAsia" w:ascii="Times New Roman" w:hAnsi="Times New Roman" w:eastAsia="方正仿宋_GBK" w:cs="Times New Roman"/>
          <w:kern w:val="44"/>
          <w:sz w:val="32"/>
          <w:szCs w:val="32"/>
          <w:lang w:val="en-US" w:eastAsia="zh-CN"/>
        </w:rPr>
      </w:pPr>
      <w:r>
        <w:rPr>
          <w:rFonts w:hint="eastAsia" w:ascii="Times New Roman" w:hAnsi="Times New Roman" w:eastAsia="方正仿宋_GBK" w:cs="Times New Roman"/>
          <w:kern w:val="44"/>
          <w:sz w:val="32"/>
          <w:szCs w:val="32"/>
          <w:lang w:val="en-US" w:eastAsia="zh-CN"/>
        </w:rPr>
        <w:t>（此件公开发布）</w:t>
      </w:r>
    </w:p>
    <w:p>
      <w:pPr>
        <w:spacing w:line="640" w:lineRule="exact"/>
        <w:jc w:val="right"/>
        <w:rPr>
          <w:rFonts w:hint="eastAsia" w:ascii="Times New Roman" w:hAnsi="Times New Roman" w:eastAsia="方正仿宋_GBK" w:cs="Times New Roman"/>
          <w:kern w:val="44"/>
          <w:sz w:val="32"/>
          <w:szCs w:val="32"/>
        </w:rPr>
      </w:pPr>
    </w:p>
    <w:p>
      <w:pPr>
        <w:spacing w:line="640" w:lineRule="exact"/>
        <w:rPr>
          <w:rFonts w:hint="eastAsia" w:ascii="黑体" w:hAnsi="黑体" w:eastAsia="黑体" w:cs="Times New Roman"/>
          <w:kern w:val="44"/>
          <w:sz w:val="28"/>
          <w:szCs w:val="28"/>
        </w:rPr>
      </w:pPr>
      <w:r>
        <w:rPr>
          <w:rFonts w:hint="eastAsia" w:ascii="黑体" w:hAnsi="黑体" w:eastAsia="黑体" w:cs="Times New Roman"/>
          <w:kern w:val="44"/>
          <w:sz w:val="28"/>
          <w:szCs w:val="28"/>
        </w:rPr>
        <w:t>附件：</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国网重庆市电力公司丰都供电分公司优化电力营商环境提升“获得电力”水平</w:t>
      </w:r>
    </w:p>
    <w:p>
      <w:pPr>
        <w:spacing w:line="640" w:lineRule="exact"/>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服务举措</w:t>
      </w:r>
    </w:p>
    <w:p>
      <w:pPr>
        <w:spacing w:line="640" w:lineRule="exact"/>
        <w:jc w:val="center"/>
        <w:rPr>
          <w:rFonts w:ascii="Times New Roman" w:hAnsi="Times New Roman" w:eastAsia="方正小标宋_GBK" w:cs="Times New Roman"/>
          <w:sz w:val="44"/>
          <w:szCs w:val="44"/>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了更好服务丰都县社会经济发展，满足人民美好生活的用电需求，按照国网重庆市电力公司对标京沪标准进一步优化电力营商环境提升“获得电力”水平工作要求，结合丰都实际，制定国网重庆市电力公司丰都供电分公司优化电力营商环境提升“获得电力”水平服务举措。</w:t>
      </w:r>
    </w:p>
    <w:p>
      <w:pPr>
        <w:spacing w:line="64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一、实行低压小微企业客户办电“三零”服务</w:t>
      </w:r>
    </w:p>
    <w:p>
      <w:pPr>
        <w:spacing w:line="640"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（一）低压小微企业办电“三零”服务内容</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1.“零上门”：指客户可通过“网上国网”、“渝快办”等互联网渠道，申请全程网办，实现办电“零上门”。</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2.“零审批”：是指外线工程相关许可手续由电网企业到各级行政审批机关办理，不需要客户自己办理，从小微企业视角看，外线办电“零审批”。</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零投资”：即放宽低压接入容量同时延伸投资界面，仅针对需用容量在160千伏安及以下的小微企业客户。小微企业如蓄用容量超过160千伏安，仍然采用高压供电。“零投资”是指小微企业用电地址红线外电力工程零投资。(办电指南见附件1）</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（二）低压小微企业办电服务环节及时限将环节压缩至2个：“申请签约”、“施工接电”。小微企业客户从申请签约到施工接电，时间不能超过15天。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低压小微企业界定简单来讲小微全业就是零星非居民客户，其用电主体非居民，用电类别非居民（指“居民用电”以外的其他用电类别），原则上应提供营业执照。遵循“一址一户”原则，即一个用电地址权属证明对应一个低压小微企业，只安装一套计量装置。</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小微企业不适用的情况如下：</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1.临时用电。</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2.通讯基站、气象站、加油/气站、二次供水、广播电视信号放大器、交通监控、警用摄像头、道路抽水、市政路灯、景观照明等市政公用设施用电。</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小区整体开发项目。整体小区开发按照整个小区合计容量办理。为缓解转供电带来的矛盾，各供电单位在小区新装时，对于具备独立产权的临街小商铺应选择采取公变低压供电，由开发商完成前期工程建设投入。</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4.商业综合体、写字楼等单体建筑内局部报装的客户。小微企业的供电上级电源应由供电公司产权的供配电设施提供。</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5.对供电可靠性要求较高的客户，如：机场、铁路、地铁、发电厂、矿山等。</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6.高压供电改低压供电并装表到户的项目。</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7.人为将同一地块内批量建设的居民、工商业及配套公用设施拆分并申请新装。</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8.同一客户同一地址销户后一年内申请新装。</w:t>
      </w:r>
    </w:p>
    <w:p>
      <w:pPr>
        <w:spacing w:line="64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二、实行10KV非居民用户“三省”服务</w:t>
      </w:r>
    </w:p>
    <w:p>
      <w:pPr>
        <w:spacing w:line="640"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（一）省力</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1.推广线上全天候服务。大中型企业通过“网上国网”（通过办事指南下载APP）等渠道，自助提交申请资料、查询业务进程和评价服务质量，减少客户往返营业厅次数。</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2.提供预约上门服务。多渠道超前收集客户用电需求信息，提前联系客户，提供从技术咨询到装表接电的“一条龙”服务。</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3.提供业务代办服务。对市级及以上园区大容量客户，按照客户需求提供综合能源服务等代办服务。</w:t>
      </w:r>
    </w:p>
    <w:p>
      <w:pPr>
        <w:spacing w:line="640" w:lineRule="exact"/>
        <w:ind w:firstLine="640" w:firstLineChars="200"/>
        <w:rPr>
          <w:rFonts w:hint="eastAsia" w:ascii="方正楷体_GBK" w:hAnsi="Times New Roman" w:eastAsia="方正楷体_GBK" w:cs="Times New Roman"/>
          <w:sz w:val="32"/>
          <w:szCs w:val="32"/>
        </w:rPr>
      </w:pPr>
      <w:r>
        <w:rPr>
          <w:rFonts w:ascii="方正楷体_GBK" w:hAnsi="Times New Roman" w:eastAsia="方正楷体_GBK" w:cs="Times New Roman"/>
          <w:sz w:val="32"/>
          <w:szCs w:val="32"/>
        </w:rPr>
        <w:t>（二）省时</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1.将办电环节压缩至4个。即：申请受理、供电方案答复、外部工程实施、装表接电。客户平均接电时间压减至60天内。</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2.简化客户办电手续。除法规明确要求客户必须提供的资料、证照以外，不需要客户提供其他证明材料（见附件2）。</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3.简化供电方案审批程序。实行10千伏非高危及重要客户供电方案现场答复。对于接入电网受限项目，实行“先接入、后改造”或过度方案接入。</w:t>
      </w:r>
    </w:p>
    <w:p>
      <w:pPr>
        <w:spacing w:line="64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（三）省钱</w:t>
      </w:r>
    </w:p>
    <w:p>
      <w:pPr>
        <w:spacing w:line="6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客户办电成本明显下降。</w:t>
      </w:r>
      <w:r>
        <w:rPr>
          <w:rFonts w:ascii="Times New Roman" w:hAnsi="Times New Roman" w:eastAsia="方正仿宋_GBK" w:cs="Times New Roman"/>
          <w:sz w:val="32"/>
          <w:szCs w:val="32"/>
        </w:rPr>
        <w:t>延伸电网投资界面，对大中型企业客户，由供电企业承担市级及以上各类园区、电能替代项目和电动汽车充换电设施的红线外接入工程投资，住宅、商业综合体、临时施工项目除外。因高压业扩接入引起的公共电网（含变电站间隔、配电线路、开闭所、环网柜等）新建、改造项目，由供电企业纳入业扩配套工程同步实施。</w:t>
      </w:r>
    </w:p>
    <w:p>
      <w:pPr>
        <w:spacing w:line="640" w:lineRule="exact"/>
        <w:ind w:firstLine="640" w:firstLineChars="200"/>
        <w:rPr>
          <w:rFonts w:hint="eastAsia" w:ascii="Times New Roman" w:hAnsi="Times New Roman" w:eastAsia="方正仿宋_GBK" w:cs="Times New Roman"/>
          <w:sz w:val="32"/>
          <w:szCs w:val="32"/>
        </w:rPr>
      </w:pPr>
      <w:r>
        <w:rPr>
          <w:rFonts w:hint="eastAsia" w:ascii="方正楷体_GBK" w:hAnsi="Times New Roman" w:eastAsia="方正楷体_GBK" w:cs="Times New Roman"/>
          <w:sz w:val="32"/>
          <w:szCs w:val="32"/>
        </w:rPr>
        <w:t>接入容量标准</w:t>
      </w:r>
      <w:r>
        <w:rPr>
          <w:rFonts w:ascii="Times New Roman" w:hAnsi="Times New Roman" w:eastAsia="方正仿宋_GBK" w:cs="Times New Roman"/>
          <w:sz w:val="32"/>
          <w:szCs w:val="32"/>
        </w:rPr>
        <w:t>。对大中型企业客户，优化提高新出线路、专线接入容量标准，原则上接入容量在3000千伏安以下的10千伏客户，优先采取公用线路“T”接供电方式，接入容最在3000千伏安及以上的由开闭所或变电站出线供电。（附件2：高压客户办电服务指南）</w:t>
      </w:r>
    </w:p>
    <w:p>
      <w:pPr>
        <w:spacing w:line="64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三、落实好居民客户用电服务</w:t>
      </w:r>
    </w:p>
    <w:p>
      <w:pPr>
        <w:spacing w:line="6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（一）环节更少。</w:t>
      </w:r>
      <w:r>
        <w:rPr>
          <w:rFonts w:ascii="Times New Roman" w:hAnsi="Times New Roman" w:eastAsia="方正仿宋_GBK" w:cs="Times New Roman"/>
          <w:sz w:val="32"/>
          <w:szCs w:val="32"/>
        </w:rPr>
        <w:t>居民客户办电环节压减为“申请签约”、“施工接电”2个环节。</w:t>
      </w:r>
    </w:p>
    <w:p>
      <w:pPr>
        <w:spacing w:line="6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(二）时间更短。</w:t>
      </w:r>
      <w:r>
        <w:rPr>
          <w:rFonts w:ascii="Times New Roman" w:hAnsi="Times New Roman" w:eastAsia="方正仿宋_GBK" w:cs="Times New Roman"/>
          <w:sz w:val="32"/>
          <w:szCs w:val="32"/>
        </w:rPr>
        <w:t>从申请签约到施工接电，不需要立杆架线客户的时限为2天，需要立杆架线客户的时限为为10天。</w:t>
      </w:r>
    </w:p>
    <w:p>
      <w:pPr>
        <w:spacing w:line="640" w:lineRule="exact"/>
        <w:ind w:firstLine="640" w:firstLineChars="200"/>
        <w:rPr>
          <w:rFonts w:hint="eastAsia" w:ascii="Times New Roman" w:hAnsi="Times New Roman" w:eastAsia="方正仿宋_GBK" w:cs="Times New Roman"/>
          <w:sz w:val="32"/>
          <w:szCs w:val="32"/>
        </w:rPr>
      </w:pPr>
      <w:r>
        <w:rPr>
          <w:rFonts w:hint="eastAsia" w:ascii="方正楷体_GBK" w:hAnsi="Times New Roman" w:eastAsia="方正楷体_GBK" w:cs="Times New Roman"/>
          <w:sz w:val="32"/>
          <w:szCs w:val="32"/>
        </w:rPr>
        <w:t>（三）成本为零。</w:t>
      </w:r>
      <w:r>
        <w:rPr>
          <w:rFonts w:ascii="Times New Roman" w:hAnsi="Times New Roman" w:eastAsia="方正仿宋_GBK" w:cs="Times New Roman"/>
          <w:sz w:val="32"/>
          <w:szCs w:val="32"/>
        </w:rPr>
        <w:t>根据《重庆市发展和改革委员会关于居民用电安装收费有关问题的通知》（渝发改价格【2019]1774号文）规定，从2020年1月1日起，取消农民新装电表费、取消“一户一表”居民用户安装电表费。电能表供电侧的所有配电设施，由供电企业负责完善。（见附件3：低压居民客户办电指南）</w:t>
      </w:r>
    </w:p>
    <w:p>
      <w:pPr>
        <w:spacing w:line="64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四、联系方式</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（一）丰都县经信委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联系人：田先生</w:t>
      </w:r>
    </w:p>
    <w:p>
      <w:p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联系电话：023-70728968</w:t>
      </w:r>
    </w:p>
    <w:p>
      <w:pPr>
        <w:numPr>
          <w:ilvl w:val="0"/>
          <w:numId w:val="1"/>
        </w:num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国网重庆丰都供电分公司</w:t>
      </w:r>
    </w:p>
    <w:p>
      <w:pPr>
        <w:numPr>
          <w:ilvl w:val="0"/>
          <w:numId w:val="0"/>
        </w:num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联系人：何先生</w:t>
      </w:r>
    </w:p>
    <w:p>
      <w:pPr>
        <w:numPr>
          <w:ilvl w:val="0"/>
          <w:numId w:val="0"/>
        </w:num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联系电话：023-70653876</w:t>
      </w:r>
    </w:p>
    <w:p>
      <w:pPr>
        <w:spacing w:line="640" w:lineRule="exact"/>
        <w:ind w:firstLine="640" w:firstLineChars="200"/>
        <w:rPr>
          <w:rFonts w:hint="eastAsia" w:ascii="Times New Roman" w:hAnsi="Times New Roman" w:eastAsia="方正仿宋_GBK" w:cs="Times New Roman"/>
          <w:sz w:val="32"/>
          <w:szCs w:val="32"/>
        </w:rPr>
      </w:pPr>
    </w:p>
    <w:p>
      <w:p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附件：1.小微企业办电服务指南</w:t>
      </w:r>
    </w:p>
    <w:p>
      <w:pPr>
        <w:spacing w:line="640" w:lineRule="exact"/>
        <w:ind w:firstLine="1600" w:firstLineChars="5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2.高压客户办电服务指南</w:t>
      </w:r>
    </w:p>
    <w:p>
      <w:pPr>
        <w:spacing w:line="64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3.低压居民客户办电指南</w:t>
      </w:r>
    </w:p>
    <w:p>
      <w:pPr>
        <w:pStyle w:val="4"/>
        <w:spacing w:line="640" w:lineRule="exact"/>
        <w:ind w:firstLine="640" w:firstLineChars="20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 </w:t>
      </w:r>
    </w:p>
    <w:p>
      <w:pPr>
        <w:pStyle w:val="4"/>
        <w:spacing w:line="640" w:lineRule="exact"/>
        <w:ind w:firstLine="640" w:firstLineChars="200"/>
        <w:rPr>
          <w:rFonts w:ascii="Times New Roman" w:hAnsi="Times New Roman" w:eastAsia="方正仿宋_GBK" w:cs="Times New Roman"/>
          <w:kern w:val="44"/>
          <w:sz w:val="32"/>
          <w:szCs w:val="32"/>
        </w:rPr>
      </w:pPr>
    </w:p>
    <w:p>
      <w:pPr>
        <w:pStyle w:val="4"/>
        <w:spacing w:line="640" w:lineRule="exact"/>
        <w:ind w:firstLine="640" w:firstLineChars="200"/>
        <w:rPr>
          <w:rFonts w:ascii="Times New Roman" w:hAnsi="Times New Roman" w:eastAsia="方正仿宋_GBK" w:cs="Times New Roman"/>
          <w:kern w:val="44"/>
          <w:sz w:val="32"/>
          <w:szCs w:val="32"/>
        </w:rPr>
      </w:pPr>
    </w:p>
    <w:p>
      <w:pPr>
        <w:pStyle w:val="4"/>
        <w:spacing w:line="640" w:lineRule="exact"/>
        <w:ind w:firstLine="640" w:firstLineChars="200"/>
        <w:rPr>
          <w:rFonts w:ascii="Times New Roman" w:hAnsi="Times New Roman" w:eastAsia="方正仿宋_GBK" w:cs="Times New Roman"/>
          <w:kern w:val="44"/>
          <w:sz w:val="32"/>
          <w:szCs w:val="32"/>
        </w:rPr>
      </w:pPr>
    </w:p>
    <w:p>
      <w:pPr>
        <w:pStyle w:val="4"/>
        <w:spacing w:line="640" w:lineRule="exact"/>
        <w:rPr>
          <w:rFonts w:ascii="Times New Roman" w:hAnsi="Times New Roman" w:eastAsia="方正仿宋_GBK" w:cs="Times New Roman"/>
          <w:kern w:val="44"/>
          <w:sz w:val="32"/>
          <w:szCs w:val="32"/>
        </w:rPr>
      </w:pPr>
    </w:p>
    <w:p>
      <w:pPr>
        <w:pStyle w:val="4"/>
        <w:spacing w:line="640" w:lineRule="exact"/>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附件1</w:t>
      </w:r>
    </w:p>
    <w:p>
      <w:pPr>
        <w:pStyle w:val="4"/>
        <w:spacing w:line="640" w:lineRule="exact"/>
        <w:ind w:firstLine="720" w:firstLineChars="200"/>
        <w:jc w:val="center"/>
        <w:rPr>
          <w:rFonts w:ascii="方正小标宋_GBK" w:hAnsi="Times New Roman" w:eastAsia="方正小标宋_GBK" w:cs="Times New Roman"/>
          <w:kern w:val="44"/>
          <w:sz w:val="36"/>
          <w:szCs w:val="36"/>
        </w:rPr>
      </w:pPr>
      <w:r>
        <w:rPr>
          <w:rFonts w:hint="eastAsia" w:ascii="方正小标宋_GBK" w:hAnsi="Times New Roman" w:eastAsia="方正小标宋_GBK" w:cs="Times New Roman"/>
          <w:kern w:val="44"/>
          <w:sz w:val="36"/>
          <w:szCs w:val="36"/>
        </w:rPr>
        <w:t>小微企业办电服务指南</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一、低压报装“三零”服务范围</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用电主体为非居民、需用容量在160千瓦（千伏安）及以下、用电类别为一般工商业的企业用户，不包含集团客户、事业单位、临时用电、市政公共设施用户、小区整体开发、商业综合体内部报装用户等情况。</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二、办理流程</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全程办电2个环节，即申请签约、施工接电。全程接电不超过15天，其中外线工程的项目在4天内接电，架空线路连接的项目在10天内接电，地下电缆连接的项目在15天内接电。</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 xml:space="preserve">（一）申请签约  </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您可以通过掌上电力APP、营业厅等线上、线下渠道提出用电需求。我公司将在线上推送《低压供用电合同》，您可在线签订。</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（二）施工接电</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业务受理后，具备装表条件的项目我公司将直接装表送电。若涉及外线工程，我公司将开展工程设计和现场施工，并在承诺时限内完工。完工当日装表接电。</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三、提供的材料</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（一）用电人有效身份证明</w:t>
      </w:r>
    </w:p>
    <w:p>
      <w:pPr>
        <w:pStyle w:val="4"/>
        <w:spacing w:after="0" w:line="640" w:lineRule="exact"/>
        <w:ind w:firstLine="640" w:firstLineChars="200"/>
        <w:rPr>
          <w:rFonts w:ascii="Times New Roman" w:hAnsi="Times New Roman" w:eastAsia="方正仿宋_GBK" w:cs="Times New Roman"/>
          <w:kern w:val="44"/>
          <w:sz w:val="32"/>
          <w:szCs w:val="32"/>
        </w:rPr>
      </w:pPr>
      <w:bookmarkStart w:id="0" w:name="_GoBack"/>
      <w:bookmarkEnd w:id="0"/>
      <w:r>
        <w:rPr>
          <w:rFonts w:hint="eastAsia" w:ascii="Times New Roman" w:hAnsi="Times New Roman" w:eastAsia="方正仿宋_GBK" w:cs="Times New Roman"/>
          <w:kern w:val="44"/>
          <w:sz w:val="32"/>
          <w:szCs w:val="32"/>
          <w:lang w:eastAsia="zh-CN"/>
        </w:rPr>
        <w:t>营业执照</w:t>
      </w:r>
      <w:r>
        <w:rPr>
          <w:rFonts w:hint="eastAsia" w:ascii="Times New Roman" w:hAnsi="Times New Roman" w:eastAsia="方正仿宋_GBK" w:cs="Times New Roman"/>
          <w:kern w:val="44"/>
          <w:sz w:val="32"/>
          <w:szCs w:val="32"/>
        </w:rPr>
        <w:t>及对应法定代表人（经营者）有效身份证明。法定代表人（经营者）可提供以下证件之一作为有效身份证明：居民身份证、户口本、军官证或士兵证，或其他有效身份证明文件。</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若您受用电人委托办理业务，还请提供用电人的授权办理和您的有效身份证明。</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（二）用电地址权属证明</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可提供以下资料之一作为权属证明：房屋产权所有证（或购房合同）或土地使用证、租赁协议（含出租方房屋产权证明或土地使用证）等。</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四、特别提醒</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我公司严禁干部员工存在以下行为：收受客户礼品、礼金、有价证券等；接受客户组织的宴请、旅游和娱乐活动；利用岗位与工作之便谋取不正当利益；乱收费或收取费用不开具发票；私自承揽工程；其他不规范行为。</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若您发现我公司人员出现前述违规违纪问题，请注意保留相关证据并及时举报，我们将严肃处理并将处理结果向举报者反馈。</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举报电话：02363682450/63682460</w:t>
      </w:r>
    </w:p>
    <w:p>
      <w:pPr>
        <w:pStyle w:val="4"/>
        <w:spacing w:line="640" w:lineRule="exact"/>
        <w:ind w:firstLine="640" w:firstLineChars="200"/>
        <w:rPr>
          <w:rFonts w:ascii="Times New Roman" w:hAnsi="Times New Roman" w:eastAsia="方正仿宋_GBK" w:cs="Times New Roman"/>
          <w:kern w:val="44"/>
          <w:sz w:val="32"/>
          <w:szCs w:val="32"/>
        </w:rPr>
      </w:pPr>
    </w:p>
    <w:p>
      <w:pPr>
        <w:pStyle w:val="4"/>
        <w:spacing w:line="640" w:lineRule="exact"/>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附件2</w:t>
      </w:r>
    </w:p>
    <w:p>
      <w:pPr>
        <w:pStyle w:val="4"/>
        <w:spacing w:after="0" w:line="640" w:lineRule="exact"/>
        <w:ind w:firstLine="720" w:firstLineChars="200"/>
        <w:jc w:val="center"/>
        <w:rPr>
          <w:rFonts w:ascii="方正小标宋_GBK" w:hAnsi="Times New Roman" w:eastAsia="方正小标宋_GBK" w:cs="Times New Roman"/>
          <w:kern w:val="44"/>
          <w:sz w:val="36"/>
          <w:szCs w:val="36"/>
        </w:rPr>
      </w:pPr>
      <w:r>
        <w:rPr>
          <w:rFonts w:hint="eastAsia" w:ascii="方正小标宋_GBK" w:hAnsi="Times New Roman" w:eastAsia="方正小标宋_GBK" w:cs="Times New Roman"/>
          <w:kern w:val="44"/>
          <w:sz w:val="36"/>
          <w:szCs w:val="36"/>
        </w:rPr>
        <w:t>高压客户办电服务指南</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一、业务办理流程</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申请受理</w:t>
      </w:r>
      <w:r>
        <w:rPr>
          <w:rFonts w:ascii="Times New Roman" w:hAnsi="Times New Roman" w:eastAsia="方正仿宋_GBK" w:cs="Times New Roman"/>
          <w:kern w:val="44"/>
          <w:sz w:val="32"/>
          <w:szCs w:val="32"/>
        </w:rPr>
        <w:t>→</w:t>
      </w:r>
      <w:r>
        <w:rPr>
          <w:rFonts w:hint="eastAsia" w:ascii="Times New Roman" w:hAnsi="Times New Roman" w:eastAsia="方正仿宋_GBK" w:cs="Times New Roman"/>
          <w:kern w:val="44"/>
          <w:sz w:val="32"/>
          <w:szCs w:val="32"/>
        </w:rPr>
        <w:t>供电方案答复</w:t>
      </w:r>
      <w:r>
        <w:rPr>
          <w:rFonts w:ascii="Times New Roman" w:hAnsi="Times New Roman" w:eastAsia="方正仿宋_GBK" w:cs="Times New Roman"/>
          <w:kern w:val="44"/>
          <w:sz w:val="32"/>
          <w:szCs w:val="32"/>
        </w:rPr>
        <w:t>→</w:t>
      </w:r>
      <w:r>
        <w:rPr>
          <w:rFonts w:hint="eastAsia" w:ascii="Times New Roman" w:hAnsi="Times New Roman" w:eastAsia="方正仿宋_GBK" w:cs="Times New Roman"/>
          <w:kern w:val="44"/>
          <w:sz w:val="32"/>
          <w:szCs w:val="32"/>
        </w:rPr>
        <w:t>外部工程实施</w:t>
      </w:r>
      <w:r>
        <w:rPr>
          <w:rFonts w:ascii="Times New Roman" w:hAnsi="Times New Roman" w:eastAsia="方正仿宋_GBK" w:cs="Times New Roman"/>
          <w:kern w:val="44"/>
          <w:sz w:val="32"/>
          <w:szCs w:val="32"/>
        </w:rPr>
        <w:t>→</w:t>
      </w:r>
      <w:r>
        <w:rPr>
          <w:rFonts w:hint="eastAsia" w:ascii="Times New Roman" w:hAnsi="Times New Roman" w:eastAsia="方正仿宋_GBK" w:cs="Times New Roman"/>
          <w:kern w:val="44"/>
          <w:sz w:val="32"/>
          <w:szCs w:val="32"/>
        </w:rPr>
        <w:t>装表接电</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二、业务办理说明</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（一）申请受理</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请您按照申请资料清单准备材料（清单如下）。若您暂时无法提供全部材料，我们将提供“一证受理”服务。在您提供委托代理人和用电人有效身份证明并签署《承诺书》后，我们将先行启动后续工作，其余材料后续补充完整即可。</w:t>
      </w:r>
    </w:p>
    <w:tbl>
      <w:tblPr>
        <w:tblStyle w:val="9"/>
        <w:tblpPr w:leftFromText="180" w:rightFromText="180" w:vertAnchor="text" w:horzAnchor="page" w:tblpX="2100" w:tblpY="2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01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69" w:type="dxa"/>
            <w:vAlign w:val="center"/>
          </w:tcPr>
          <w:p>
            <w:pPr>
              <w:pStyle w:val="2"/>
              <w:jc w:val="center"/>
              <w:outlineLvl w:val="5"/>
              <w:rPr>
                <w:sz w:val="21"/>
                <w:szCs w:val="21"/>
              </w:rPr>
            </w:pPr>
            <w:r>
              <w:rPr>
                <w:rFonts w:hint="eastAsia"/>
                <w:sz w:val="21"/>
                <w:szCs w:val="21"/>
              </w:rPr>
              <w:t>序号</w:t>
            </w:r>
          </w:p>
        </w:tc>
        <w:tc>
          <w:tcPr>
            <w:tcW w:w="5012" w:type="dxa"/>
            <w:vAlign w:val="center"/>
          </w:tcPr>
          <w:p>
            <w:pPr>
              <w:pStyle w:val="2"/>
              <w:jc w:val="center"/>
              <w:outlineLvl w:val="5"/>
              <w:rPr>
                <w:sz w:val="21"/>
                <w:szCs w:val="21"/>
              </w:rPr>
            </w:pPr>
            <w:r>
              <w:rPr>
                <w:rFonts w:hint="eastAsia"/>
                <w:sz w:val="21"/>
                <w:szCs w:val="21"/>
              </w:rPr>
              <w:t>资料名称</w:t>
            </w:r>
          </w:p>
        </w:tc>
        <w:tc>
          <w:tcPr>
            <w:tcW w:w="2841" w:type="dxa"/>
            <w:vAlign w:val="center"/>
          </w:tcPr>
          <w:p>
            <w:pPr>
              <w:pStyle w:val="2"/>
              <w:jc w:val="center"/>
              <w:outlineLvl w:val="5"/>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1</w:t>
            </w:r>
          </w:p>
        </w:tc>
        <w:tc>
          <w:tcPr>
            <w:tcW w:w="5012" w:type="dxa"/>
            <w:vAlign w:val="center"/>
          </w:tcPr>
          <w:p>
            <w:pPr>
              <w:pStyle w:val="2"/>
              <w:outlineLvl w:val="5"/>
              <w:rPr>
                <w:sz w:val="21"/>
                <w:szCs w:val="21"/>
              </w:rPr>
            </w:pPr>
            <w:r>
              <w:rPr>
                <w:rFonts w:hint="eastAsia"/>
                <w:sz w:val="21"/>
                <w:szCs w:val="21"/>
              </w:rPr>
              <w:t>用电人有效身份证明。</w:t>
            </w:r>
            <w:r>
              <w:rPr>
                <w:rFonts w:hint="eastAsia"/>
                <w:b w:val="0"/>
                <w:bCs w:val="0"/>
                <w:sz w:val="21"/>
                <w:szCs w:val="21"/>
              </w:rPr>
              <w:t>自然人客户提供用电人有效身份证明，法人或其他组织提供营业执照及对应法定代表人（经营者）有效身份证明。</w:t>
            </w:r>
          </w:p>
        </w:tc>
        <w:tc>
          <w:tcPr>
            <w:tcW w:w="2841" w:type="dxa"/>
            <w:vAlign w:val="center"/>
          </w:tcPr>
          <w:p>
            <w:pPr>
              <w:pStyle w:val="2"/>
              <w:outlineLvl w:val="5"/>
              <w:rPr>
                <w:sz w:val="21"/>
                <w:szCs w:val="21"/>
              </w:rPr>
            </w:pPr>
            <w:r>
              <w:rPr>
                <w:rFonts w:hint="eastAsia"/>
                <w:sz w:val="21"/>
                <w:szCs w:val="21"/>
              </w:rPr>
              <w:t>申请时必备。</w:t>
            </w:r>
            <w:r>
              <w:rPr>
                <w:rFonts w:hint="eastAsia"/>
                <w:b w:val="0"/>
                <w:bCs w:val="0"/>
                <w:sz w:val="21"/>
                <w:szCs w:val="21"/>
              </w:rPr>
              <w:t>若营业执照未“三证合一”，还应提供组织机构代码证和税务登记证明。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669" w:type="dxa"/>
            <w:vAlign w:val="center"/>
          </w:tcPr>
          <w:p>
            <w:pPr>
              <w:pStyle w:val="2"/>
              <w:jc w:val="center"/>
              <w:outlineLvl w:val="5"/>
              <w:rPr>
                <w:sz w:val="21"/>
                <w:szCs w:val="21"/>
              </w:rPr>
            </w:pPr>
            <w:r>
              <w:rPr>
                <w:rFonts w:hint="eastAsia"/>
                <w:sz w:val="21"/>
                <w:szCs w:val="21"/>
              </w:rPr>
              <w:t>2</w:t>
            </w:r>
          </w:p>
        </w:tc>
        <w:tc>
          <w:tcPr>
            <w:tcW w:w="5012" w:type="dxa"/>
            <w:vAlign w:val="center"/>
          </w:tcPr>
          <w:p>
            <w:pPr>
              <w:pStyle w:val="2"/>
              <w:outlineLvl w:val="5"/>
              <w:rPr>
                <w:sz w:val="21"/>
                <w:szCs w:val="21"/>
              </w:rPr>
            </w:pPr>
            <w:r>
              <w:rPr>
                <w:rFonts w:hint="eastAsia"/>
                <w:sz w:val="21"/>
                <w:szCs w:val="21"/>
              </w:rPr>
              <w:t>用电地址权属证明。</w:t>
            </w:r>
            <w:r>
              <w:rPr>
                <w:rFonts w:hint="eastAsia"/>
                <w:b w:val="0"/>
                <w:bCs w:val="0"/>
                <w:sz w:val="21"/>
                <w:szCs w:val="21"/>
              </w:rPr>
              <w:t>可提供以下资料之一作为权属证明：房屋产权所有证（或购房合同）或土地使用证、租赁协议（含出租方房屋产权证明或土地使用证）等。以上资料需提供原件或加盖企事业单位公章的复印件。</w:t>
            </w:r>
          </w:p>
        </w:tc>
        <w:tc>
          <w:tcPr>
            <w:tcW w:w="2841" w:type="dxa"/>
            <w:vAlign w:val="center"/>
          </w:tcPr>
          <w:p>
            <w:pPr>
              <w:pStyle w:val="2"/>
              <w:outlineLvl w:val="5"/>
              <w:rPr>
                <w:sz w:val="21"/>
                <w:szCs w:val="21"/>
              </w:rPr>
            </w:pPr>
            <w:r>
              <w:rPr>
                <w:rFonts w:hint="eastAsia"/>
                <w:b w:val="0"/>
                <w:bCs w:val="0"/>
                <w:sz w:val="21"/>
                <w:szCs w:val="21"/>
              </w:rPr>
              <w:t>若您暂不能提供与用电人有效身份证明一致的用电地址权属证明，请签署承诺书，我们将先行启动后续工作。其余材料您在后续环节补充完整即可。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3</w:t>
            </w:r>
          </w:p>
        </w:tc>
        <w:tc>
          <w:tcPr>
            <w:tcW w:w="5012" w:type="dxa"/>
            <w:vAlign w:val="center"/>
          </w:tcPr>
          <w:p>
            <w:pPr>
              <w:pStyle w:val="2"/>
              <w:outlineLvl w:val="5"/>
              <w:rPr>
                <w:sz w:val="21"/>
                <w:szCs w:val="21"/>
              </w:rPr>
            </w:pPr>
            <w:r>
              <w:rPr>
                <w:rFonts w:hint="eastAsia"/>
                <w:sz w:val="21"/>
                <w:szCs w:val="21"/>
              </w:rPr>
              <w:t>电气设备清单</w:t>
            </w:r>
            <w:r>
              <w:rPr>
                <w:rFonts w:hint="eastAsia"/>
                <w:b w:val="0"/>
                <w:bCs w:val="0"/>
                <w:sz w:val="21"/>
                <w:szCs w:val="21"/>
              </w:rPr>
              <w:t>（包含影响电能质量的用电设备清单）</w:t>
            </w:r>
          </w:p>
        </w:tc>
        <w:tc>
          <w:tcPr>
            <w:tcW w:w="2841" w:type="dxa"/>
            <w:vAlign w:val="center"/>
          </w:tcPr>
          <w:p>
            <w:pPr>
              <w:pStyle w:val="2"/>
              <w:outlineLvl w:val="5"/>
              <w:rPr>
                <w:sz w:val="21"/>
                <w:szCs w:val="21"/>
              </w:rPr>
            </w:pPr>
            <w:r>
              <w:rPr>
                <w:rFonts w:hint="eastAsia"/>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4</w:t>
            </w:r>
          </w:p>
        </w:tc>
        <w:tc>
          <w:tcPr>
            <w:tcW w:w="5012" w:type="dxa"/>
            <w:vAlign w:val="center"/>
          </w:tcPr>
          <w:p>
            <w:pPr>
              <w:pStyle w:val="2"/>
              <w:outlineLvl w:val="5"/>
            </w:pPr>
            <w:r>
              <w:rPr>
                <w:rFonts w:hint="eastAsia"/>
              </w:rPr>
              <w:t>企业、事业单位、社会团体等的用电申请由委托代理人办理时，需补充以下材料：</w:t>
            </w:r>
          </w:p>
          <w:p>
            <w:pPr>
              <w:numPr>
                <w:ilvl w:val="0"/>
                <w:numId w:val="2"/>
              </w:numPr>
            </w:pPr>
            <w:r>
              <w:rPr>
                <w:rFonts w:hint="eastAsia" w:ascii="Arial" w:hAnsi="Arial" w:eastAsia="黑体"/>
                <w:szCs w:val="21"/>
              </w:rPr>
              <w:t>授权委托书或单位介绍信（原件）；（2）经办人有效身份证明复印件（如身份证、军人证、护照、户口簿或公安机关户籍证明等）</w:t>
            </w:r>
          </w:p>
        </w:tc>
        <w:tc>
          <w:tcPr>
            <w:tcW w:w="2841" w:type="dxa"/>
            <w:vAlign w:val="center"/>
          </w:tcPr>
          <w:p>
            <w:pPr>
              <w:pStyle w:val="2"/>
              <w:outlineLvl w:val="5"/>
              <w:rPr>
                <w:sz w:val="21"/>
                <w:szCs w:val="21"/>
              </w:rPr>
            </w:pPr>
            <w:r>
              <w:rPr>
                <w:rFonts w:hint="eastAsia"/>
                <w:sz w:val="21"/>
                <w:szCs w:val="21"/>
              </w:rPr>
              <w:t>非企业负责人（法定代表人）办理时必备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5</w:t>
            </w:r>
          </w:p>
        </w:tc>
        <w:tc>
          <w:tcPr>
            <w:tcW w:w="5012" w:type="dxa"/>
            <w:vAlign w:val="center"/>
          </w:tcPr>
          <w:p>
            <w:pPr>
              <w:pStyle w:val="2"/>
              <w:outlineLvl w:val="5"/>
              <w:rPr>
                <w:sz w:val="21"/>
                <w:szCs w:val="21"/>
              </w:rPr>
            </w:pPr>
            <w:r>
              <w:rPr>
                <w:rFonts w:hint="eastAsia"/>
                <w:sz w:val="21"/>
                <w:szCs w:val="21"/>
              </w:rPr>
              <w:t>当地发展改革等政府部门关于项目立项的批复、核准、备案文件，或当地规划部门关于项目建设工程规划许可证。</w:t>
            </w:r>
          </w:p>
        </w:tc>
        <w:tc>
          <w:tcPr>
            <w:tcW w:w="2841" w:type="dxa"/>
            <w:vAlign w:val="center"/>
          </w:tcPr>
          <w:p>
            <w:pPr>
              <w:pStyle w:val="2"/>
              <w:outlineLvl w:val="5"/>
              <w:rPr>
                <w:sz w:val="21"/>
                <w:szCs w:val="21"/>
              </w:rPr>
            </w:pPr>
            <w:r>
              <w:rPr>
                <w:rFonts w:hint="eastAsia"/>
                <w:sz w:val="21"/>
                <w:szCs w:val="21"/>
              </w:rPr>
              <w:t>高危及重要客户、高耗能客户必备。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6</w:t>
            </w:r>
          </w:p>
        </w:tc>
        <w:tc>
          <w:tcPr>
            <w:tcW w:w="5012" w:type="dxa"/>
            <w:vAlign w:val="center"/>
          </w:tcPr>
          <w:p>
            <w:pPr>
              <w:pStyle w:val="2"/>
              <w:outlineLvl w:val="5"/>
            </w:pPr>
            <w:r>
              <w:rPr>
                <w:rFonts w:hint="eastAsia"/>
              </w:rPr>
              <w:t>煤矿客户需补充以下材料：</w:t>
            </w:r>
          </w:p>
          <w:p>
            <w:r>
              <w:rPr>
                <w:rFonts w:hint="eastAsia"/>
                <w:szCs w:val="21"/>
              </w:rPr>
              <w:t>（1）采矿许可证；（2）安全生产许可证。</w:t>
            </w:r>
          </w:p>
        </w:tc>
        <w:tc>
          <w:tcPr>
            <w:tcW w:w="2841" w:type="dxa"/>
            <w:vAlign w:val="center"/>
          </w:tcPr>
          <w:p>
            <w:pPr>
              <w:pStyle w:val="2"/>
              <w:outlineLvl w:val="5"/>
              <w:rPr>
                <w:sz w:val="21"/>
                <w:szCs w:val="21"/>
              </w:rPr>
            </w:pPr>
            <w:r>
              <w:rPr>
                <w:rFonts w:hint="eastAsia"/>
                <w:sz w:val="21"/>
                <w:szCs w:val="21"/>
              </w:rPr>
              <w:t>煤矿客户必备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7</w:t>
            </w:r>
          </w:p>
        </w:tc>
        <w:tc>
          <w:tcPr>
            <w:tcW w:w="5012" w:type="dxa"/>
            <w:vAlign w:val="center"/>
          </w:tcPr>
          <w:p>
            <w:pPr>
              <w:pStyle w:val="2"/>
              <w:outlineLvl w:val="5"/>
            </w:pPr>
            <w:r>
              <w:rPr>
                <w:rFonts w:hint="eastAsia"/>
              </w:rPr>
              <w:t>非煤矿山客户需补充以下资料：</w:t>
            </w:r>
          </w:p>
          <w:p>
            <w:r>
              <w:rPr>
                <w:rFonts w:hint="eastAsia"/>
                <w:szCs w:val="21"/>
              </w:rPr>
              <w:t>（1）采矿许可证；（2）安全生产许可证；（3）政府主管部门批准文件</w:t>
            </w:r>
          </w:p>
        </w:tc>
        <w:tc>
          <w:tcPr>
            <w:tcW w:w="2841" w:type="dxa"/>
            <w:vAlign w:val="center"/>
          </w:tcPr>
          <w:p>
            <w:pPr>
              <w:pStyle w:val="2"/>
              <w:outlineLvl w:val="5"/>
              <w:rPr>
                <w:sz w:val="21"/>
                <w:szCs w:val="21"/>
              </w:rPr>
            </w:pPr>
            <w:r>
              <w:rPr>
                <w:rFonts w:hint="eastAsia"/>
                <w:sz w:val="21"/>
                <w:szCs w:val="21"/>
              </w:rPr>
              <w:t>非煤矿山客户必备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2"/>
              <w:jc w:val="center"/>
              <w:outlineLvl w:val="5"/>
              <w:rPr>
                <w:sz w:val="21"/>
                <w:szCs w:val="21"/>
              </w:rPr>
            </w:pPr>
            <w:r>
              <w:rPr>
                <w:rFonts w:hint="eastAsia"/>
                <w:sz w:val="21"/>
                <w:szCs w:val="21"/>
              </w:rPr>
              <w:t>8</w:t>
            </w:r>
          </w:p>
        </w:tc>
        <w:tc>
          <w:tcPr>
            <w:tcW w:w="5012" w:type="dxa"/>
            <w:vAlign w:val="center"/>
          </w:tcPr>
          <w:p>
            <w:pPr>
              <w:rPr>
                <w:szCs w:val="21"/>
              </w:rPr>
            </w:pPr>
            <w:r>
              <w:rPr>
                <w:rFonts w:hint="eastAsia"/>
                <w:b/>
                <w:bCs/>
                <w:szCs w:val="21"/>
              </w:rPr>
              <w:t>学校、敬老院等涉及国家优待电价的客户，</w:t>
            </w:r>
            <w:r>
              <w:rPr>
                <w:rFonts w:hint="eastAsia"/>
                <w:szCs w:val="21"/>
              </w:rPr>
              <w:t>应当提供当地教育部门、民政部门等政府有关部门核发的办学许可证、社会福利机构设置批准证书等资质证明。</w:t>
            </w:r>
          </w:p>
        </w:tc>
        <w:tc>
          <w:tcPr>
            <w:tcW w:w="2841" w:type="dxa"/>
            <w:vAlign w:val="center"/>
          </w:tcPr>
          <w:p>
            <w:pPr>
              <w:pStyle w:val="2"/>
              <w:outlineLvl w:val="5"/>
            </w:pPr>
            <w:r>
              <w:rPr>
                <w:rFonts w:hint="eastAsia"/>
                <w:sz w:val="21"/>
                <w:szCs w:val="21"/>
              </w:rPr>
              <w:t>享受国家优待电价的客户必备</w:t>
            </w:r>
          </w:p>
        </w:tc>
      </w:tr>
    </w:tbl>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（二）供电方案答复</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受理您的申请后，我们将安排客户经理按照与您约定的时间至现场查看供电条件，并在9天内答复供电方案。产权分界点负荷侧工程由您负责施工，产权分界点电网侧工程由供电企业负责建设。</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（三）外部工程实施</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请您自主选择具备相应资质的设计、施工单位开展受电工程设计、施工。</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高危及重要客户需开展设计审查和中间检查，受电工程设计完成后，请及时提交设计文件，我们将在3天内完成审查；在电缆管沟、接地网等隐蔽工程覆盖前，请及时通知我们进行中间检查，我们将在2天内完成中间检查。</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工程竣工后，请及时报验，我们将在3天内完成竣工检验。</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（四）装表接电</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在竣工检验合格，签订《高压借用电合同》及相关协议后，我们将在2天内为您装表接电。</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三、特别提醒</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方正楷体_GBK" w:hAnsi="Times New Roman" w:eastAsia="方正楷体_GBK" w:cs="Times New Roman"/>
          <w:kern w:val="44"/>
          <w:sz w:val="32"/>
          <w:szCs w:val="32"/>
        </w:rPr>
        <w:t>(一)若您办理的高压新装增容业务，涉及双回路及以上供电。</w:t>
      </w:r>
      <w:r>
        <w:rPr>
          <w:rFonts w:hint="eastAsia" w:ascii="Times New Roman" w:hAnsi="Times New Roman" w:eastAsia="方正仿宋_GBK" w:cs="Times New Roman"/>
          <w:kern w:val="44"/>
          <w:sz w:val="32"/>
          <w:szCs w:val="32"/>
        </w:rPr>
        <w:t>我公司将依据《重庆市特价局贯彻国家发改委关于停止收取供配电贴费有关问题的补充通知的通知》（渝价【2004】68号）收取高可靠性供电费用，其他高压业务我公司不收取任何费用。</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(二)客户受电工程设计、施工单位可登陆以下网站查询并自主委托实施：</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(1)设计单位查询：登陆重庆市住房和城乡建设委员会网站（http//zfcxjw.cq.gov.cn）</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(2)电力工程施工单位查询：登陆国家能源局华中监管局网站（http//hzj.nea.gov.cn）</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方正楷体_GBK" w:hAnsi="Times New Roman" w:eastAsia="方正楷体_GBK" w:cs="Times New Roman"/>
          <w:kern w:val="44"/>
          <w:sz w:val="32"/>
          <w:szCs w:val="32"/>
        </w:rPr>
        <w:t>(三)我公司严禁干部员工存在以下行为：</w:t>
      </w:r>
      <w:r>
        <w:rPr>
          <w:rFonts w:hint="eastAsia" w:ascii="Times New Roman" w:hAnsi="Times New Roman" w:eastAsia="方正仿宋_GBK" w:cs="Times New Roman"/>
          <w:kern w:val="44"/>
          <w:sz w:val="32"/>
          <w:szCs w:val="32"/>
        </w:rPr>
        <w:t>收受客户礼品、礼金、有价证券等；接受客户组织的宴请、旅游和娱乐活动；利用岗位与工作之便谋取不正当利益；乱收费或收取费用不开具发票；私自承揽工程；其他不规范行为。</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若您发现我公司人员出现前述违规违纪问题，请注意保留相关证据并及时举报，我们将严肃处理并将处理结果向举报者反馈。</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举报电话：02363682450/63682460</w:t>
      </w: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ind w:firstLine="640" w:firstLineChars="200"/>
        <w:rPr>
          <w:rFonts w:ascii="Times New Roman" w:hAnsi="Times New Roman" w:eastAsia="方正仿宋_GBK" w:cs="Times New Roman"/>
          <w:kern w:val="44"/>
          <w:sz w:val="32"/>
          <w:szCs w:val="32"/>
        </w:rPr>
      </w:pPr>
    </w:p>
    <w:p>
      <w:pPr>
        <w:pStyle w:val="4"/>
        <w:spacing w:after="0" w:line="640" w:lineRule="exact"/>
        <w:rPr>
          <w:rFonts w:ascii="Times New Roman" w:hAnsi="Times New Roman" w:eastAsia="方正仿宋_GBK" w:cs="Times New Roman"/>
          <w:kern w:val="44"/>
          <w:sz w:val="32"/>
          <w:szCs w:val="32"/>
        </w:rPr>
      </w:pPr>
    </w:p>
    <w:p>
      <w:pPr>
        <w:pStyle w:val="4"/>
        <w:spacing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附件3</w:t>
      </w:r>
    </w:p>
    <w:p>
      <w:pPr>
        <w:pStyle w:val="4"/>
        <w:spacing w:line="640" w:lineRule="exact"/>
        <w:ind w:firstLine="720" w:firstLineChars="200"/>
        <w:jc w:val="center"/>
        <w:rPr>
          <w:rFonts w:ascii="方正小标宋_GBK" w:hAnsi="Times New Roman" w:eastAsia="方正小标宋_GBK" w:cs="Times New Roman"/>
          <w:kern w:val="44"/>
          <w:sz w:val="36"/>
          <w:szCs w:val="36"/>
        </w:rPr>
      </w:pPr>
      <w:r>
        <w:rPr>
          <w:rFonts w:hint="eastAsia" w:ascii="方正小标宋_GBK" w:hAnsi="Times New Roman" w:eastAsia="方正小标宋_GBK" w:cs="Times New Roman"/>
          <w:kern w:val="44"/>
          <w:sz w:val="36"/>
          <w:szCs w:val="36"/>
        </w:rPr>
        <w:t>低压居民客户办电指南</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一、业务办理流程</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申请签约</w:t>
      </w:r>
      <w:r>
        <w:rPr>
          <w:rFonts w:ascii="Times New Roman" w:hAnsi="Times New Roman" w:eastAsia="方正仿宋_GBK" w:cs="Times New Roman"/>
          <w:kern w:val="44"/>
          <w:sz w:val="32"/>
          <w:szCs w:val="32"/>
        </w:rPr>
        <w:t>→</w:t>
      </w:r>
      <w:r>
        <w:rPr>
          <w:rFonts w:hint="eastAsia" w:ascii="Times New Roman" w:hAnsi="Times New Roman" w:eastAsia="方正仿宋_GBK" w:cs="Times New Roman"/>
          <w:kern w:val="44"/>
          <w:sz w:val="32"/>
          <w:szCs w:val="32"/>
        </w:rPr>
        <w:t>施工接电</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二、业务办理说明</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（一）申请签约</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1.请您在办理用电申请时，提供以下申请材料：</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用电人有效身份证明。自然人客户提供用电人有效身份证明，法人或其他组织提供营业执照及对应法定代表人（经营者）有效身份证明。自然人或法定代表人可提供以下证件之一作为有效身份证明：居民身份证、户口本、军官证或士兵证，或其他有效身份证明文件等。</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若您受用电人委托办理业务，还请提供用电人的授权办理和您的有效身份证明。</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用电地址权属证明。可提供以下资料之一作为权属证明：房屋产权所有证（或购房合同）或土地使用证、租赁协议（含出租方房屋产权证明或土地使用证）等。以上资料需提供原件或加盖企事业单位公章的复印件。</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2.线下报装客户在申请时同步签订《低压供用电合同》，线上报装客户通过“掌上电力”APP 线上签订《低压供用电合同》。</w:t>
      </w:r>
    </w:p>
    <w:p>
      <w:pPr>
        <w:pStyle w:val="4"/>
        <w:spacing w:after="0" w:line="640" w:lineRule="exact"/>
        <w:ind w:firstLine="640" w:firstLineChars="200"/>
        <w:rPr>
          <w:rFonts w:ascii="方正楷体_GBK" w:hAnsi="Times New Roman" w:eastAsia="方正楷体_GBK" w:cs="Times New Roman"/>
          <w:kern w:val="44"/>
          <w:sz w:val="32"/>
          <w:szCs w:val="32"/>
        </w:rPr>
      </w:pPr>
      <w:r>
        <w:rPr>
          <w:rFonts w:hint="eastAsia" w:ascii="方正楷体_GBK" w:hAnsi="Times New Roman" w:eastAsia="方正楷体_GBK" w:cs="Times New Roman"/>
          <w:kern w:val="44"/>
          <w:sz w:val="32"/>
          <w:szCs w:val="32"/>
        </w:rPr>
        <w:t>（二）施工接电</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受理申请后，具备直接装表条件无外线工程的客户，我公司将在4天内完成装表接电；有外线无掘路工程的，在10天内完成，有掘路工程的，在15天内完成。</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低压非居民用电按产权分界点（电能表）划分外部工程实施范围。产权分界点及电网侧工程建设由我公司负责实施，分界点负荷侧工程由您负责实施。</w:t>
      </w:r>
    </w:p>
    <w:p>
      <w:pPr>
        <w:pStyle w:val="4"/>
        <w:spacing w:after="0" w:line="640" w:lineRule="exact"/>
        <w:ind w:firstLine="640" w:firstLineChars="200"/>
        <w:rPr>
          <w:rFonts w:ascii="方正黑体_GBK" w:hAnsi="Times New Roman" w:eastAsia="方正黑体_GBK" w:cs="Times New Roman"/>
          <w:kern w:val="44"/>
          <w:sz w:val="32"/>
          <w:szCs w:val="32"/>
        </w:rPr>
      </w:pPr>
      <w:r>
        <w:rPr>
          <w:rFonts w:hint="eastAsia" w:ascii="方正黑体_GBK" w:hAnsi="Times New Roman" w:eastAsia="方正黑体_GBK" w:cs="Times New Roman"/>
          <w:kern w:val="44"/>
          <w:sz w:val="32"/>
          <w:szCs w:val="32"/>
        </w:rPr>
        <w:t>三、特别提醒</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1.低压非居民客户办理用电业务，我公司不收取任何费用。</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2.您可随时登陆“掌上电力”手机APP查询办理进度。</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3.我公司严禁干部员工存在以下行为：收受客户礼品、礼金、有价证券等；接受客户组织的宴请、旅游和娱乐活动；利用岗位与工作之便谋取不正当利益；乱收费或收取费用不开具发票；私自承揽工程；其他不规范行为。</w:t>
      </w:r>
    </w:p>
    <w:p>
      <w:pPr>
        <w:pStyle w:val="4"/>
        <w:spacing w:after="0" w:line="640" w:lineRule="exact"/>
        <w:ind w:firstLine="640" w:firstLineChars="200"/>
        <w:rPr>
          <w:rFonts w:ascii="Times New Roman" w:hAnsi="Times New Roman" w:eastAsia="方正仿宋_GBK" w:cs="Times New Roman"/>
          <w:kern w:val="44"/>
          <w:sz w:val="32"/>
          <w:szCs w:val="32"/>
        </w:rPr>
      </w:pPr>
      <w:r>
        <w:rPr>
          <w:rFonts w:hint="eastAsia" w:ascii="Times New Roman" w:hAnsi="Times New Roman" w:eastAsia="方正仿宋_GBK" w:cs="Times New Roman"/>
          <w:kern w:val="44"/>
          <w:sz w:val="32"/>
          <w:szCs w:val="32"/>
        </w:rPr>
        <w:t>若您发现我公司人员出现前述违规违纪问题，请注意保留相关证据并及时举报，我们将严肃处理并将处理结果向举报者反馈。</w:t>
      </w:r>
    </w:p>
    <w:p>
      <w:pPr>
        <w:pStyle w:val="4"/>
        <w:spacing w:after="0" w:line="640" w:lineRule="exact"/>
        <w:ind w:firstLine="640" w:firstLineChars="200"/>
        <w:rPr>
          <w:rFonts w:ascii="Times New Roman" w:hAnsi="Times New Roman" w:eastAsia="方正仿宋_GBK" w:cs="Times New Roman"/>
          <w:kern w:val="44"/>
          <w:sz w:val="28"/>
          <w:szCs w:val="28"/>
        </w:rPr>
      </w:pPr>
      <w:r>
        <w:rPr>
          <w:rFonts w:hint="eastAsia" w:ascii="Times New Roman" w:hAnsi="Times New Roman" w:eastAsia="方正仿宋_GBK" w:cs="Times New Roman"/>
          <w:kern w:val="44"/>
          <w:sz w:val="32"/>
          <w:szCs w:val="32"/>
        </w:rPr>
        <w:t>举报电话：02363682450/63682460</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790"/>
      <w:docPartObj>
        <w:docPartGallery w:val="autotext"/>
      </w:docPartObj>
    </w:sdtPr>
    <w:sdtContent>
      <w:p>
        <w:pPr>
          <w:pStyle w:val="6"/>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797"/>
      <w:docPartObj>
        <w:docPartGallery w:val="autotext"/>
      </w:docPartObj>
    </w:sdtPr>
    <w:sdtContent>
      <w:p>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10 -</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7DB8C"/>
    <w:multiLevelType w:val="singleLevel"/>
    <w:tmpl w:val="4387DB8C"/>
    <w:lvl w:ilvl="0" w:tentative="0">
      <w:start w:val="1"/>
      <w:numFmt w:val="decimal"/>
      <w:suff w:val="nothing"/>
      <w:lvlText w:val="（%1）"/>
      <w:lvlJc w:val="left"/>
    </w:lvl>
  </w:abstractNum>
  <w:abstractNum w:abstractNumId="1">
    <w:nsid w:val="65870EF0"/>
    <w:multiLevelType w:val="singleLevel"/>
    <w:tmpl w:val="65870EF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476DD0"/>
    <w:rsid w:val="000A4ADF"/>
    <w:rsid w:val="000C70F5"/>
    <w:rsid w:val="000C7821"/>
    <w:rsid w:val="001A7902"/>
    <w:rsid w:val="001C7122"/>
    <w:rsid w:val="00232FAF"/>
    <w:rsid w:val="00254EB3"/>
    <w:rsid w:val="002C319F"/>
    <w:rsid w:val="003656CF"/>
    <w:rsid w:val="00445BFE"/>
    <w:rsid w:val="00476DD0"/>
    <w:rsid w:val="004F2629"/>
    <w:rsid w:val="00540F1D"/>
    <w:rsid w:val="0062379E"/>
    <w:rsid w:val="0072407B"/>
    <w:rsid w:val="007248F4"/>
    <w:rsid w:val="008179C8"/>
    <w:rsid w:val="008204DE"/>
    <w:rsid w:val="008347E3"/>
    <w:rsid w:val="008B525A"/>
    <w:rsid w:val="0093691B"/>
    <w:rsid w:val="009651E1"/>
    <w:rsid w:val="00C225BD"/>
    <w:rsid w:val="00C84146"/>
    <w:rsid w:val="00D53852"/>
    <w:rsid w:val="00DB6EAB"/>
    <w:rsid w:val="00E059DD"/>
    <w:rsid w:val="00E13188"/>
    <w:rsid w:val="00FB7076"/>
    <w:rsid w:val="080F7442"/>
    <w:rsid w:val="0BF66DE5"/>
    <w:rsid w:val="1D8D5D4F"/>
    <w:rsid w:val="1E1D728E"/>
    <w:rsid w:val="23F87B58"/>
    <w:rsid w:val="2A170D26"/>
    <w:rsid w:val="2CEF26F1"/>
    <w:rsid w:val="2E45340B"/>
    <w:rsid w:val="2EB1359E"/>
    <w:rsid w:val="2FCA23C8"/>
    <w:rsid w:val="35070C64"/>
    <w:rsid w:val="3F123F8A"/>
    <w:rsid w:val="41C662B6"/>
    <w:rsid w:val="45AB7AFC"/>
    <w:rsid w:val="4A0A0A5A"/>
    <w:rsid w:val="4EE6577B"/>
    <w:rsid w:val="50B61D5C"/>
    <w:rsid w:val="53303986"/>
    <w:rsid w:val="601C066F"/>
    <w:rsid w:val="62BB39F6"/>
    <w:rsid w:val="66A773F8"/>
    <w:rsid w:val="6D5134B5"/>
    <w:rsid w:val="72B01257"/>
    <w:rsid w:val="72C82B80"/>
    <w:rsid w:val="7F1C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link w:val="13"/>
    <w:qFormat/>
    <w:uiPriority w:val="0"/>
    <w:pPr>
      <w:spacing w:after="120"/>
    </w:pPr>
  </w:style>
  <w:style w:type="paragraph" w:styleId="5">
    <w:name w:val="Balloon Text"/>
    <w:basedOn w:val="1"/>
    <w:link w:val="14"/>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99"/>
    <w:rPr>
      <w:rFonts w:asciiTheme="minorHAnsi" w:hAnsiTheme="minorHAnsi" w:eastAsiaTheme="minorEastAsia" w:cstheme="minorBidi"/>
      <w:kern w:val="2"/>
      <w:sz w:val="18"/>
      <w:szCs w:val="18"/>
    </w:rPr>
  </w:style>
  <w:style w:type="character" w:customStyle="1" w:styleId="13">
    <w:name w:val="正文文本 Char"/>
    <w:basedOn w:val="10"/>
    <w:link w:val="4"/>
    <w:qFormat/>
    <w:uiPriority w:val="0"/>
    <w:rPr>
      <w:rFonts w:asciiTheme="minorHAnsi" w:hAnsiTheme="minorHAnsi" w:eastAsiaTheme="minorEastAsia" w:cstheme="minorBidi"/>
      <w:kern w:val="2"/>
      <w:sz w:val="21"/>
      <w:szCs w:val="24"/>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B0399F-0F7F-4A81-A5BE-662CEF50AB17}">
  <ds:schemaRefs/>
</ds:datastoreItem>
</file>

<file path=docProps/app.xml><?xml version="1.0" encoding="utf-8"?>
<Properties xmlns="http://schemas.openxmlformats.org/officeDocument/2006/extended-properties" xmlns:vt="http://schemas.openxmlformats.org/officeDocument/2006/docPropsVTypes">
  <Template>Normal</Template>
  <Pages>16</Pages>
  <Words>950</Words>
  <Characters>5416</Characters>
  <Lines>45</Lines>
  <Paragraphs>12</Paragraphs>
  <TotalTime>64</TotalTime>
  <ScaleCrop>false</ScaleCrop>
  <LinksUpToDate>false</LinksUpToDate>
  <CharactersWithSpaces>6354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2020-01-30T08:23:00Z</dcterms:created>
  <dc:creator>fffg</dc:creator>
  <cp:lastModifiedBy>温星星</cp:lastModifiedBy>
  <cp:lastPrinted>2020-02-01T02:02:00Z</cp:lastPrinted>
  <dcterms:modified xsi:type="dcterms:W3CDTF">2024-02-05T06:59:15Z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8C42FC59D8A049599AA5C492EB124A1F_12</vt:lpwstr>
  </property>
</Properties>
</file>