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3"/>
        <w:numPr>
          <w:ilvl w:val="0"/>
          <w:numId w:val="0"/>
        </w:numPr>
        <w:bidi w:val="0"/>
        <w:ind w:leftChars="0" w:right="0" w:rightChars="0"/>
        <w:jc w:val="center"/>
        <w:rPr>
          <w:rFonts w:hint="default"/>
          <w:sz w:val="48"/>
          <w:szCs w:val="48"/>
        </w:rPr>
      </w:pPr>
      <w:r>
        <w:rPr>
          <w:rFonts w:hint="eastAsia"/>
          <w:sz w:val="48"/>
          <w:szCs w:val="48"/>
          <w:lang w:val="en-US" w:eastAsia="zh-CN"/>
        </w:rPr>
        <w:t>丰都县赤溪河</w:t>
      </w:r>
      <w:r>
        <w:rPr>
          <w:sz w:val="48"/>
          <w:szCs w:val="48"/>
        </w:rPr>
        <w:t>“一河一策”方案</w:t>
      </w:r>
    </w:p>
    <w:p>
      <w:pPr>
        <w:pStyle w:val="3"/>
        <w:numPr>
          <w:ilvl w:val="0"/>
          <w:numId w:val="0"/>
        </w:numPr>
        <w:bidi w:val="0"/>
        <w:ind w:leftChars="0" w:right="0" w:rightChars="0"/>
        <w:jc w:val="center"/>
        <w:rPr>
          <w:rFonts w:hint="default"/>
          <w:sz w:val="48"/>
          <w:szCs w:val="48"/>
        </w:rPr>
      </w:pPr>
    </w:p>
    <w:p>
      <w:pPr>
        <w:rPr>
          <w:rFonts w:hint="default"/>
        </w:rPr>
      </w:pPr>
    </w:p>
    <w:p>
      <w:pPr>
        <w:rPr>
          <w:rFonts w:hint="default"/>
        </w:rPr>
      </w:pPr>
    </w:p>
    <w:p>
      <w:pPr>
        <w:rPr>
          <w:rFonts w:hint="eastAsia" w:ascii="方正公文黑体" w:hAnsi="方正公文黑体" w:eastAsia="方正公文黑体" w:cs="方正公文黑体"/>
        </w:rPr>
      </w:pPr>
    </w:p>
    <w:p>
      <w:pPr>
        <w:rPr>
          <w:rFonts w:hint="default"/>
        </w:rPr>
      </w:pPr>
    </w:p>
    <w:p>
      <w:pPr>
        <w:rPr>
          <w:rFonts w:hint="default"/>
        </w:rPr>
      </w:pPr>
    </w:p>
    <w:p>
      <w:pPr>
        <w:rPr>
          <w:rFonts w:hint="default"/>
        </w:rPr>
      </w:pPr>
    </w:p>
    <w:p>
      <w:pPr>
        <w:rPr>
          <w:rFonts w:hint="default"/>
        </w:rPr>
      </w:pPr>
    </w:p>
    <w:p>
      <w:pPr>
        <w:pStyle w:val="4"/>
        <w:numPr>
          <w:ilvl w:val="2"/>
          <w:numId w:val="0"/>
        </w:numPr>
        <w:bidi w:val="0"/>
        <w:ind w:leftChars="0" w:right="0" w:rightChars="0"/>
        <w:jc w:val="center"/>
        <w:rPr>
          <w:rFonts w:hint="eastAsia"/>
          <w:lang w:val="en-US" w:eastAsia="zh-CN"/>
        </w:rPr>
      </w:pPr>
      <w:r>
        <w:rPr>
          <w:rFonts w:hint="eastAsia"/>
          <w:lang w:val="en-US" w:eastAsia="zh-CN"/>
        </w:rPr>
        <w:t>重庆市能源利用监测中心</w:t>
      </w:r>
    </w:p>
    <w:p>
      <w:pPr>
        <w:pStyle w:val="2"/>
        <w:numPr>
          <w:ilvl w:val="1"/>
          <w:numId w:val="0"/>
        </w:numPr>
        <w:ind w:leftChars="0" w:right="0" w:rightChars="0"/>
        <w:jc w:val="center"/>
        <w:rPr>
          <w:rFonts w:hint="default"/>
          <w:lang w:val="en-US" w:eastAsia="zh-CN"/>
        </w:rPr>
      </w:pPr>
      <w:r>
        <w:rPr>
          <w:rFonts w:hint="eastAsia"/>
          <w:lang w:val="en-US" w:eastAsia="zh-CN"/>
        </w:rPr>
        <w:t>（重庆市技能技术服务中心）</w:t>
      </w:r>
    </w:p>
    <w:p>
      <w:pPr>
        <w:pStyle w:val="3"/>
        <w:keepNext/>
        <w:keepLines/>
        <w:pageBreakBefore w:val="0"/>
        <w:widowControl w:val="0"/>
        <w:numPr>
          <w:ilvl w:val="0"/>
          <w:numId w:val="0"/>
        </w:numPr>
        <w:kinsoku/>
        <w:wordWrap/>
        <w:overflowPunct/>
        <w:topLinePunct w:val="0"/>
        <w:autoSpaceDE w:val="0"/>
        <w:autoSpaceDN w:val="0"/>
        <w:bidi w:val="0"/>
        <w:adjustRightInd/>
        <w:snapToGrid/>
        <w:ind w:leftChars="0" w:right="0" w:rightChars="0"/>
        <w:jc w:val="center"/>
        <w:textAlignment w:val="auto"/>
        <w:outlineLvl w:val="9"/>
        <w:rPr>
          <w:rFonts w:hint="default" w:ascii="Times New Roman" w:hAnsi="Times New Roman"/>
          <w:sz w:val="32"/>
          <w:szCs w:val="21"/>
        </w:rPr>
      </w:pPr>
    </w:p>
    <w:p>
      <w:pPr>
        <w:pStyle w:val="3"/>
        <w:keepNext/>
        <w:keepLines/>
        <w:pageBreakBefore w:val="0"/>
        <w:widowControl w:val="0"/>
        <w:numPr>
          <w:ilvl w:val="0"/>
          <w:numId w:val="0"/>
        </w:numPr>
        <w:kinsoku/>
        <w:wordWrap/>
        <w:overflowPunct/>
        <w:topLinePunct w:val="0"/>
        <w:autoSpaceDE w:val="0"/>
        <w:autoSpaceDN w:val="0"/>
        <w:bidi w:val="0"/>
        <w:adjustRightInd/>
        <w:snapToGrid/>
        <w:ind w:leftChars="0" w:right="0" w:rightChars="0"/>
        <w:jc w:val="center"/>
        <w:textAlignment w:val="auto"/>
        <w:outlineLvl w:val="9"/>
        <w:rPr>
          <w:rFonts w:hint="default" w:ascii="Times New Roman"/>
          <w:sz w:val="32"/>
          <w:szCs w:val="21"/>
        </w:rPr>
        <w:sectPr>
          <w:pgSz w:w="11910" w:h="16840"/>
          <w:pgMar w:top="1580" w:right="1180" w:bottom="1680" w:left="1180" w:header="0" w:footer="1454" w:gutter="0"/>
          <w:pgNumType w:fmt="upperRoman"/>
          <w:cols w:space="720" w:num="1"/>
        </w:sectPr>
      </w:pPr>
      <w:r>
        <w:rPr>
          <w:rFonts w:hint="default" w:ascii="Times New Roman" w:hAnsi="Times New Roman"/>
          <w:sz w:val="32"/>
          <w:szCs w:val="21"/>
        </w:rPr>
        <w:t>2021</w:t>
      </w:r>
      <w:r>
        <w:rPr>
          <w:rFonts w:hint="default" w:ascii="Times New Roman"/>
          <w:sz w:val="32"/>
          <w:szCs w:val="21"/>
        </w:rPr>
        <w:t>年</w:t>
      </w:r>
      <w:r>
        <w:rPr>
          <w:rFonts w:ascii="Times New Roman"/>
          <w:sz w:val="32"/>
          <w:szCs w:val="21"/>
        </w:rPr>
        <w:t>5</w:t>
      </w:r>
      <w:r>
        <w:rPr>
          <w:rFonts w:hint="default" w:ascii="Times New Roman"/>
          <w:sz w:val="32"/>
          <w:szCs w:val="21"/>
        </w:rPr>
        <w:t>月</w:t>
      </w:r>
    </w:p>
    <w:p>
      <w:pPr>
        <w:pStyle w:val="25"/>
        <w:bidi w:val="0"/>
        <w:rPr>
          <w:rFonts w:hint="eastAsia"/>
          <w:lang w:eastAsia="zh-CN"/>
        </w:rPr>
        <w:sectPr>
          <w:footerReference r:id="rId5" w:type="default"/>
          <w:pgSz w:w="11910" w:h="16840"/>
          <w:pgMar w:top="1580" w:right="1180" w:bottom="1680" w:left="1180" w:header="0" w:footer="1454" w:gutter="0"/>
          <w:pgNumType w:fmt="upperRoman" w:start="1"/>
          <w:cols w:space="720" w:num="1"/>
        </w:sectPr>
      </w:pPr>
      <w:r>
        <w:rPr>
          <w:rFonts w:hint="eastAsia"/>
          <w:lang w:eastAsia="zh-CN"/>
        </w:rPr>
        <w:drawing>
          <wp:inline distT="0" distB="0" distL="114300" distR="114300">
            <wp:extent cx="5585460" cy="7886700"/>
            <wp:effectExtent l="0" t="0" r="15240" b="0"/>
            <wp:docPr id="9" name="图片 9" descr="lALPD4PvNLP5D6DNBAvNAt0_733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LPD4PvNLP5D6DNBAvNAt0_733_1035"/>
                    <pic:cNvPicPr>
                      <a:picLocks noChangeAspect="1"/>
                    </pic:cNvPicPr>
                  </pic:nvPicPr>
                  <pic:blipFill>
                    <a:blip r:embed="rId12"/>
                    <a:stretch>
                      <a:fillRect/>
                    </a:stretch>
                  </pic:blipFill>
                  <pic:spPr>
                    <a:xfrm>
                      <a:off x="0" y="0"/>
                      <a:ext cx="5585460" cy="7886700"/>
                    </a:xfrm>
                    <a:prstGeom prst="rect">
                      <a:avLst/>
                    </a:prstGeom>
                  </pic:spPr>
                </pic:pic>
              </a:graphicData>
            </a:graphic>
          </wp:inline>
        </w:drawing>
      </w:r>
    </w:p>
    <w:p>
      <w:pPr>
        <w:spacing w:line="360" w:lineRule="auto"/>
        <w:rPr>
          <w:rFonts w:hint="default" w:ascii="Times New Roman"/>
          <w:sz w:val="28"/>
          <w:szCs w:val="21"/>
        </w:rPr>
      </w:pPr>
      <w:r>
        <w:rPr>
          <w:rFonts w:ascii="Times New Roman"/>
          <w:b/>
          <w:sz w:val="28"/>
          <w:szCs w:val="21"/>
        </w:rPr>
        <w:t>项目名称：</w:t>
      </w:r>
      <w:r>
        <w:rPr>
          <w:rFonts w:hint="eastAsia" w:ascii="Times New Roman"/>
          <w:sz w:val="28"/>
          <w:szCs w:val="21"/>
          <w:lang w:val="en-US" w:eastAsia="zh-CN"/>
        </w:rPr>
        <w:t>丰都县赤溪</w:t>
      </w:r>
      <w:r>
        <w:rPr>
          <w:rFonts w:ascii="Times New Roman"/>
          <w:sz w:val="28"/>
          <w:szCs w:val="21"/>
        </w:rPr>
        <w:t>“一河一策“方案</w:t>
      </w:r>
    </w:p>
    <w:p>
      <w:pPr>
        <w:rPr>
          <w:rFonts w:hint="default"/>
          <w:sz w:val="28"/>
        </w:rPr>
      </w:pPr>
    </w:p>
    <w:p>
      <w:pPr>
        <w:spacing w:line="360" w:lineRule="auto"/>
        <w:rPr>
          <w:rFonts w:hint="default" w:ascii="Times New Roman" w:eastAsia="方正仿宋_GBK"/>
          <w:sz w:val="28"/>
          <w:szCs w:val="21"/>
          <w:lang w:val="en-US" w:eastAsia="zh-CN"/>
        </w:rPr>
      </w:pPr>
      <w:r>
        <w:rPr>
          <w:rFonts w:ascii="Times New Roman"/>
          <w:b/>
          <w:sz w:val="28"/>
          <w:szCs w:val="21"/>
        </w:rPr>
        <w:t>项目业主单位：</w:t>
      </w:r>
      <w:r>
        <w:rPr>
          <w:rFonts w:hint="eastAsia" w:ascii="Times New Roman"/>
          <w:sz w:val="28"/>
          <w:szCs w:val="21"/>
          <w:lang w:val="en-US" w:eastAsia="zh-CN"/>
        </w:rPr>
        <w:t>丰都县经信委</w:t>
      </w:r>
    </w:p>
    <w:p>
      <w:pPr>
        <w:rPr>
          <w:rFonts w:hint="default"/>
          <w:sz w:val="28"/>
        </w:rPr>
      </w:pPr>
    </w:p>
    <w:p>
      <w:pPr>
        <w:pStyle w:val="4"/>
        <w:numPr>
          <w:ilvl w:val="2"/>
          <w:numId w:val="0"/>
        </w:numPr>
        <w:bidi w:val="0"/>
        <w:ind w:leftChars="0" w:right="0" w:rightChars="0" w:firstLine="560" w:firstLineChars="200"/>
        <w:jc w:val="both"/>
        <w:rPr>
          <w:rFonts w:hint="eastAsia" w:ascii="Times New Roman" w:hAnsi="方正仿宋_GBK" w:eastAsia="方正仿宋_GBK" w:cs="方正仿宋_GBK"/>
          <w:bCs w:val="0"/>
          <w:sz w:val="28"/>
          <w:szCs w:val="21"/>
          <w:lang w:val="en-US" w:eastAsia="zh-CN" w:bidi="zh-CN"/>
        </w:rPr>
      </w:pPr>
      <w:r>
        <w:rPr>
          <w:rFonts w:ascii="Times New Roman"/>
          <w:b/>
          <w:sz w:val="28"/>
          <w:szCs w:val="21"/>
        </w:rPr>
        <w:t>项目编制单位：</w:t>
      </w:r>
      <w:r>
        <w:rPr>
          <w:rFonts w:hint="eastAsia" w:ascii="Times New Roman" w:hAnsi="方正仿宋_GBK" w:eastAsia="方正仿宋_GBK" w:cs="方正仿宋_GBK"/>
          <w:bCs w:val="0"/>
          <w:sz w:val="28"/>
          <w:szCs w:val="21"/>
          <w:lang w:val="en-US" w:eastAsia="zh-CN" w:bidi="zh-CN"/>
        </w:rPr>
        <w:t>重庆市能源利用监测中心</w:t>
      </w:r>
    </w:p>
    <w:p>
      <w:pPr>
        <w:spacing w:line="360" w:lineRule="auto"/>
        <w:ind w:firstLine="2520" w:firstLineChars="900"/>
        <w:rPr>
          <w:rFonts w:hint="default" w:ascii="Times New Roman" w:hAnsi="方正仿宋_GBK" w:eastAsia="方正仿宋_GBK" w:cs="方正仿宋_GBK"/>
          <w:bCs w:val="0"/>
          <w:sz w:val="28"/>
          <w:szCs w:val="21"/>
          <w:lang w:val="zh-CN" w:eastAsia="zh-CN" w:bidi="zh-CN"/>
        </w:rPr>
      </w:pPr>
      <w:r>
        <w:rPr>
          <w:rFonts w:hint="eastAsia" w:ascii="Times New Roman" w:hAnsi="方正仿宋_GBK" w:eastAsia="方正仿宋_GBK" w:cs="方正仿宋_GBK"/>
          <w:bCs w:val="0"/>
          <w:sz w:val="28"/>
          <w:szCs w:val="21"/>
          <w:lang w:val="en-US" w:eastAsia="zh-CN" w:bidi="zh-CN"/>
        </w:rPr>
        <w:t>（重庆市技能技术服务中心）</w:t>
      </w:r>
    </w:p>
    <w:p>
      <w:pPr>
        <w:rPr>
          <w:rFonts w:hint="default"/>
          <w:sz w:val="28"/>
        </w:rPr>
      </w:pPr>
    </w:p>
    <w:p>
      <w:pPr>
        <w:spacing w:line="360" w:lineRule="auto"/>
        <w:rPr>
          <w:rFonts w:hint="eastAsia" w:ascii="Times New Roman" w:eastAsia="方正仿宋_GBK"/>
          <w:sz w:val="28"/>
          <w:szCs w:val="21"/>
          <w:lang w:eastAsia="zh-CN"/>
        </w:rPr>
      </w:pPr>
      <w:r>
        <w:rPr>
          <w:rFonts w:ascii="Times New Roman"/>
          <w:b/>
          <w:sz w:val="28"/>
          <w:szCs w:val="21"/>
        </w:rPr>
        <w:t>项目负责人：</w:t>
      </w:r>
      <w:r>
        <w:rPr>
          <w:rFonts w:hint="eastAsia" w:ascii="Times New Roman"/>
          <w:sz w:val="28"/>
          <w:szCs w:val="21"/>
          <w:lang w:val="en-US" w:eastAsia="zh-CN"/>
        </w:rPr>
        <w:t>项洁</w:t>
      </w:r>
    </w:p>
    <w:p>
      <w:pPr>
        <w:rPr>
          <w:rFonts w:hint="default"/>
          <w:sz w:val="28"/>
        </w:rPr>
      </w:pPr>
    </w:p>
    <w:p>
      <w:pPr>
        <w:spacing w:line="360" w:lineRule="auto"/>
        <w:rPr>
          <w:rFonts w:hint="eastAsia" w:ascii="Times New Roman" w:eastAsia="方正仿宋_GBK"/>
          <w:sz w:val="28"/>
          <w:szCs w:val="21"/>
          <w:lang w:eastAsia="zh-CN"/>
        </w:rPr>
      </w:pPr>
      <w:r>
        <w:rPr>
          <w:rFonts w:ascii="Times New Roman"/>
          <w:b/>
          <w:sz w:val="28"/>
          <w:szCs w:val="21"/>
        </w:rPr>
        <w:t>审核人员：</w:t>
      </w:r>
      <w:r>
        <w:rPr>
          <w:rFonts w:hint="eastAsia" w:ascii="Times New Roman"/>
          <w:sz w:val="28"/>
          <w:szCs w:val="21"/>
          <w:lang w:val="en-US" w:eastAsia="zh-CN"/>
        </w:rPr>
        <w:t>张程</w:t>
      </w:r>
    </w:p>
    <w:p>
      <w:pPr>
        <w:rPr>
          <w:rFonts w:hint="default"/>
          <w:sz w:val="28"/>
        </w:rPr>
      </w:pPr>
    </w:p>
    <w:p>
      <w:pPr>
        <w:spacing w:line="360" w:lineRule="auto"/>
        <w:rPr>
          <w:rFonts w:hint="default" w:ascii="Times New Roman"/>
          <w:sz w:val="36"/>
          <w:szCs w:val="21"/>
        </w:rPr>
        <w:sectPr>
          <w:pgSz w:w="11906" w:h="16838"/>
          <w:pgMar w:top="1440" w:right="1800" w:bottom="1440" w:left="1800" w:header="851" w:footer="992" w:gutter="0"/>
          <w:pgNumType w:fmt="upperRoman"/>
          <w:cols w:space="425" w:num="1"/>
          <w:docGrid w:type="lines" w:linePitch="312" w:charSpace="0"/>
        </w:sectPr>
      </w:pPr>
      <w:r>
        <w:rPr>
          <w:rFonts w:ascii="Times New Roman"/>
          <w:b/>
          <w:sz w:val="28"/>
          <w:szCs w:val="21"/>
        </w:rPr>
        <w:t>编制人员：</w:t>
      </w:r>
      <w:r>
        <w:rPr>
          <w:rFonts w:hint="eastAsia" w:ascii="Times New Roman"/>
          <w:sz w:val="28"/>
          <w:szCs w:val="21"/>
          <w:lang w:val="en-US" w:eastAsia="zh-CN"/>
        </w:rPr>
        <w:t>周乾</w:t>
      </w:r>
      <w:r>
        <w:rPr>
          <w:rFonts w:ascii="Times New Roman"/>
          <w:sz w:val="28"/>
          <w:szCs w:val="21"/>
        </w:rPr>
        <w:t xml:space="preserve">   </w:t>
      </w:r>
      <w:r>
        <w:rPr>
          <w:rFonts w:hint="eastAsia" w:ascii="Times New Roman"/>
          <w:sz w:val="28"/>
          <w:szCs w:val="21"/>
          <w:lang w:val="en-US" w:eastAsia="zh-CN"/>
        </w:rPr>
        <w:t>陈昌明</w:t>
      </w:r>
      <w:r>
        <w:rPr>
          <w:rFonts w:ascii="Times New Roman"/>
          <w:sz w:val="28"/>
          <w:szCs w:val="21"/>
        </w:rPr>
        <w:t xml:space="preserve">   </w:t>
      </w:r>
    </w:p>
    <w:p>
      <w:pPr>
        <w:pStyle w:val="3"/>
        <w:keepNext/>
        <w:keepLines/>
        <w:pageBreakBefore w:val="0"/>
        <w:widowControl w:val="0"/>
        <w:numPr>
          <w:ilvl w:val="0"/>
          <w:numId w:val="0"/>
        </w:numPr>
        <w:kinsoku/>
        <w:wordWrap/>
        <w:overflowPunct/>
        <w:topLinePunct w:val="0"/>
        <w:autoSpaceDE w:val="0"/>
        <w:autoSpaceDN w:val="0"/>
        <w:bidi w:val="0"/>
        <w:adjustRightInd/>
        <w:snapToGrid/>
        <w:ind w:leftChars="0" w:right="0" w:rightChars="0"/>
        <w:jc w:val="center"/>
        <w:textAlignment w:val="auto"/>
      </w:pPr>
      <w:bookmarkStart w:id="0" w:name="_Toc2174"/>
      <w:r>
        <w:t>前</w:t>
      </w:r>
      <w:r>
        <w:tab/>
      </w:r>
      <w:r>
        <w:t>言</w:t>
      </w:r>
      <w:bookmarkEnd w:id="0"/>
    </w:p>
    <w:p>
      <w:pPr>
        <w:bidi w:val="0"/>
        <w:rPr>
          <w:rFonts w:hint="default"/>
        </w:rPr>
      </w:pPr>
      <w:r>
        <w:rPr>
          <w:rFonts w:hint="default"/>
        </w:rPr>
        <w:t>全面推行河长制，是落实绿色发展理念、推进生态文明建设的内在要求，是解决复杂水问题、维护河湖健康生命的有效举措，是完善水治理体系、保障水安全的制度创新。“一河一策”方案是全面推行河长制的工作指南，是各行业各部门推动工作落实的基础依据。于201</w:t>
      </w:r>
      <w:r>
        <w:rPr>
          <w:rFonts w:hint="eastAsia"/>
          <w:lang w:val="en-US" w:eastAsia="zh-CN"/>
        </w:rPr>
        <w:t>8</w:t>
      </w:r>
      <w:r>
        <w:rPr>
          <w:rFonts w:hint="default"/>
        </w:rPr>
        <w:t>年组织相关单位编制了《</w:t>
      </w:r>
      <w:r>
        <w:rPr>
          <w:rFonts w:hint="eastAsia"/>
          <w:lang w:val="en-US" w:eastAsia="zh-CN"/>
        </w:rPr>
        <w:t>重庆市丰都县赤溪河</w:t>
      </w:r>
      <w:r>
        <w:t>“</w:t>
      </w:r>
      <w:r>
        <w:rPr>
          <w:rFonts w:hint="default"/>
        </w:rPr>
        <w:t>一河一策</w:t>
      </w:r>
      <w:r>
        <w:t>”</w:t>
      </w:r>
      <w:r>
        <w:rPr>
          <w:rFonts w:hint="default"/>
        </w:rPr>
        <w:t>方案》，各镇各部门各级河长在区委、区政府的正确领导下，在严格执行一河一策方案、依法开展</w:t>
      </w:r>
      <w:r>
        <w:rPr>
          <w:rFonts w:hint="eastAsia"/>
          <w:lang w:eastAsia="zh-CN"/>
        </w:rPr>
        <w:t>赤溪河</w:t>
      </w:r>
      <w:r>
        <w:rPr>
          <w:rFonts w:hint="default"/>
        </w:rPr>
        <w:t>治理保护上取得了阶段性成效。</w:t>
      </w:r>
    </w:p>
    <w:p>
      <w:pPr>
        <w:bidi w:val="0"/>
      </w:pPr>
      <w:r>
        <w:rPr>
          <w:rFonts w:hint="default"/>
        </w:rPr>
        <w:t>为深入贯彻落实中央关于全面推行河长制的决策部署和重庆</w:t>
      </w:r>
      <w:bookmarkStart w:id="102" w:name="_GoBack"/>
      <w:bookmarkEnd w:id="102"/>
      <w:r>
        <w:rPr>
          <w:rFonts w:hint="eastAsia"/>
          <w:lang w:eastAsia="zh-CN"/>
        </w:rPr>
        <w:t>市委</w:t>
      </w:r>
      <w:r>
        <w:rPr>
          <w:rFonts w:hint="default"/>
        </w:rPr>
        <w:t>、市政府对河长制工作的相关要求，进一步加强河道管理与保护，建立健全长效管护机制，不断推进河流治理体系和治理能力现代化，助推成渝地区双城经济圈建设，切实筑牢长江上游重要生态屏障，本方案依据《重庆市一河（库）一策”方案编制大纲》（试行）</w:t>
      </w:r>
      <w:r>
        <w:rPr>
          <w:rFonts w:hint="eastAsia"/>
          <w:lang w:val="en-US" w:eastAsia="zh-CN"/>
        </w:rPr>
        <w:t>和</w:t>
      </w:r>
      <w:r>
        <w:rPr>
          <w:rFonts w:hint="default"/>
        </w:rPr>
        <w:t>，开展</w:t>
      </w:r>
      <w:r>
        <w:rPr>
          <w:rFonts w:hint="eastAsia"/>
          <w:lang w:val="en-US" w:eastAsia="zh-CN"/>
        </w:rPr>
        <w:t>丰都县赤溪河</w:t>
      </w:r>
      <w:r>
        <w:rPr>
          <w:rFonts w:hint="default"/>
        </w:rPr>
        <w:t>“一河一策”方案编制（修编）工作，根据自然地理、社会环境和服务功能等差异性特征，以问题为导向，合理确定实施周期内可预期、可实现的管理保护目标、任务和措施，以期确保</w:t>
      </w:r>
      <w:r>
        <w:rPr>
          <w:rFonts w:hint="eastAsia"/>
          <w:lang w:val="en-US" w:eastAsia="zh-CN"/>
        </w:rPr>
        <w:t>赤溪河</w:t>
      </w:r>
      <w:r>
        <w:rPr>
          <w:rFonts w:hint="default"/>
        </w:rPr>
        <w:t>的长治久安。</w:t>
      </w:r>
    </w:p>
    <w:p>
      <w:pPr>
        <w:bidi w:val="0"/>
        <w:sectPr>
          <w:footerReference r:id="rId6" w:type="default"/>
          <w:pgSz w:w="11910" w:h="16840"/>
          <w:pgMar w:top="1580" w:right="1180" w:bottom="1680" w:left="1180" w:header="0" w:footer="1454" w:gutter="0"/>
          <w:pgNumType w:fmt="upperRoman" w:start="1"/>
          <w:cols w:space="720" w:num="1"/>
        </w:sectPr>
      </w:pPr>
    </w:p>
    <w:sdt>
      <w:sdtPr>
        <w:rPr>
          <w:rFonts w:hint="eastAsia" w:ascii="方正仿宋_GBK" w:hAnsi="方正仿宋_GBK" w:eastAsia="方正仿宋_GBK" w:cs="方正仿宋_GBK"/>
          <w:sz w:val="44"/>
          <w:szCs w:val="44"/>
          <w:lang w:val="zh-CN" w:eastAsia="zh-CN" w:bidi="zh-CN"/>
        </w:rPr>
        <w:id w:val="147469858"/>
        <w15:color w:val="DBDBDB"/>
        <w:docPartObj>
          <w:docPartGallery w:val="Table of Contents"/>
          <w:docPartUnique/>
        </w:docPartObj>
      </w:sdtPr>
      <w:sdtEndPr>
        <w:rPr>
          <w:rFonts w:hint="eastAsia" w:ascii="方正仿宋_GBK" w:hAnsi="方正仿宋_GBK" w:eastAsia="方正仿宋_GBK" w:cs="方正仿宋_GBK"/>
          <w:b/>
          <w:sz w:val="32"/>
          <w:szCs w:val="22"/>
          <w:lang w:val="zh-CN" w:eastAsia="zh-CN" w:bidi="zh-CN"/>
        </w:rPr>
      </w:sdtEndPr>
      <w:sdtContent>
        <w:p>
          <w:pPr>
            <w:spacing w:before="0" w:beforeLines="0" w:after="0" w:afterLines="0" w:line="240" w:lineRule="auto"/>
            <w:ind w:left="0" w:leftChars="0" w:right="0" w:rightChars="0" w:firstLine="0" w:firstLineChars="0"/>
            <w:jc w:val="center"/>
          </w:pPr>
          <w:r>
            <w:rPr>
              <w:rFonts w:hint="eastAsia" w:ascii="方正仿宋_GBK" w:hAnsi="方正仿宋_GBK" w:eastAsia="方正仿宋_GBK" w:cs="方正仿宋_GBK"/>
              <w:sz w:val="44"/>
              <w:szCs w:val="44"/>
            </w:rPr>
            <w:t>目录</w:t>
          </w:r>
          <w:r>
            <w:fldChar w:fldCharType="begin"/>
          </w:r>
          <w:r>
            <w:instrText xml:space="preserve">TOC \o "1-2" \h \u </w:instrText>
          </w:r>
          <w:r>
            <w:fldChar w:fldCharType="separate"/>
          </w:r>
        </w:p>
        <w:p>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_Toc30187 </w:instrText>
          </w:r>
          <w:r>
            <w:fldChar w:fldCharType="separate"/>
          </w:r>
          <w:r>
            <w:rPr>
              <w:rFonts w:hint="default" w:ascii="方正仿宋_GBK" w:hAnsi="方正仿宋_GBK" w:eastAsia="方正仿宋_GBK" w:cs="方正仿宋_GBK"/>
              <w:bCs/>
              <w:w w:val="99"/>
              <w:szCs w:val="32"/>
              <w:lang w:val="zh-CN" w:eastAsia="zh-CN" w:bidi="zh-CN"/>
            </w:rPr>
            <w:t xml:space="preserve">1 </w:t>
          </w:r>
          <w:r>
            <w:t>综合说明</w:t>
          </w:r>
          <w:r>
            <w:tab/>
          </w:r>
          <w:r>
            <w:fldChar w:fldCharType="begin"/>
          </w:r>
          <w:r>
            <w:instrText xml:space="preserve"> PAGEREF _Toc30187 \h </w:instrText>
          </w:r>
          <w:r>
            <w:fldChar w:fldCharType="separate"/>
          </w:r>
          <w:r>
            <w:t>1</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_Toc3570 </w:instrText>
          </w:r>
          <w:r>
            <w:fldChar w:fldCharType="separate"/>
          </w:r>
          <w:r>
            <w:rPr>
              <w:rFonts w:hint="default" w:ascii="方正仿宋_GBK" w:hAnsi="方正仿宋_GBK" w:eastAsia="方正仿宋_GBK" w:cs="方正仿宋_GBK"/>
              <w:bCs/>
              <w:spacing w:val="-2"/>
              <w:w w:val="99"/>
              <w:szCs w:val="32"/>
              <w:lang w:val="zh-CN" w:eastAsia="zh-CN" w:bidi="zh-CN"/>
            </w:rPr>
            <w:t xml:space="preserve">1.1 </w:t>
          </w:r>
          <w:r>
            <w:rPr>
              <w:rFonts w:hint="eastAsia" w:ascii="方正仿宋_GBK" w:hAnsi="方正仿宋_GBK" w:eastAsia="方正仿宋_GBK" w:cs="方正仿宋_GBK"/>
              <w:bCs/>
            </w:rPr>
            <w:t>编制依据</w:t>
          </w:r>
          <w:r>
            <w:tab/>
          </w:r>
          <w:r>
            <w:fldChar w:fldCharType="begin"/>
          </w:r>
          <w:r>
            <w:instrText xml:space="preserve"> PAGEREF _Toc3570 \h </w:instrText>
          </w:r>
          <w:r>
            <w:fldChar w:fldCharType="separate"/>
          </w:r>
          <w:r>
            <w:t>1</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_Toc27448 </w:instrText>
          </w:r>
          <w:r>
            <w:fldChar w:fldCharType="separate"/>
          </w:r>
          <w:r>
            <w:rPr>
              <w:rFonts w:hint="default" w:ascii="方正仿宋_GBK" w:hAnsi="方正仿宋_GBK" w:eastAsia="方正仿宋_GBK" w:cs="方正仿宋_GBK"/>
              <w:bCs/>
              <w:spacing w:val="-2"/>
              <w:w w:val="99"/>
              <w:szCs w:val="32"/>
              <w:lang w:val="zh-CN" w:eastAsia="zh-CN" w:bidi="zh-CN"/>
            </w:rPr>
            <w:t xml:space="preserve">1.2 </w:t>
          </w:r>
          <w:r>
            <w:rPr>
              <w:rFonts w:hint="eastAsia" w:ascii="方正仿宋_GBK" w:hAnsi="方正仿宋_GBK" w:eastAsia="方正仿宋_GBK" w:cs="方正仿宋_GBK"/>
              <w:bCs/>
            </w:rPr>
            <w:t>编制对象</w:t>
          </w:r>
          <w:r>
            <w:tab/>
          </w:r>
          <w:r>
            <w:fldChar w:fldCharType="begin"/>
          </w:r>
          <w:r>
            <w:instrText xml:space="preserve"> PAGEREF _Toc27448 \h </w:instrText>
          </w:r>
          <w:r>
            <w:fldChar w:fldCharType="separate"/>
          </w:r>
          <w:r>
            <w:t>3</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_Toc14599 </w:instrText>
          </w:r>
          <w:r>
            <w:fldChar w:fldCharType="separate"/>
          </w:r>
          <w:r>
            <w:rPr>
              <w:rFonts w:hint="default" w:ascii="方正仿宋_GBK" w:hAnsi="方正仿宋_GBK" w:eastAsia="方正仿宋_GBK" w:cs="方正仿宋_GBK"/>
              <w:bCs/>
              <w:spacing w:val="-2"/>
              <w:w w:val="99"/>
              <w:szCs w:val="32"/>
              <w:lang w:val="zh-CN" w:eastAsia="zh-CN" w:bidi="zh-CN"/>
            </w:rPr>
            <w:t xml:space="preserve">1.3 </w:t>
          </w:r>
          <w:r>
            <w:rPr>
              <w:rFonts w:hint="eastAsia" w:ascii="方正仿宋_GBK" w:hAnsi="方正仿宋_GBK" w:eastAsia="方正仿宋_GBK" w:cs="方正仿宋_GBK"/>
              <w:bCs/>
            </w:rPr>
            <w:t>编制主体</w:t>
          </w:r>
          <w:r>
            <w:tab/>
          </w:r>
          <w:r>
            <w:fldChar w:fldCharType="begin"/>
          </w:r>
          <w:r>
            <w:instrText xml:space="preserve"> PAGEREF _Toc14599 \h </w:instrText>
          </w:r>
          <w:r>
            <w:fldChar w:fldCharType="separate"/>
          </w:r>
          <w:r>
            <w:t>3</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_Toc23970 </w:instrText>
          </w:r>
          <w:r>
            <w:fldChar w:fldCharType="separate"/>
          </w:r>
          <w:r>
            <w:rPr>
              <w:rFonts w:hint="default" w:ascii="方正仿宋_GBK" w:hAnsi="方正仿宋_GBK" w:eastAsia="方正仿宋_GBK" w:cs="方正仿宋_GBK"/>
              <w:bCs/>
              <w:spacing w:val="-2"/>
              <w:w w:val="99"/>
              <w:szCs w:val="32"/>
              <w:lang w:val="zh-CN" w:eastAsia="zh-CN" w:bidi="zh-CN"/>
            </w:rPr>
            <w:t xml:space="preserve">1.4 </w:t>
          </w:r>
          <w:r>
            <w:rPr>
              <w:rFonts w:hint="eastAsia" w:ascii="方正仿宋_GBK" w:hAnsi="方正仿宋_GBK" w:eastAsia="方正仿宋_GBK" w:cs="方正仿宋_GBK"/>
              <w:bCs/>
            </w:rPr>
            <w:t>实施周期</w:t>
          </w:r>
          <w:r>
            <w:tab/>
          </w:r>
          <w:r>
            <w:fldChar w:fldCharType="begin"/>
          </w:r>
          <w:r>
            <w:instrText xml:space="preserve"> PAGEREF _Toc23970 \h </w:instrText>
          </w:r>
          <w:r>
            <w:fldChar w:fldCharType="separate"/>
          </w:r>
          <w:r>
            <w:t>4</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_Toc18669 </w:instrText>
          </w:r>
          <w:r>
            <w:fldChar w:fldCharType="separate"/>
          </w:r>
          <w:r>
            <w:rPr>
              <w:rFonts w:hint="default" w:ascii="方正仿宋_GBK" w:hAnsi="方正仿宋_GBK" w:eastAsia="方正仿宋_GBK" w:cs="方正仿宋_GBK"/>
              <w:bCs/>
              <w:spacing w:val="-2"/>
              <w:w w:val="99"/>
              <w:szCs w:val="32"/>
              <w:lang w:val="zh-CN" w:eastAsia="zh-CN" w:bidi="zh-CN"/>
            </w:rPr>
            <w:t xml:space="preserve">1.5 </w:t>
          </w:r>
          <w:r>
            <w:rPr>
              <w:rFonts w:hint="eastAsia" w:ascii="方正仿宋_GBK" w:hAnsi="方正仿宋_GBK" w:eastAsia="方正仿宋_GBK" w:cs="方正仿宋_GBK"/>
              <w:bCs/>
            </w:rPr>
            <w:t>河长组织体系</w:t>
          </w:r>
          <w:r>
            <w:tab/>
          </w:r>
          <w:r>
            <w:fldChar w:fldCharType="begin"/>
          </w:r>
          <w:r>
            <w:instrText xml:space="preserve"> PAGEREF _Toc18669 \h </w:instrText>
          </w:r>
          <w:r>
            <w:fldChar w:fldCharType="separate"/>
          </w:r>
          <w:r>
            <w:t>4</w:t>
          </w:r>
          <w:r>
            <w:fldChar w:fldCharType="end"/>
          </w:r>
          <w:r>
            <w:fldChar w:fldCharType="end"/>
          </w:r>
        </w:p>
        <w:p>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_Toc12842 </w:instrText>
          </w:r>
          <w:r>
            <w:fldChar w:fldCharType="separate"/>
          </w:r>
          <w:r>
            <w:rPr>
              <w:rFonts w:hint="default"/>
            </w:rPr>
            <w:t xml:space="preserve">2. </w:t>
          </w:r>
          <w:r>
            <w:t>上一实施周期主要成效</w:t>
          </w:r>
          <w:r>
            <w:tab/>
          </w:r>
          <w:r>
            <w:fldChar w:fldCharType="begin"/>
          </w:r>
          <w:r>
            <w:instrText xml:space="preserve"> PAGEREF _Toc12842 \h </w:instrText>
          </w:r>
          <w:r>
            <w:fldChar w:fldCharType="separate"/>
          </w:r>
          <w:r>
            <w:t>5</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_Toc4549 </w:instrText>
          </w:r>
          <w:r>
            <w:fldChar w:fldCharType="separate"/>
          </w:r>
          <w:r>
            <w:rPr>
              <w:rFonts w:hint="default"/>
            </w:rPr>
            <w:t xml:space="preserve">2.1. </w:t>
          </w:r>
          <w:r>
            <w:rPr>
              <w:rFonts w:hint="eastAsia"/>
            </w:rPr>
            <w:t>上一周期实施成效</w:t>
          </w:r>
          <w:r>
            <w:tab/>
          </w:r>
          <w:r>
            <w:fldChar w:fldCharType="begin"/>
          </w:r>
          <w:r>
            <w:instrText xml:space="preserve"> PAGEREF _Toc4549 \h </w:instrText>
          </w:r>
          <w:r>
            <w:fldChar w:fldCharType="separate"/>
          </w:r>
          <w:r>
            <w:t>5</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_Toc22963 </w:instrText>
          </w:r>
          <w:r>
            <w:fldChar w:fldCharType="separate"/>
          </w:r>
          <w:r>
            <w:rPr>
              <w:rFonts w:hint="default"/>
            </w:rPr>
            <w:t xml:space="preserve">2.2. </w:t>
          </w:r>
          <w:r>
            <w:rPr>
              <w:rFonts w:hint="eastAsia"/>
            </w:rPr>
            <w:t>上一周期存在问题及建议</w:t>
          </w:r>
          <w:r>
            <w:tab/>
          </w:r>
          <w:r>
            <w:fldChar w:fldCharType="begin"/>
          </w:r>
          <w:r>
            <w:instrText xml:space="preserve"> PAGEREF _Toc22963 \h </w:instrText>
          </w:r>
          <w:r>
            <w:fldChar w:fldCharType="separate"/>
          </w:r>
          <w:r>
            <w:t>8</w:t>
          </w:r>
          <w:r>
            <w:fldChar w:fldCharType="end"/>
          </w:r>
          <w:r>
            <w:fldChar w:fldCharType="end"/>
          </w:r>
        </w:p>
        <w:p>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_Toc30742 </w:instrText>
          </w:r>
          <w:r>
            <w:fldChar w:fldCharType="separate"/>
          </w:r>
          <w:r>
            <w:rPr>
              <w:rFonts w:hint="default"/>
            </w:rPr>
            <w:t xml:space="preserve">3. </w:t>
          </w:r>
          <w:r>
            <w:t>管理保护现状与存在问题</w:t>
          </w:r>
          <w:r>
            <w:tab/>
          </w:r>
          <w:r>
            <w:fldChar w:fldCharType="begin"/>
          </w:r>
          <w:r>
            <w:instrText xml:space="preserve"> PAGEREF _Toc30742 \h </w:instrText>
          </w:r>
          <w:r>
            <w:fldChar w:fldCharType="separate"/>
          </w:r>
          <w:r>
            <w:t>9</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_Toc4234 </w:instrText>
          </w:r>
          <w:r>
            <w:fldChar w:fldCharType="separate"/>
          </w:r>
          <w:r>
            <w:rPr>
              <w:rFonts w:hint="default"/>
            </w:rPr>
            <w:t xml:space="preserve">3.1. </w:t>
          </w:r>
          <w:r>
            <w:rPr>
              <w:rFonts w:hint="eastAsia"/>
            </w:rPr>
            <w:t>概况</w:t>
          </w:r>
          <w:r>
            <w:tab/>
          </w:r>
          <w:r>
            <w:fldChar w:fldCharType="begin"/>
          </w:r>
          <w:r>
            <w:instrText xml:space="preserve"> PAGEREF _Toc4234 \h </w:instrText>
          </w:r>
          <w:r>
            <w:fldChar w:fldCharType="separate"/>
          </w:r>
          <w:r>
            <w:t>9</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_Toc29001 </w:instrText>
          </w:r>
          <w:r>
            <w:fldChar w:fldCharType="separate"/>
          </w:r>
          <w:r>
            <w:rPr>
              <w:rFonts w:hint="default"/>
            </w:rPr>
            <w:t xml:space="preserve">3.2. </w:t>
          </w:r>
          <w:r>
            <w:rPr>
              <w:rFonts w:hint="eastAsia"/>
            </w:rPr>
            <w:t>管理保护现状</w:t>
          </w:r>
          <w:r>
            <w:tab/>
          </w:r>
          <w:r>
            <w:fldChar w:fldCharType="begin"/>
          </w:r>
          <w:r>
            <w:instrText xml:space="preserve"> PAGEREF _Toc29001 \h </w:instrText>
          </w:r>
          <w:r>
            <w:fldChar w:fldCharType="separate"/>
          </w:r>
          <w:r>
            <w:t>11</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_Toc492 </w:instrText>
          </w:r>
          <w:r>
            <w:fldChar w:fldCharType="separate"/>
          </w:r>
          <w:r>
            <w:rPr>
              <w:rFonts w:hint="default"/>
            </w:rPr>
            <w:t xml:space="preserve">3.3. </w:t>
          </w:r>
          <w:r>
            <w:rPr>
              <w:rFonts w:hint="eastAsia"/>
            </w:rPr>
            <w:t>存在问题分析</w:t>
          </w:r>
          <w:r>
            <w:tab/>
          </w:r>
          <w:r>
            <w:fldChar w:fldCharType="begin"/>
          </w:r>
          <w:r>
            <w:instrText xml:space="preserve"> PAGEREF _Toc492 \h </w:instrText>
          </w:r>
          <w:r>
            <w:fldChar w:fldCharType="separate"/>
          </w:r>
          <w:r>
            <w:t>24</w:t>
          </w:r>
          <w:r>
            <w:fldChar w:fldCharType="end"/>
          </w:r>
          <w:r>
            <w:fldChar w:fldCharType="end"/>
          </w:r>
        </w:p>
        <w:p>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_Toc15715 </w:instrText>
          </w:r>
          <w:r>
            <w:fldChar w:fldCharType="separate"/>
          </w:r>
          <w:r>
            <w:rPr>
              <w:rFonts w:hint="default"/>
            </w:rPr>
            <w:t xml:space="preserve">4. </w:t>
          </w:r>
          <w:r>
            <w:t>管理保护目标</w:t>
          </w:r>
          <w:r>
            <w:tab/>
          </w:r>
          <w:r>
            <w:fldChar w:fldCharType="begin"/>
          </w:r>
          <w:r>
            <w:instrText xml:space="preserve"> PAGEREF _Toc15715 \h </w:instrText>
          </w:r>
          <w:r>
            <w:fldChar w:fldCharType="separate"/>
          </w:r>
          <w:r>
            <w:t>27</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_Toc17110 </w:instrText>
          </w:r>
          <w:r>
            <w:fldChar w:fldCharType="separate"/>
          </w:r>
          <w:r>
            <w:rPr>
              <w:rFonts w:hint="default"/>
            </w:rPr>
            <w:t xml:space="preserve">4.1. </w:t>
          </w:r>
          <w:r>
            <w:rPr>
              <w:rFonts w:hint="eastAsia"/>
            </w:rPr>
            <w:t>水资源保护目标</w:t>
          </w:r>
          <w:r>
            <w:tab/>
          </w:r>
          <w:r>
            <w:fldChar w:fldCharType="begin"/>
          </w:r>
          <w:r>
            <w:instrText xml:space="preserve"> PAGEREF _Toc17110 \h </w:instrText>
          </w:r>
          <w:r>
            <w:fldChar w:fldCharType="separate"/>
          </w:r>
          <w:r>
            <w:t>27</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_Toc3128 </w:instrText>
          </w:r>
          <w:r>
            <w:fldChar w:fldCharType="separate"/>
          </w:r>
          <w:r>
            <w:rPr>
              <w:rFonts w:hint="default"/>
            </w:rPr>
            <w:t xml:space="preserve">4.2. </w:t>
          </w:r>
          <w:r>
            <w:rPr>
              <w:rFonts w:hint="eastAsia"/>
            </w:rPr>
            <w:t>水域岸线管理保护目标</w:t>
          </w:r>
          <w:r>
            <w:tab/>
          </w:r>
          <w:r>
            <w:fldChar w:fldCharType="begin"/>
          </w:r>
          <w:r>
            <w:instrText xml:space="preserve"> PAGEREF _Toc3128 \h </w:instrText>
          </w:r>
          <w:r>
            <w:fldChar w:fldCharType="separate"/>
          </w:r>
          <w:r>
            <w:t>27</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_Toc12875 </w:instrText>
          </w:r>
          <w:r>
            <w:fldChar w:fldCharType="separate"/>
          </w:r>
          <w:r>
            <w:rPr>
              <w:rFonts w:hint="default"/>
            </w:rPr>
            <w:t xml:space="preserve">4.3. </w:t>
          </w:r>
          <w:r>
            <w:rPr>
              <w:rFonts w:hint="eastAsia"/>
            </w:rPr>
            <w:t>水污染防治目标</w:t>
          </w:r>
          <w:r>
            <w:tab/>
          </w:r>
          <w:r>
            <w:fldChar w:fldCharType="begin"/>
          </w:r>
          <w:r>
            <w:instrText xml:space="preserve"> PAGEREF _Toc12875 \h </w:instrText>
          </w:r>
          <w:r>
            <w:fldChar w:fldCharType="separate"/>
          </w:r>
          <w:r>
            <w:t>28</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_Toc19225 </w:instrText>
          </w:r>
          <w:r>
            <w:fldChar w:fldCharType="separate"/>
          </w:r>
          <w:r>
            <w:rPr>
              <w:rFonts w:hint="default"/>
            </w:rPr>
            <w:t xml:space="preserve">4.4. </w:t>
          </w:r>
          <w:r>
            <w:rPr>
              <w:rFonts w:hint="eastAsia"/>
            </w:rPr>
            <w:t>水环境治理目标</w:t>
          </w:r>
          <w:r>
            <w:tab/>
          </w:r>
          <w:r>
            <w:fldChar w:fldCharType="begin"/>
          </w:r>
          <w:r>
            <w:instrText xml:space="preserve"> PAGEREF _Toc19225 \h </w:instrText>
          </w:r>
          <w:r>
            <w:fldChar w:fldCharType="separate"/>
          </w:r>
          <w:r>
            <w:t>28</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_Toc27277 </w:instrText>
          </w:r>
          <w:r>
            <w:fldChar w:fldCharType="separate"/>
          </w:r>
          <w:r>
            <w:rPr>
              <w:rFonts w:hint="default"/>
            </w:rPr>
            <w:t xml:space="preserve">4.5. </w:t>
          </w:r>
          <w:r>
            <w:rPr>
              <w:rFonts w:hint="eastAsia"/>
            </w:rPr>
            <w:t>水生态修复目标</w:t>
          </w:r>
          <w:r>
            <w:tab/>
          </w:r>
          <w:r>
            <w:fldChar w:fldCharType="begin"/>
          </w:r>
          <w:r>
            <w:instrText xml:space="preserve"> PAGEREF _Toc27277 \h </w:instrText>
          </w:r>
          <w:r>
            <w:fldChar w:fldCharType="separate"/>
          </w:r>
          <w:r>
            <w:t>29</w:t>
          </w:r>
          <w:r>
            <w:fldChar w:fldCharType="end"/>
          </w:r>
          <w:r>
            <w:fldChar w:fldCharType="end"/>
          </w:r>
        </w:p>
        <w:p>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_Toc8650 </w:instrText>
          </w:r>
          <w:r>
            <w:fldChar w:fldCharType="separate"/>
          </w:r>
          <w:r>
            <w:rPr>
              <w:rFonts w:hint="default"/>
            </w:rPr>
            <w:t xml:space="preserve">5. </w:t>
          </w:r>
          <w:r>
            <w:t>管理保护任务</w:t>
          </w:r>
          <w:r>
            <w:tab/>
          </w:r>
          <w:r>
            <w:fldChar w:fldCharType="begin"/>
          </w:r>
          <w:r>
            <w:instrText xml:space="preserve"> PAGEREF _Toc8650 \h </w:instrText>
          </w:r>
          <w:r>
            <w:fldChar w:fldCharType="separate"/>
          </w:r>
          <w:r>
            <w:t>30</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_Toc25955 </w:instrText>
          </w:r>
          <w:r>
            <w:fldChar w:fldCharType="separate"/>
          </w:r>
          <w:r>
            <w:rPr>
              <w:rFonts w:hint="default"/>
            </w:rPr>
            <w:t xml:space="preserve">5.1. </w:t>
          </w:r>
          <w:r>
            <w:rPr>
              <w:rFonts w:hint="eastAsia"/>
            </w:rPr>
            <w:t>水资源保护任务</w:t>
          </w:r>
          <w:r>
            <w:tab/>
          </w:r>
          <w:r>
            <w:fldChar w:fldCharType="begin"/>
          </w:r>
          <w:r>
            <w:instrText xml:space="preserve"> PAGEREF _Toc25955 \h </w:instrText>
          </w:r>
          <w:r>
            <w:fldChar w:fldCharType="separate"/>
          </w:r>
          <w:r>
            <w:t>30</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_Toc29081 </w:instrText>
          </w:r>
          <w:r>
            <w:fldChar w:fldCharType="separate"/>
          </w:r>
          <w:r>
            <w:rPr>
              <w:rFonts w:hint="default"/>
            </w:rPr>
            <w:t xml:space="preserve">5.2. </w:t>
          </w:r>
          <w:r>
            <w:rPr>
              <w:rFonts w:hint="eastAsia"/>
            </w:rPr>
            <w:t>水域岸线管理保护任务</w:t>
          </w:r>
          <w:r>
            <w:tab/>
          </w:r>
          <w:r>
            <w:fldChar w:fldCharType="begin"/>
          </w:r>
          <w:r>
            <w:instrText xml:space="preserve"> PAGEREF _Toc29081 \h </w:instrText>
          </w:r>
          <w:r>
            <w:fldChar w:fldCharType="separate"/>
          </w:r>
          <w:r>
            <w:t>30</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_Toc9763 </w:instrText>
          </w:r>
          <w:r>
            <w:fldChar w:fldCharType="separate"/>
          </w:r>
          <w:r>
            <w:rPr>
              <w:rFonts w:hint="default"/>
            </w:rPr>
            <w:t xml:space="preserve">5.3. </w:t>
          </w:r>
          <w:r>
            <w:rPr>
              <w:rFonts w:hint="eastAsia"/>
            </w:rPr>
            <w:t>水污染防治任务</w:t>
          </w:r>
          <w:r>
            <w:tab/>
          </w:r>
          <w:r>
            <w:fldChar w:fldCharType="begin"/>
          </w:r>
          <w:r>
            <w:instrText xml:space="preserve"> PAGEREF _Toc9763 \h </w:instrText>
          </w:r>
          <w:r>
            <w:fldChar w:fldCharType="separate"/>
          </w:r>
          <w:r>
            <w:t>30</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_Toc8822 </w:instrText>
          </w:r>
          <w:r>
            <w:fldChar w:fldCharType="separate"/>
          </w:r>
          <w:r>
            <w:rPr>
              <w:rFonts w:hint="default"/>
            </w:rPr>
            <w:t xml:space="preserve">5.4. </w:t>
          </w:r>
          <w:r>
            <w:rPr>
              <w:rFonts w:hint="eastAsia"/>
            </w:rPr>
            <w:t>水环境治理任务</w:t>
          </w:r>
          <w:r>
            <w:tab/>
          </w:r>
          <w:r>
            <w:fldChar w:fldCharType="begin"/>
          </w:r>
          <w:r>
            <w:instrText xml:space="preserve"> PAGEREF _Toc8822 \h </w:instrText>
          </w:r>
          <w:r>
            <w:fldChar w:fldCharType="separate"/>
          </w:r>
          <w:r>
            <w:t>30</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_Toc12123 </w:instrText>
          </w:r>
          <w:r>
            <w:fldChar w:fldCharType="separate"/>
          </w:r>
          <w:r>
            <w:rPr>
              <w:rFonts w:hint="default"/>
            </w:rPr>
            <w:t xml:space="preserve">5.5. </w:t>
          </w:r>
          <w:r>
            <w:rPr>
              <w:rFonts w:hint="eastAsia"/>
            </w:rPr>
            <w:t>水生态修复任务</w:t>
          </w:r>
          <w:r>
            <w:tab/>
          </w:r>
          <w:r>
            <w:fldChar w:fldCharType="begin"/>
          </w:r>
          <w:r>
            <w:instrText xml:space="preserve"> PAGEREF _Toc12123 \h </w:instrText>
          </w:r>
          <w:r>
            <w:fldChar w:fldCharType="separate"/>
          </w:r>
          <w:r>
            <w:t>30</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_Toc21502 </w:instrText>
          </w:r>
          <w:r>
            <w:fldChar w:fldCharType="separate"/>
          </w:r>
          <w:r>
            <w:rPr>
              <w:rFonts w:hint="default"/>
            </w:rPr>
            <w:t xml:space="preserve">5.6. </w:t>
          </w:r>
          <w:r>
            <w:rPr>
              <w:rFonts w:hint="eastAsia"/>
            </w:rPr>
            <w:t>执法监管任务</w:t>
          </w:r>
          <w:r>
            <w:tab/>
          </w:r>
          <w:r>
            <w:fldChar w:fldCharType="begin"/>
          </w:r>
          <w:r>
            <w:instrText xml:space="preserve"> PAGEREF _Toc21502 \h </w:instrText>
          </w:r>
          <w:r>
            <w:fldChar w:fldCharType="separate"/>
          </w:r>
          <w:r>
            <w:t>31</w:t>
          </w:r>
          <w:r>
            <w:fldChar w:fldCharType="end"/>
          </w:r>
          <w:r>
            <w:fldChar w:fldCharType="end"/>
          </w:r>
        </w:p>
        <w:p>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_Toc28699 </w:instrText>
          </w:r>
          <w:r>
            <w:fldChar w:fldCharType="separate"/>
          </w:r>
          <w:r>
            <w:rPr>
              <w:rFonts w:hint="default"/>
            </w:rPr>
            <w:t xml:space="preserve">6. </w:t>
          </w:r>
          <w:r>
            <w:t>管理保护措施</w:t>
          </w:r>
          <w:r>
            <w:tab/>
          </w:r>
          <w:r>
            <w:fldChar w:fldCharType="begin"/>
          </w:r>
          <w:r>
            <w:instrText xml:space="preserve"> PAGEREF _Toc28699 \h </w:instrText>
          </w:r>
          <w:r>
            <w:fldChar w:fldCharType="separate"/>
          </w:r>
          <w:r>
            <w:t>32</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_Toc1583 </w:instrText>
          </w:r>
          <w:r>
            <w:fldChar w:fldCharType="separate"/>
          </w:r>
          <w:r>
            <w:rPr>
              <w:rFonts w:hint="default"/>
            </w:rPr>
            <w:t xml:space="preserve">6.1. </w:t>
          </w:r>
          <w:r>
            <w:rPr>
              <w:rFonts w:hint="eastAsia"/>
            </w:rPr>
            <w:t>水资源保护措施</w:t>
          </w:r>
          <w:r>
            <w:tab/>
          </w:r>
          <w:r>
            <w:fldChar w:fldCharType="begin"/>
          </w:r>
          <w:r>
            <w:instrText xml:space="preserve"> PAGEREF _Toc1583 \h </w:instrText>
          </w:r>
          <w:r>
            <w:fldChar w:fldCharType="separate"/>
          </w:r>
          <w:r>
            <w:t>32</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_Toc2175 </w:instrText>
          </w:r>
          <w:r>
            <w:fldChar w:fldCharType="separate"/>
          </w:r>
          <w:r>
            <w:rPr>
              <w:rFonts w:hint="default"/>
            </w:rPr>
            <w:t xml:space="preserve">6.2. </w:t>
          </w:r>
          <w:r>
            <w:rPr>
              <w:rFonts w:hint="eastAsia"/>
            </w:rPr>
            <w:t>水域岸线管理保护措施</w:t>
          </w:r>
          <w:r>
            <w:tab/>
          </w:r>
          <w:r>
            <w:fldChar w:fldCharType="begin"/>
          </w:r>
          <w:r>
            <w:instrText xml:space="preserve"> PAGEREF _Toc2175 \h </w:instrText>
          </w:r>
          <w:r>
            <w:fldChar w:fldCharType="separate"/>
          </w:r>
          <w:r>
            <w:t>34</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_Toc8214 </w:instrText>
          </w:r>
          <w:r>
            <w:fldChar w:fldCharType="separate"/>
          </w:r>
          <w:r>
            <w:rPr>
              <w:rFonts w:hint="default"/>
            </w:rPr>
            <w:t xml:space="preserve">6.3. </w:t>
          </w:r>
          <w:r>
            <w:rPr>
              <w:rFonts w:hint="eastAsia"/>
            </w:rPr>
            <w:t>水污染防治措施</w:t>
          </w:r>
          <w:r>
            <w:tab/>
          </w:r>
          <w:r>
            <w:fldChar w:fldCharType="begin"/>
          </w:r>
          <w:r>
            <w:instrText xml:space="preserve"> PAGEREF _Toc8214 \h </w:instrText>
          </w:r>
          <w:r>
            <w:fldChar w:fldCharType="separate"/>
          </w:r>
          <w:r>
            <w:t>35</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_Toc31017 </w:instrText>
          </w:r>
          <w:r>
            <w:fldChar w:fldCharType="separate"/>
          </w:r>
          <w:r>
            <w:rPr>
              <w:rFonts w:hint="default"/>
            </w:rPr>
            <w:t xml:space="preserve">6.4. </w:t>
          </w:r>
          <w:r>
            <w:rPr>
              <w:rFonts w:hint="eastAsia"/>
            </w:rPr>
            <w:t>水环境治理措施</w:t>
          </w:r>
          <w:r>
            <w:tab/>
          </w:r>
          <w:r>
            <w:fldChar w:fldCharType="begin"/>
          </w:r>
          <w:r>
            <w:instrText xml:space="preserve"> PAGEREF _Toc31017 \h </w:instrText>
          </w:r>
          <w:r>
            <w:fldChar w:fldCharType="separate"/>
          </w:r>
          <w:r>
            <w:t>37</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_Toc23577 </w:instrText>
          </w:r>
          <w:r>
            <w:fldChar w:fldCharType="separate"/>
          </w:r>
          <w:r>
            <w:rPr>
              <w:rFonts w:hint="default"/>
            </w:rPr>
            <w:t xml:space="preserve">6.5. </w:t>
          </w:r>
          <w:r>
            <w:rPr>
              <w:rFonts w:hint="eastAsia"/>
            </w:rPr>
            <w:t>水生态修复措施</w:t>
          </w:r>
          <w:r>
            <w:tab/>
          </w:r>
          <w:r>
            <w:fldChar w:fldCharType="begin"/>
          </w:r>
          <w:r>
            <w:instrText xml:space="preserve"> PAGEREF _Toc23577 \h </w:instrText>
          </w:r>
          <w:r>
            <w:fldChar w:fldCharType="separate"/>
          </w:r>
          <w:r>
            <w:t>39</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_Toc16319 </w:instrText>
          </w:r>
          <w:r>
            <w:fldChar w:fldCharType="separate"/>
          </w:r>
          <w:r>
            <w:rPr>
              <w:rFonts w:hint="default"/>
            </w:rPr>
            <w:t xml:space="preserve">6.6. </w:t>
          </w:r>
          <w:r>
            <w:rPr>
              <w:rFonts w:hint="eastAsia"/>
            </w:rPr>
            <w:t>执法监管措施</w:t>
          </w:r>
          <w:r>
            <w:tab/>
          </w:r>
          <w:r>
            <w:fldChar w:fldCharType="begin"/>
          </w:r>
          <w:r>
            <w:instrText xml:space="preserve"> PAGEREF _Toc16319 \h </w:instrText>
          </w:r>
          <w:r>
            <w:fldChar w:fldCharType="separate"/>
          </w:r>
          <w:r>
            <w:t>39</w:t>
          </w:r>
          <w:r>
            <w:fldChar w:fldCharType="end"/>
          </w:r>
          <w:r>
            <w:fldChar w:fldCharType="end"/>
          </w:r>
        </w:p>
        <w:p>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_Toc10909 </w:instrText>
          </w:r>
          <w:r>
            <w:fldChar w:fldCharType="separate"/>
          </w:r>
          <w:r>
            <w:rPr>
              <w:rFonts w:hint="default"/>
            </w:rPr>
            <w:t xml:space="preserve">7. </w:t>
          </w:r>
          <w:r>
            <w:t>实施效果评价</w:t>
          </w:r>
          <w:r>
            <w:tab/>
          </w:r>
          <w:r>
            <w:fldChar w:fldCharType="begin"/>
          </w:r>
          <w:r>
            <w:instrText xml:space="preserve"> PAGEREF _Toc10909 \h </w:instrText>
          </w:r>
          <w:r>
            <w:fldChar w:fldCharType="separate"/>
          </w:r>
          <w:r>
            <w:t>42</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_Toc14080 </w:instrText>
          </w:r>
          <w:r>
            <w:fldChar w:fldCharType="separate"/>
          </w:r>
          <w:r>
            <w:rPr>
              <w:rFonts w:hint="default"/>
            </w:rPr>
            <w:t xml:space="preserve">7.1. </w:t>
          </w:r>
          <w:r>
            <w:rPr>
              <w:rFonts w:hint="eastAsia"/>
            </w:rPr>
            <w:t>环境效益</w:t>
          </w:r>
          <w:r>
            <w:tab/>
          </w:r>
          <w:r>
            <w:fldChar w:fldCharType="begin"/>
          </w:r>
          <w:r>
            <w:instrText xml:space="preserve"> PAGEREF _Toc14080 \h </w:instrText>
          </w:r>
          <w:r>
            <w:fldChar w:fldCharType="separate"/>
          </w:r>
          <w:r>
            <w:t>42</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_Toc16273 </w:instrText>
          </w:r>
          <w:r>
            <w:fldChar w:fldCharType="separate"/>
          </w:r>
          <w:r>
            <w:rPr>
              <w:rFonts w:hint="default"/>
            </w:rPr>
            <w:t xml:space="preserve">7.2. </w:t>
          </w:r>
          <w:r>
            <w:rPr>
              <w:rFonts w:hint="eastAsia"/>
            </w:rPr>
            <w:t>经济效益</w:t>
          </w:r>
          <w:r>
            <w:tab/>
          </w:r>
          <w:r>
            <w:fldChar w:fldCharType="begin"/>
          </w:r>
          <w:r>
            <w:instrText xml:space="preserve"> PAGEREF _Toc16273 \h </w:instrText>
          </w:r>
          <w:r>
            <w:fldChar w:fldCharType="separate"/>
          </w:r>
          <w:r>
            <w:t>42</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_Toc7846 </w:instrText>
          </w:r>
          <w:r>
            <w:fldChar w:fldCharType="separate"/>
          </w:r>
          <w:r>
            <w:rPr>
              <w:rFonts w:hint="default"/>
            </w:rPr>
            <w:t xml:space="preserve">7.3. </w:t>
          </w:r>
          <w:r>
            <w:rPr>
              <w:rFonts w:hint="eastAsia"/>
            </w:rPr>
            <w:t>社会效益</w:t>
          </w:r>
          <w:r>
            <w:tab/>
          </w:r>
          <w:r>
            <w:fldChar w:fldCharType="begin"/>
          </w:r>
          <w:r>
            <w:instrText xml:space="preserve"> PAGEREF _Toc7846 \h </w:instrText>
          </w:r>
          <w:r>
            <w:fldChar w:fldCharType="separate"/>
          </w:r>
          <w:r>
            <w:t>42</w:t>
          </w:r>
          <w:r>
            <w:fldChar w:fldCharType="end"/>
          </w:r>
          <w:r>
            <w:fldChar w:fldCharType="end"/>
          </w:r>
        </w:p>
        <w:p>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_Toc23402 </w:instrText>
          </w:r>
          <w:r>
            <w:fldChar w:fldCharType="separate"/>
          </w:r>
          <w:r>
            <w:rPr>
              <w:rFonts w:hint="default"/>
            </w:rPr>
            <w:t xml:space="preserve">8. </w:t>
          </w:r>
          <w:r>
            <w:t>保障措施</w:t>
          </w:r>
          <w:r>
            <w:tab/>
          </w:r>
          <w:r>
            <w:fldChar w:fldCharType="begin"/>
          </w:r>
          <w:r>
            <w:instrText xml:space="preserve"> PAGEREF _Toc23402 \h </w:instrText>
          </w:r>
          <w:r>
            <w:fldChar w:fldCharType="separate"/>
          </w:r>
          <w:r>
            <w:t>43</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_Toc25281 </w:instrText>
          </w:r>
          <w:r>
            <w:fldChar w:fldCharType="separate"/>
          </w:r>
          <w:r>
            <w:rPr>
              <w:rFonts w:hint="default"/>
            </w:rPr>
            <w:t xml:space="preserve">8.1. </w:t>
          </w:r>
          <w:r>
            <w:rPr>
              <w:rFonts w:hint="eastAsia"/>
            </w:rPr>
            <w:t>组织保障</w:t>
          </w:r>
          <w:r>
            <w:tab/>
          </w:r>
          <w:r>
            <w:fldChar w:fldCharType="begin"/>
          </w:r>
          <w:r>
            <w:instrText xml:space="preserve"> PAGEREF _Toc25281 \h </w:instrText>
          </w:r>
          <w:r>
            <w:fldChar w:fldCharType="separate"/>
          </w:r>
          <w:r>
            <w:t>43</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_Toc30726 </w:instrText>
          </w:r>
          <w:r>
            <w:fldChar w:fldCharType="separate"/>
          </w:r>
          <w:r>
            <w:rPr>
              <w:rFonts w:hint="default"/>
            </w:rPr>
            <w:t xml:space="preserve">8.2. </w:t>
          </w:r>
          <w:r>
            <w:rPr>
              <w:rFonts w:hint="eastAsia"/>
            </w:rPr>
            <w:t>制度保障</w:t>
          </w:r>
          <w:r>
            <w:tab/>
          </w:r>
          <w:r>
            <w:fldChar w:fldCharType="begin"/>
          </w:r>
          <w:r>
            <w:instrText xml:space="preserve"> PAGEREF _Toc30726 \h </w:instrText>
          </w:r>
          <w:r>
            <w:fldChar w:fldCharType="separate"/>
          </w:r>
          <w:r>
            <w:t>45</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_Toc8075 </w:instrText>
          </w:r>
          <w:r>
            <w:fldChar w:fldCharType="separate"/>
          </w:r>
          <w:r>
            <w:rPr>
              <w:rFonts w:hint="default"/>
            </w:rPr>
            <w:t xml:space="preserve">8.3. </w:t>
          </w:r>
          <w:r>
            <w:rPr>
              <w:rFonts w:hint="eastAsia"/>
            </w:rPr>
            <w:t>经费保障</w:t>
          </w:r>
          <w:r>
            <w:tab/>
          </w:r>
          <w:r>
            <w:fldChar w:fldCharType="begin"/>
          </w:r>
          <w:r>
            <w:instrText xml:space="preserve"> PAGEREF _Toc8075 \h </w:instrText>
          </w:r>
          <w:r>
            <w:fldChar w:fldCharType="separate"/>
          </w:r>
          <w:r>
            <w:t>45</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_Toc30569 </w:instrText>
          </w:r>
          <w:r>
            <w:fldChar w:fldCharType="separate"/>
          </w:r>
          <w:r>
            <w:rPr>
              <w:rFonts w:hint="default"/>
            </w:rPr>
            <w:t xml:space="preserve">8.4. </w:t>
          </w:r>
          <w:r>
            <w:rPr>
              <w:rFonts w:hint="eastAsia"/>
            </w:rPr>
            <w:t>队伍保障</w:t>
          </w:r>
          <w:r>
            <w:tab/>
          </w:r>
          <w:r>
            <w:fldChar w:fldCharType="begin"/>
          </w:r>
          <w:r>
            <w:instrText xml:space="preserve"> PAGEREF _Toc30569 \h </w:instrText>
          </w:r>
          <w:r>
            <w:fldChar w:fldCharType="separate"/>
          </w:r>
          <w:r>
            <w:t>46</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_Toc14137 </w:instrText>
          </w:r>
          <w:r>
            <w:fldChar w:fldCharType="separate"/>
          </w:r>
          <w:r>
            <w:rPr>
              <w:rFonts w:hint="default"/>
            </w:rPr>
            <w:t xml:space="preserve">8.5. </w:t>
          </w:r>
          <w:r>
            <w:rPr>
              <w:rFonts w:hint="eastAsia"/>
            </w:rPr>
            <w:t>机制保障</w:t>
          </w:r>
          <w:r>
            <w:tab/>
          </w:r>
          <w:r>
            <w:fldChar w:fldCharType="begin"/>
          </w:r>
          <w:r>
            <w:instrText xml:space="preserve"> PAGEREF _Toc14137 \h </w:instrText>
          </w:r>
          <w:r>
            <w:fldChar w:fldCharType="separate"/>
          </w:r>
          <w:r>
            <w:t>47</w:t>
          </w:r>
          <w:r>
            <w:fldChar w:fldCharType="end"/>
          </w:r>
          <w:r>
            <w:fldChar w:fldCharType="end"/>
          </w:r>
        </w:p>
        <w:p>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_Toc18815 </w:instrText>
          </w:r>
          <w:r>
            <w:fldChar w:fldCharType="separate"/>
          </w:r>
          <w:r>
            <w:rPr>
              <w:rFonts w:hint="default"/>
            </w:rPr>
            <w:t xml:space="preserve">8.6. </w:t>
          </w:r>
          <w:r>
            <w:rPr>
              <w:rFonts w:hint="eastAsia"/>
            </w:rPr>
            <w:t>监督保障</w:t>
          </w:r>
          <w:r>
            <w:tab/>
          </w:r>
          <w:r>
            <w:fldChar w:fldCharType="begin"/>
          </w:r>
          <w:r>
            <w:instrText xml:space="preserve"> PAGEREF _Toc18815 \h </w:instrText>
          </w:r>
          <w:r>
            <w:fldChar w:fldCharType="separate"/>
          </w:r>
          <w:r>
            <w:t>47</w:t>
          </w:r>
          <w:r>
            <w:fldChar w:fldCharType="end"/>
          </w:r>
          <w:r>
            <w:fldChar w:fldCharType="end"/>
          </w:r>
        </w:p>
        <w:p>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_Toc26048 </w:instrText>
          </w:r>
          <w:r>
            <w:fldChar w:fldCharType="separate"/>
          </w:r>
          <w:r>
            <w:rPr>
              <w:rFonts w:hint="default"/>
            </w:rPr>
            <w:t xml:space="preserve">9. </w:t>
          </w:r>
          <w:r>
            <w:t>附表</w:t>
          </w:r>
          <w:r>
            <w:tab/>
          </w:r>
          <w:r>
            <w:fldChar w:fldCharType="begin"/>
          </w:r>
          <w:r>
            <w:instrText xml:space="preserve"> PAGEREF _Toc26048 \h </w:instrText>
          </w:r>
          <w:r>
            <w:fldChar w:fldCharType="separate"/>
          </w:r>
          <w:r>
            <w:t>49</w:t>
          </w:r>
          <w:r>
            <w:fldChar w:fldCharType="end"/>
          </w:r>
          <w:r>
            <w:fldChar w:fldCharType="end"/>
          </w:r>
        </w:p>
        <w:p>
          <w:pPr>
            <w:pStyle w:val="18"/>
            <w:keepNext w:val="0"/>
            <w:keepLines w:val="0"/>
            <w:pageBreakBefore w:val="0"/>
            <w:widowControl w:val="0"/>
            <w:tabs>
              <w:tab w:val="right" w:pos="4000"/>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_Toc32564 </w:instrText>
          </w:r>
          <w:r>
            <w:fldChar w:fldCharType="separate"/>
          </w:r>
          <w:r>
            <w:rPr>
              <w:rFonts w:hint="eastAsia"/>
            </w:rPr>
            <w:t>附表 1</w:t>
          </w:r>
          <w:r>
            <w:rPr>
              <w:rFonts w:hint="eastAsia"/>
            </w:rPr>
            <w:tab/>
          </w:r>
          <w:r>
            <w:rPr>
              <w:rFonts w:hint="eastAsia"/>
            </w:rPr>
            <w:t>河库（河段）管理保护目标、任务清单</w:t>
          </w:r>
          <w:r>
            <w:tab/>
          </w:r>
          <w:r>
            <w:fldChar w:fldCharType="begin"/>
          </w:r>
          <w:r>
            <w:instrText xml:space="preserve"> PAGEREF _Toc32564 \h </w:instrText>
          </w:r>
          <w:r>
            <w:fldChar w:fldCharType="separate"/>
          </w:r>
          <w:r>
            <w:t>49</w:t>
          </w:r>
          <w:r>
            <w:fldChar w:fldCharType="end"/>
          </w:r>
          <w:r>
            <w:fldChar w:fldCharType="end"/>
          </w:r>
        </w:p>
        <w:p>
          <w:pPr>
            <w:pStyle w:val="18"/>
            <w:keepNext w:val="0"/>
            <w:keepLines w:val="0"/>
            <w:pageBreakBefore w:val="0"/>
            <w:widowControl w:val="0"/>
            <w:tabs>
              <w:tab w:val="right" w:pos="4000"/>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_Toc29156 </w:instrText>
          </w:r>
          <w:r>
            <w:fldChar w:fldCharType="separate"/>
          </w:r>
          <w:r>
            <w:rPr>
              <w:rFonts w:hint="eastAsia"/>
            </w:rPr>
            <w:t>附表 2</w:t>
          </w:r>
          <w:r>
            <w:rPr>
              <w:rFonts w:hint="eastAsia"/>
            </w:rPr>
            <w:tab/>
          </w:r>
          <w:r>
            <w:rPr>
              <w:rFonts w:hint="eastAsia"/>
            </w:rPr>
            <w:t>河库（河段）管理保护问题、措施及责任清单</w:t>
          </w:r>
          <w:r>
            <w:tab/>
          </w:r>
          <w:r>
            <w:fldChar w:fldCharType="begin"/>
          </w:r>
          <w:r>
            <w:instrText xml:space="preserve"> PAGEREF _Toc29156 \h </w:instrText>
          </w:r>
          <w:r>
            <w:fldChar w:fldCharType="separate"/>
          </w:r>
          <w:r>
            <w:t>51</w:t>
          </w:r>
          <w:r>
            <w:fldChar w:fldCharType="end"/>
          </w:r>
          <w:r>
            <w:fldChar w:fldCharType="end"/>
          </w:r>
        </w:p>
        <w:p>
          <w:pPr>
            <w:pStyle w:val="18"/>
            <w:keepNext w:val="0"/>
            <w:keepLines w:val="0"/>
            <w:pageBreakBefore w:val="0"/>
            <w:widowControl w:val="0"/>
            <w:tabs>
              <w:tab w:val="right" w:pos="4000"/>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_Toc32672 </w:instrText>
          </w:r>
          <w:r>
            <w:fldChar w:fldCharType="separate"/>
          </w:r>
          <w:r>
            <w:rPr>
              <w:rFonts w:hint="eastAsia"/>
            </w:rPr>
            <w:t>附表 3</w:t>
          </w:r>
          <w:r>
            <w:rPr>
              <w:rFonts w:hint="eastAsia"/>
            </w:rPr>
            <w:tab/>
          </w:r>
          <w:r>
            <w:rPr>
              <w:rFonts w:hint="eastAsia"/>
            </w:rPr>
            <w:t>乡镇级河库（河段）全面推行河长制问题、措施及责任清单</w:t>
          </w:r>
          <w:r>
            <w:tab/>
          </w:r>
          <w:r>
            <w:rPr>
              <w:rFonts w:hint="eastAsia"/>
              <w:lang w:val="en-US" w:eastAsia="zh-CN"/>
            </w:rPr>
            <w:t xml:space="preserve"> </w:t>
          </w:r>
          <w:r>
            <w:fldChar w:fldCharType="begin"/>
          </w:r>
          <w:r>
            <w:instrText xml:space="preserve"> PAGEREF _Toc32672 \h </w:instrText>
          </w:r>
          <w:r>
            <w:fldChar w:fldCharType="separate"/>
          </w:r>
          <w:r>
            <w:t>54</w:t>
          </w:r>
          <w:r>
            <w:fldChar w:fldCharType="end"/>
          </w:r>
          <w:r>
            <w:fldChar w:fldCharType="end"/>
          </w:r>
        </w:p>
        <w:p>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_Toc20348 </w:instrText>
          </w:r>
          <w:r>
            <w:fldChar w:fldCharType="separate"/>
          </w:r>
          <w:r>
            <w:rPr>
              <w:rFonts w:hint="default"/>
            </w:rPr>
            <w:t xml:space="preserve">10. </w:t>
          </w:r>
          <w:r>
            <w:t>附图</w:t>
          </w:r>
          <w:r>
            <w:tab/>
          </w:r>
          <w:r>
            <w:fldChar w:fldCharType="begin"/>
          </w:r>
          <w:r>
            <w:instrText xml:space="preserve"> PAGEREF _Toc20348 \h </w:instrText>
          </w:r>
          <w:r>
            <w:fldChar w:fldCharType="separate"/>
          </w:r>
          <w:r>
            <w:t>55</w:t>
          </w:r>
          <w:r>
            <w:fldChar w:fldCharType="end"/>
          </w:r>
          <w:r>
            <w:fldChar w:fldCharType="end"/>
          </w:r>
        </w:p>
        <w:p>
          <w:pPr>
            <w:pStyle w:val="18"/>
            <w:keepNext w:val="0"/>
            <w:keepLines w:val="0"/>
            <w:pageBreakBefore w:val="0"/>
            <w:widowControl w:val="0"/>
            <w:tabs>
              <w:tab w:val="right" w:pos="4000"/>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_Toc2874 </w:instrText>
          </w:r>
          <w:r>
            <w:fldChar w:fldCharType="separate"/>
          </w:r>
          <w:r>
            <w:rPr>
              <w:rFonts w:hint="eastAsia"/>
            </w:rPr>
            <w:t>附图 1</w:t>
          </w:r>
          <w:r>
            <w:rPr>
              <w:rFonts w:hint="eastAsia"/>
            </w:rPr>
            <w:tab/>
          </w:r>
          <w:r>
            <w:rPr>
              <w:rFonts w:hint="eastAsia"/>
            </w:rPr>
            <w:t>河库（河段）水系图</w:t>
          </w:r>
          <w:r>
            <w:tab/>
          </w:r>
          <w:r>
            <w:fldChar w:fldCharType="begin"/>
          </w:r>
          <w:r>
            <w:instrText xml:space="preserve"> PAGEREF _Toc2874 \h </w:instrText>
          </w:r>
          <w:r>
            <w:fldChar w:fldCharType="separate"/>
          </w:r>
          <w:r>
            <w:t>55</w:t>
          </w:r>
          <w:r>
            <w:fldChar w:fldCharType="end"/>
          </w:r>
          <w:r>
            <w:fldChar w:fldCharType="end"/>
          </w:r>
        </w:p>
        <w:p>
          <w:pPr>
            <w:pStyle w:val="18"/>
            <w:keepNext w:val="0"/>
            <w:keepLines w:val="0"/>
            <w:pageBreakBefore w:val="0"/>
            <w:widowControl w:val="0"/>
            <w:tabs>
              <w:tab w:val="right" w:pos="4000"/>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_Toc17742 </w:instrText>
          </w:r>
          <w:r>
            <w:fldChar w:fldCharType="separate"/>
          </w:r>
          <w:r>
            <w:rPr>
              <w:rFonts w:hint="eastAsia"/>
            </w:rPr>
            <w:t>附图 2</w:t>
          </w:r>
          <w:r>
            <w:rPr>
              <w:rFonts w:hint="eastAsia"/>
            </w:rPr>
            <w:tab/>
          </w:r>
          <w:r>
            <w:rPr>
              <w:rFonts w:hint="eastAsia"/>
            </w:rPr>
            <w:t>河库（河段）主要问题及措施分布图（作战图） 其他附图</w:t>
          </w:r>
          <w:r>
            <w:tab/>
          </w:r>
          <w:r>
            <w:fldChar w:fldCharType="begin"/>
          </w:r>
          <w:r>
            <w:instrText xml:space="preserve"> PAGEREF _Toc17742 \h </w:instrText>
          </w:r>
          <w:r>
            <w:fldChar w:fldCharType="separate"/>
          </w:r>
          <w:r>
            <w:t>56</w:t>
          </w:r>
          <w:r>
            <w:fldChar w:fldCharType="end"/>
          </w:r>
          <w:r>
            <w:fldChar w:fldCharType="end"/>
          </w:r>
        </w:p>
        <w:p>
          <w:pPr>
            <w:keepNext w:val="0"/>
            <w:keepLines w:val="0"/>
            <w:pageBreakBefore w:val="0"/>
            <w:widowControl w:val="0"/>
            <w:kinsoku/>
            <w:wordWrap/>
            <w:overflowPunct/>
            <w:topLinePunct w:val="0"/>
            <w:autoSpaceDE w:val="0"/>
            <w:autoSpaceDN w:val="0"/>
            <w:bidi w:val="0"/>
            <w:adjustRightInd/>
            <w:snapToGrid/>
            <w:ind w:firstLine="0" w:firstLineChars="0"/>
            <w:textAlignment w:val="auto"/>
          </w:pPr>
          <w:r>
            <w:fldChar w:fldCharType="end"/>
          </w:r>
        </w:p>
      </w:sdtContent>
    </w:sdt>
    <w:p>
      <w:pPr>
        <w:pStyle w:val="3"/>
        <w:numPr>
          <w:ilvl w:val="0"/>
          <w:numId w:val="2"/>
        </w:numPr>
        <w:bidi w:val="0"/>
        <w:sectPr>
          <w:pgSz w:w="11910" w:h="16840"/>
          <w:pgMar w:top="1580" w:right="1180" w:bottom="1680" w:left="1180" w:header="0" w:footer="1454" w:gutter="0"/>
          <w:pgNumType w:fmt="upperRoman"/>
          <w:cols w:space="720" w:num="1"/>
        </w:sectPr>
      </w:pPr>
    </w:p>
    <w:p>
      <w:pPr>
        <w:pStyle w:val="3"/>
        <w:keepNext/>
        <w:keepLines/>
        <w:pageBreakBefore w:val="0"/>
        <w:widowControl w:val="0"/>
        <w:numPr>
          <w:ilvl w:val="0"/>
          <w:numId w:val="2"/>
        </w:numPr>
        <w:kinsoku/>
        <w:wordWrap/>
        <w:overflowPunct/>
        <w:topLinePunct w:val="0"/>
        <w:autoSpaceDE w:val="0"/>
        <w:autoSpaceDN w:val="0"/>
        <w:bidi w:val="0"/>
        <w:adjustRightInd/>
        <w:snapToGrid/>
        <w:spacing w:line="440" w:lineRule="exact"/>
        <w:ind w:left="0" w:firstLine="0" w:firstLineChars="0"/>
        <w:textAlignment w:val="auto"/>
      </w:pPr>
      <w:bookmarkStart w:id="1" w:name="_Toc30187"/>
      <w:r>
        <w:t>综合说明</w:t>
      </w:r>
      <w:bookmarkEnd w:id="1"/>
    </w:p>
    <w:p>
      <w:pPr>
        <w:pStyle w:val="2"/>
        <w:keepNext/>
        <w:keepLines/>
        <w:pageBreakBefore w:val="0"/>
        <w:widowControl w:val="0"/>
        <w:numPr>
          <w:ilvl w:val="1"/>
          <w:numId w:val="2"/>
        </w:numPr>
        <w:kinsoku/>
        <w:wordWrap/>
        <w:overflowPunct/>
        <w:topLinePunct w:val="0"/>
        <w:autoSpaceDE w:val="0"/>
        <w:autoSpaceDN w:val="0"/>
        <w:bidi w:val="0"/>
        <w:adjustRightInd/>
        <w:snapToGrid/>
        <w:spacing w:before="80" w:after="0" w:line="440" w:lineRule="exact"/>
        <w:ind w:left="0" w:firstLine="0"/>
        <w:textAlignment w:val="auto"/>
        <w:rPr>
          <w:rFonts w:hint="eastAsia" w:ascii="方正仿宋_GBK" w:hAnsi="方正仿宋_GBK" w:eastAsia="方正仿宋_GBK" w:cs="方正仿宋_GBK"/>
          <w:b w:val="0"/>
          <w:bCs/>
        </w:rPr>
      </w:pPr>
      <w:bookmarkStart w:id="2" w:name="_Toc3570"/>
      <w:r>
        <w:rPr>
          <w:rFonts w:hint="eastAsia" w:ascii="方正仿宋_GBK" w:hAnsi="方正仿宋_GBK" w:eastAsia="方正仿宋_GBK" w:cs="方正仿宋_GBK"/>
          <w:b w:val="0"/>
          <w:bCs/>
        </w:rPr>
        <w:t>编制依据</w:t>
      </w:r>
      <w:bookmarkEnd w:id="2"/>
    </w:p>
    <w:p>
      <w:pPr>
        <w:pStyle w:val="4"/>
        <w:bidi w:val="0"/>
        <w:ind w:left="720" w:leftChars="0" w:hanging="720" w:firstLineChars="0"/>
        <w:rPr>
          <w:rFonts w:hint="default"/>
          <w:b w:val="0"/>
          <w:bCs w:val="0"/>
        </w:rPr>
      </w:pPr>
      <w:bookmarkStart w:id="3" w:name="_Toc10718"/>
      <w:r>
        <w:rPr>
          <w:rFonts w:hint="default"/>
          <w:b w:val="0"/>
          <w:bCs w:val="0"/>
        </w:rPr>
        <w:t>法律法规</w:t>
      </w:r>
      <w:bookmarkEnd w:id="3"/>
    </w:p>
    <w:p>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《中华人民共和国环境保护法》</w:t>
      </w:r>
      <w:r>
        <w:t>（2014年）</w:t>
      </w:r>
    </w:p>
    <w:p>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《中华人民共和国水污染防治法》</w:t>
      </w:r>
      <w:r>
        <w:t>（2017年</w:t>
      </w:r>
      <w:r>
        <w:rPr>
          <w:rFonts w:hint="default"/>
        </w:rPr>
        <w:t>修订</w:t>
      </w:r>
      <w:r>
        <w:t>）</w:t>
      </w:r>
    </w:p>
    <w:p>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《中华人民共和国固体废物污染环境防治法》</w:t>
      </w:r>
      <w:r>
        <w:t>（2020年</w:t>
      </w:r>
      <w:r>
        <w:rPr>
          <w:rFonts w:hint="default"/>
        </w:rPr>
        <w:t>修订</w:t>
      </w:r>
      <w:r>
        <w:t>）</w:t>
      </w:r>
    </w:p>
    <w:p>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《中华人民共和国水法》</w:t>
      </w:r>
      <w:r>
        <w:t>（2016年</w:t>
      </w:r>
      <w:r>
        <w:rPr>
          <w:rFonts w:hint="default"/>
        </w:rPr>
        <w:t>修订</w:t>
      </w:r>
      <w:r>
        <w:t>）</w:t>
      </w:r>
    </w:p>
    <w:p>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《中华人民共和国土地管理法》</w:t>
      </w:r>
      <w:r>
        <w:t>（2020年</w:t>
      </w:r>
      <w:r>
        <w:rPr>
          <w:rFonts w:hint="default"/>
        </w:rPr>
        <w:t>修订</w:t>
      </w:r>
      <w:r>
        <w:t>）</w:t>
      </w:r>
    </w:p>
    <w:p>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《中华人民共和国水土保持法》</w:t>
      </w:r>
      <w:r>
        <w:t>（2010年</w:t>
      </w:r>
      <w:r>
        <w:rPr>
          <w:rFonts w:hint="default"/>
        </w:rPr>
        <w:t>修订</w:t>
      </w:r>
      <w:r>
        <w:t>）</w:t>
      </w:r>
    </w:p>
    <w:p>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《中华人民共和国防洪法》</w:t>
      </w:r>
      <w:r>
        <w:t>（2016年</w:t>
      </w:r>
      <w:r>
        <w:rPr>
          <w:rFonts w:hint="default"/>
        </w:rPr>
        <w:t>修订</w:t>
      </w:r>
      <w:r>
        <w:t>）</w:t>
      </w:r>
    </w:p>
    <w:p>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《中华人民共和国河道管理条例》</w:t>
      </w:r>
      <w:r>
        <w:t>（2018年</w:t>
      </w:r>
      <w:r>
        <w:rPr>
          <w:rFonts w:hint="default"/>
        </w:rPr>
        <w:t>修订</w:t>
      </w:r>
      <w:r>
        <w:t>）</w:t>
      </w:r>
    </w:p>
    <w:p>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《重庆市环境保护条例》（2010年修订）</w:t>
      </w:r>
    </w:p>
    <w:p>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t>《</w:t>
      </w:r>
      <w:r>
        <w:rPr>
          <w:rFonts w:hint="default"/>
        </w:rPr>
        <w:t>中华人民共和国长江保护法</w:t>
      </w:r>
      <w:r>
        <w:t>》（2020年）</w:t>
      </w:r>
    </w:p>
    <w:p>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t>《重庆市水资源管理条例》</w:t>
      </w:r>
      <w:r>
        <w:rPr>
          <w:rFonts w:hint="default"/>
        </w:rPr>
        <w:t>（201</w:t>
      </w:r>
      <w:r>
        <w:t>5</w:t>
      </w:r>
      <w:r>
        <w:rPr>
          <w:rFonts w:hint="default"/>
        </w:rPr>
        <w:t>年修订）</w:t>
      </w:r>
    </w:p>
    <w:p>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t>《重庆市河长管理条例》（2020年）</w:t>
      </w:r>
    </w:p>
    <w:p>
      <w:pPr>
        <w:pStyle w:val="4"/>
        <w:keepNext w:val="0"/>
        <w:keepLines w:val="0"/>
        <w:pageBreakBefore w:val="0"/>
        <w:widowControl w:val="0"/>
        <w:kinsoku/>
        <w:wordWrap/>
        <w:overflowPunct/>
        <w:topLinePunct w:val="0"/>
        <w:autoSpaceDE w:val="0"/>
        <w:autoSpaceDN w:val="0"/>
        <w:bidi w:val="0"/>
        <w:adjustRightInd/>
        <w:snapToGrid/>
        <w:spacing w:before="80" w:beforeLines="0"/>
        <w:ind w:left="0" w:firstLine="0"/>
        <w:textAlignment w:val="auto"/>
        <w:rPr>
          <w:rFonts w:hint="default"/>
        </w:rPr>
      </w:pPr>
      <w:bookmarkStart w:id="4" w:name="_Toc71223731"/>
      <w:bookmarkStart w:id="5" w:name="_Toc3327"/>
      <w:r>
        <w:rPr>
          <w:rFonts w:hint="default"/>
        </w:rPr>
        <w:t>部门规章及相关文件</w:t>
      </w:r>
      <w:bookmarkEnd w:id="4"/>
      <w:bookmarkEnd w:id="5"/>
    </w:p>
    <w:p>
      <w:pPr>
        <w:keepNext w:val="0"/>
        <w:keepLines w:val="0"/>
        <w:pageBreakBefore w:val="0"/>
        <w:widowControl w:val="0"/>
        <w:numPr>
          <w:ilvl w:val="0"/>
          <w:numId w:val="4"/>
        </w:numPr>
        <w:kinsoku/>
        <w:wordWrap/>
        <w:overflowPunct/>
        <w:topLinePunct w:val="0"/>
        <w:autoSpaceDE w:val="0"/>
        <w:autoSpaceDN w:val="0"/>
        <w:bidi w:val="0"/>
        <w:adjustRightInd w:val="0"/>
        <w:snapToGrid/>
        <w:spacing w:before="80" w:beforeLines="0"/>
        <w:ind w:left="0" w:leftChars="0" w:firstLine="0" w:firstLineChars="0"/>
        <w:textAlignment w:val="auto"/>
        <w:rPr>
          <w:rFonts w:hint="default"/>
        </w:rPr>
      </w:pPr>
      <w:r>
        <w:rPr>
          <w:rFonts w:hint="default"/>
        </w:rPr>
        <w:t>《水利部办公厅关于印发〈“一河（湖）一策”方案编制指南（试行）〉的通知》（办建管函〔2017〕1071号）</w:t>
      </w:r>
    </w:p>
    <w:p>
      <w:pPr>
        <w:numPr>
          <w:ilvl w:val="0"/>
          <w:numId w:val="4"/>
        </w:numPr>
        <w:bidi w:val="0"/>
        <w:ind w:left="425" w:leftChars="0" w:hanging="425" w:firstLineChars="0"/>
        <w:rPr>
          <w:rFonts w:hint="default"/>
        </w:rPr>
      </w:pPr>
      <w:r>
        <w:rPr>
          <w:rFonts w:hint="default"/>
        </w:rPr>
        <w:t>中共中央办公厅、国务院办公厅印发《关于全面推行河长制的意见》(厅字[2016]42号)</w:t>
      </w:r>
    </w:p>
    <w:p>
      <w:pPr>
        <w:numPr>
          <w:ilvl w:val="0"/>
          <w:numId w:val="4"/>
        </w:numPr>
        <w:bidi w:val="0"/>
        <w:ind w:left="425" w:leftChars="0" w:hanging="425" w:firstLineChars="0"/>
        <w:rPr>
          <w:rFonts w:hint="default"/>
        </w:rPr>
      </w:pPr>
      <w:r>
        <w:rPr>
          <w:rFonts w:hint="default"/>
        </w:rPr>
        <w:t>《重庆市河长办公室关于开展“一河一策”方案编制工作的通知》（渝河长办[2017]9号）</w:t>
      </w:r>
    </w:p>
    <w:p>
      <w:pPr>
        <w:numPr>
          <w:ilvl w:val="0"/>
          <w:numId w:val="4"/>
        </w:numPr>
        <w:bidi w:val="0"/>
        <w:ind w:left="425" w:leftChars="0" w:hanging="425" w:firstLineChars="0"/>
        <w:rPr>
          <w:rFonts w:hint="default"/>
        </w:rPr>
      </w:pPr>
      <w:r>
        <w:rPr>
          <w:rFonts w:hint="eastAsia"/>
          <w:lang w:val="en-US" w:eastAsia="zh-CN"/>
        </w:rPr>
        <w:t xml:space="preserve"> </w:t>
      </w:r>
      <w:r>
        <w:t>河长办公室关于转发《</w:t>
      </w:r>
      <w:r>
        <w:rPr>
          <w:color w:val="auto"/>
        </w:rPr>
        <w:t>重庆市河长办公室关于印发&lt;重庆市“一河一策”方案编制大纲（试行）</w:t>
      </w:r>
      <w:r>
        <w:rPr>
          <w:rFonts w:hint="default"/>
          <w:color w:val="auto"/>
        </w:rPr>
        <w:t>&gt;的通知</w:t>
      </w:r>
      <w:r>
        <w:rPr>
          <w:rFonts w:hint="default"/>
        </w:rPr>
        <w:t>》的通知（</w:t>
      </w:r>
      <w:r>
        <w:rPr>
          <w:rFonts w:hint="eastAsia"/>
        </w:rPr>
        <w:t>丰都河长办发〔2020〕29</w:t>
      </w:r>
      <w:r>
        <w:rPr>
          <w:rFonts w:hint="eastAsia"/>
          <w:lang w:val="en-US" w:eastAsia="zh-CN"/>
        </w:rPr>
        <w:t>号</w:t>
      </w:r>
      <w:r>
        <w:rPr>
          <w:rFonts w:hint="default"/>
        </w:rPr>
        <w:t>）</w:t>
      </w:r>
    </w:p>
    <w:p>
      <w:pPr>
        <w:numPr>
          <w:ilvl w:val="0"/>
          <w:numId w:val="4"/>
        </w:numPr>
        <w:bidi w:val="0"/>
        <w:ind w:left="425" w:leftChars="0" w:hanging="425" w:firstLineChars="0"/>
        <w:rPr>
          <w:rFonts w:hint="default"/>
        </w:rPr>
      </w:pPr>
      <w:r>
        <w:rPr>
          <w:rFonts w:hint="default"/>
        </w:rPr>
        <w:t>《重庆市“一河一策”方案编制大纲（试行）》</w:t>
      </w:r>
      <w:r>
        <w:t>（2020年）</w:t>
      </w:r>
    </w:p>
    <w:p>
      <w:pPr>
        <w:numPr>
          <w:ilvl w:val="0"/>
          <w:numId w:val="4"/>
        </w:numPr>
        <w:bidi w:val="0"/>
        <w:ind w:left="425" w:leftChars="0" w:hanging="425" w:firstLineChars="0"/>
        <w:rPr>
          <w:rFonts w:hint="default"/>
        </w:rPr>
      </w:pPr>
      <w:r>
        <w:rPr>
          <w:rFonts w:hint="default"/>
        </w:rPr>
        <w:t>《水利部河长办关于印发〈河湖健康评价指南（试行）〉的通知》（第43号）</w:t>
      </w:r>
    </w:p>
    <w:p>
      <w:pPr>
        <w:pStyle w:val="4"/>
        <w:bidi w:val="0"/>
        <w:rPr>
          <w:rFonts w:hint="default"/>
        </w:rPr>
      </w:pPr>
      <w:bookmarkStart w:id="6" w:name="_Toc1630"/>
      <w:bookmarkStart w:id="7" w:name="_Toc71223732"/>
      <w:r>
        <w:rPr>
          <w:rFonts w:hint="default"/>
        </w:rPr>
        <w:t>相关规划</w:t>
      </w:r>
      <w:bookmarkEnd w:id="6"/>
      <w:bookmarkEnd w:id="7"/>
    </w:p>
    <w:p>
      <w:pPr>
        <w:numPr>
          <w:ilvl w:val="0"/>
          <w:numId w:val="5"/>
        </w:numPr>
        <w:bidi w:val="0"/>
        <w:ind w:left="425" w:leftChars="0" w:hanging="425" w:firstLineChars="0"/>
        <w:rPr>
          <w:rFonts w:hint="default"/>
        </w:rPr>
      </w:pPr>
      <w:r>
        <w:rPr>
          <w:rFonts w:hint="default"/>
        </w:rPr>
        <w:t>《第一次全国水利普查全口径经济社会用水取用水量汇总表》</w:t>
      </w:r>
    </w:p>
    <w:p>
      <w:pPr>
        <w:numPr>
          <w:ilvl w:val="0"/>
          <w:numId w:val="5"/>
        </w:numPr>
        <w:bidi w:val="0"/>
        <w:ind w:left="425" w:leftChars="0" w:hanging="425" w:firstLineChars="0"/>
        <w:rPr>
          <w:rFonts w:hint="default"/>
        </w:rPr>
      </w:pPr>
      <w:r>
        <w:rPr>
          <w:rFonts w:hint="default"/>
        </w:rPr>
        <w:t>《重庆生态功能区划》（</w:t>
      </w:r>
      <w:r>
        <w:t>2016年</w:t>
      </w:r>
      <w:r>
        <w:rPr>
          <w:rFonts w:hint="default"/>
        </w:rPr>
        <w:t>修编）</w:t>
      </w:r>
    </w:p>
    <w:p>
      <w:pPr>
        <w:numPr>
          <w:ilvl w:val="0"/>
          <w:numId w:val="5"/>
        </w:numPr>
        <w:bidi w:val="0"/>
        <w:ind w:left="425" w:leftChars="0" w:hanging="425" w:firstLineChars="0"/>
        <w:rPr>
          <w:rFonts w:hint="default"/>
        </w:rPr>
      </w:pPr>
      <w:r>
        <w:rPr>
          <w:rFonts w:hint="default"/>
        </w:rPr>
        <w:t>《万州区等36个区县（自治县）集中式饮用水水源保护区调整方案（2016年）》（渝府办发〔2016〕19号）</w:t>
      </w:r>
    </w:p>
    <w:p>
      <w:pPr>
        <w:numPr>
          <w:ilvl w:val="0"/>
          <w:numId w:val="5"/>
        </w:numPr>
        <w:bidi w:val="0"/>
        <w:ind w:left="425" w:leftChars="0" w:hanging="425" w:firstLineChars="0"/>
        <w:rPr>
          <w:rFonts w:hint="default"/>
        </w:rPr>
      </w:pPr>
      <w:r>
        <w:t>《</w:t>
      </w:r>
      <w:r>
        <w:rPr>
          <w:rFonts w:hint="eastAsia"/>
          <w:lang w:val="en-US" w:eastAsia="zh-CN"/>
        </w:rPr>
        <w:t>丰都县</w:t>
      </w:r>
      <w:r>
        <w:t>农村生活污水专项治理规划》（2020年）</w:t>
      </w:r>
    </w:p>
    <w:p>
      <w:pPr>
        <w:numPr>
          <w:ilvl w:val="0"/>
          <w:numId w:val="5"/>
        </w:numPr>
        <w:bidi w:val="0"/>
        <w:ind w:left="425" w:leftChars="0" w:hanging="425" w:firstLineChars="0"/>
        <w:rPr>
          <w:rFonts w:hint="default"/>
        </w:rPr>
      </w:pPr>
      <w:r>
        <w:t>《重庆市</w:t>
      </w:r>
      <w:r>
        <w:rPr>
          <w:rFonts w:hint="eastAsia"/>
          <w:lang w:val="en-US" w:eastAsia="zh-CN"/>
        </w:rPr>
        <w:t>丰都县</w:t>
      </w:r>
      <w:r>
        <w:t>水功能区划报告》（2017年）</w:t>
      </w:r>
    </w:p>
    <w:p>
      <w:pPr>
        <w:numPr>
          <w:ilvl w:val="0"/>
          <w:numId w:val="5"/>
        </w:numPr>
        <w:bidi w:val="0"/>
        <w:ind w:left="425" w:leftChars="0" w:hanging="425" w:firstLineChars="0"/>
      </w:pPr>
      <w:r>
        <w:t>《</w:t>
      </w:r>
      <w:r>
        <w:rPr>
          <w:rFonts w:hint="eastAsia"/>
          <w:lang w:val="en-US" w:eastAsia="zh-CN"/>
        </w:rPr>
        <w:t>丰都县</w:t>
      </w:r>
      <w:r>
        <w:t>“十四五”水生态环境保护规划》（2021年）</w:t>
      </w:r>
    </w:p>
    <w:p>
      <w:pPr>
        <w:numPr>
          <w:ilvl w:val="0"/>
          <w:numId w:val="5"/>
        </w:numPr>
        <w:bidi w:val="0"/>
        <w:ind w:left="425" w:leftChars="0" w:hanging="425" w:firstLineChars="0"/>
        <w:rPr>
          <w:rFonts w:hint="default"/>
        </w:rPr>
      </w:pPr>
      <w:r>
        <w:t>《</w:t>
      </w:r>
      <w:r>
        <w:rPr>
          <w:rFonts w:hint="eastAsia"/>
          <w:lang w:val="en-US" w:eastAsia="zh-CN"/>
        </w:rPr>
        <w:t>丰都县</w:t>
      </w:r>
      <w:r>
        <w:rPr>
          <w:rFonts w:hint="eastAsia"/>
          <w:lang w:eastAsia="zh-CN"/>
        </w:rPr>
        <w:t>赤溪河</w:t>
      </w:r>
      <w:r>
        <w:t>“一河一策“方案》（201</w:t>
      </w:r>
      <w:r>
        <w:rPr>
          <w:rFonts w:hint="eastAsia"/>
          <w:lang w:val="en-US" w:eastAsia="zh-CN"/>
        </w:rPr>
        <w:t>8</w:t>
      </w:r>
      <w:r>
        <w:t>年</w:t>
      </w:r>
      <w:r>
        <w:rPr>
          <w:rFonts w:hint="eastAsia"/>
          <w:lang w:eastAsia="zh-CN"/>
        </w:rPr>
        <w:t>）</w:t>
      </w:r>
    </w:p>
    <w:p>
      <w:pPr>
        <w:pStyle w:val="4"/>
        <w:bidi w:val="0"/>
        <w:rPr>
          <w:rFonts w:hint="default"/>
        </w:rPr>
      </w:pPr>
      <w:bookmarkStart w:id="8" w:name="_Toc25518"/>
      <w:bookmarkStart w:id="9" w:name="_Toc71223733"/>
      <w:r>
        <w:rPr>
          <w:rFonts w:hint="default"/>
        </w:rPr>
        <w:t>技术标准及规范</w:t>
      </w:r>
      <w:bookmarkEnd w:id="8"/>
      <w:bookmarkEnd w:id="9"/>
    </w:p>
    <w:p>
      <w:pPr>
        <w:numPr>
          <w:ilvl w:val="0"/>
          <w:numId w:val="6"/>
        </w:numPr>
        <w:bidi w:val="0"/>
        <w:ind w:left="425" w:leftChars="0" w:hanging="425" w:firstLineChars="0"/>
        <w:rPr>
          <w:rFonts w:hint="default"/>
        </w:rPr>
      </w:pPr>
      <w:r>
        <w:rPr>
          <w:rFonts w:hint="default"/>
        </w:rPr>
        <w:t>《污水综合排放标准》（GB8978-1996）2015版</w:t>
      </w:r>
    </w:p>
    <w:p>
      <w:pPr>
        <w:numPr>
          <w:ilvl w:val="0"/>
          <w:numId w:val="6"/>
        </w:numPr>
        <w:bidi w:val="0"/>
        <w:ind w:left="425" w:leftChars="0" w:hanging="425" w:firstLineChars="0"/>
        <w:rPr>
          <w:rFonts w:hint="default"/>
        </w:rPr>
      </w:pPr>
      <w:r>
        <w:rPr>
          <w:rFonts w:hint="default"/>
        </w:rPr>
        <w:t>《室外排水设计规范》（GB50014-2006）2016年版</w:t>
      </w:r>
    </w:p>
    <w:p>
      <w:pPr>
        <w:numPr>
          <w:ilvl w:val="0"/>
          <w:numId w:val="6"/>
        </w:numPr>
        <w:bidi w:val="0"/>
        <w:ind w:left="425" w:leftChars="0" w:hanging="425" w:firstLineChars="0"/>
        <w:rPr>
          <w:rFonts w:hint="default"/>
        </w:rPr>
      </w:pPr>
      <w:r>
        <w:rPr>
          <w:rFonts w:hint="default"/>
        </w:rPr>
        <w:t>《城市污水处理工程项目建设标准》（修订）（2001年版）</w:t>
      </w:r>
    </w:p>
    <w:p>
      <w:pPr>
        <w:numPr>
          <w:ilvl w:val="0"/>
          <w:numId w:val="6"/>
        </w:numPr>
        <w:bidi w:val="0"/>
        <w:ind w:left="425" w:leftChars="0" w:hanging="425" w:firstLineChars="0"/>
        <w:rPr>
          <w:rFonts w:hint="default"/>
          <w:lang w:val="zh-CN"/>
        </w:rPr>
      </w:pPr>
      <w:r>
        <w:rPr>
          <w:rFonts w:hint="default"/>
          <w:lang w:val="zh-CN"/>
        </w:rPr>
        <w:t>《防洪标准》GB50201-2014</w:t>
      </w:r>
    </w:p>
    <w:p>
      <w:pPr>
        <w:numPr>
          <w:ilvl w:val="0"/>
          <w:numId w:val="6"/>
        </w:numPr>
        <w:bidi w:val="0"/>
        <w:ind w:left="425" w:leftChars="0" w:hanging="425" w:firstLineChars="0"/>
        <w:rPr>
          <w:rFonts w:hint="default"/>
        </w:rPr>
      </w:pPr>
      <w:r>
        <w:rPr>
          <w:rFonts w:hint="default"/>
        </w:rPr>
        <w:t>《水利水电工程等级划分及洪水标准》SL252-2017</w:t>
      </w:r>
    </w:p>
    <w:p>
      <w:pPr>
        <w:numPr>
          <w:ilvl w:val="0"/>
          <w:numId w:val="6"/>
        </w:numPr>
        <w:bidi w:val="0"/>
        <w:ind w:left="425" w:leftChars="0" w:hanging="425" w:firstLineChars="0"/>
        <w:rPr>
          <w:rFonts w:hint="default"/>
        </w:rPr>
      </w:pPr>
      <w:r>
        <w:rPr>
          <w:rFonts w:hint="default"/>
        </w:rPr>
        <w:t>《工程建设标准强制性条文》(2016)（水利工程部分）</w:t>
      </w:r>
    </w:p>
    <w:p>
      <w:pPr>
        <w:numPr>
          <w:ilvl w:val="0"/>
          <w:numId w:val="6"/>
        </w:numPr>
        <w:bidi w:val="0"/>
        <w:ind w:left="425" w:leftChars="0" w:hanging="425" w:firstLineChars="0"/>
        <w:rPr>
          <w:rFonts w:hint="default"/>
        </w:rPr>
      </w:pPr>
      <w:r>
        <w:rPr>
          <w:rFonts w:hint="default"/>
        </w:rPr>
        <w:t>《堤防工程设计规范》GB50286</w:t>
      </w:r>
      <w:r>
        <w:t>-</w:t>
      </w:r>
      <w:r>
        <w:rPr>
          <w:rFonts w:hint="default"/>
        </w:rPr>
        <w:t>2013</w:t>
      </w:r>
    </w:p>
    <w:p>
      <w:pPr>
        <w:pStyle w:val="2"/>
        <w:keepNext/>
        <w:keepLines/>
        <w:pageBreakBefore w:val="0"/>
        <w:widowControl w:val="0"/>
        <w:numPr>
          <w:ilvl w:val="1"/>
          <w:numId w:val="2"/>
        </w:numPr>
        <w:kinsoku/>
        <w:wordWrap/>
        <w:overflowPunct/>
        <w:topLinePunct w:val="0"/>
        <w:autoSpaceDE w:val="0"/>
        <w:autoSpaceDN w:val="0"/>
        <w:bidi w:val="0"/>
        <w:adjustRightInd/>
        <w:snapToGrid/>
        <w:spacing w:before="80" w:after="0" w:line="440" w:lineRule="exact"/>
        <w:ind w:left="0" w:firstLine="0"/>
        <w:textAlignment w:val="auto"/>
        <w:rPr>
          <w:rFonts w:hint="eastAsia" w:ascii="方正仿宋_GBK" w:hAnsi="方正仿宋_GBK" w:eastAsia="方正仿宋_GBK" w:cs="方正仿宋_GBK"/>
          <w:b w:val="0"/>
          <w:bCs/>
        </w:rPr>
      </w:pPr>
      <w:bookmarkStart w:id="10" w:name="_Toc27448"/>
      <w:r>
        <w:rPr>
          <w:rFonts w:hint="eastAsia" w:ascii="方正仿宋_GBK" w:hAnsi="方正仿宋_GBK" w:eastAsia="方正仿宋_GBK" w:cs="方正仿宋_GBK"/>
          <w:b w:val="0"/>
          <w:bCs/>
        </w:rPr>
        <w:t>编制对象</w:t>
      </w:r>
      <w:bookmarkEnd w:id="10"/>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lang w:val="en-US" w:eastAsia="zh-CN"/>
        </w:rPr>
      </w:pPr>
      <w:r>
        <w:rPr>
          <w:rFonts w:hint="eastAsia"/>
          <w:lang w:val="en-US" w:eastAsia="zh-CN"/>
        </w:rPr>
        <w:t>赤溪河为长江左岸一级支流，为境内河流，河流编号F513A000000L，发源于重庆市丰都县保合镇范家沟村，流经十直镇、树人镇、名山街道后在名山街道赤溪村汇入长江。赤溪河全流域面积87.4km</w:t>
      </w:r>
      <w:r>
        <w:rPr>
          <w:rFonts w:hint="eastAsia"/>
          <w:vertAlign w:val="superscript"/>
          <w:lang w:val="en-US" w:eastAsia="zh-CN"/>
        </w:rPr>
        <w:t>2</w:t>
      </w:r>
      <w:r>
        <w:rPr>
          <w:rFonts w:hint="eastAsia"/>
          <w:lang w:val="en-US" w:eastAsia="zh-CN"/>
        </w:rPr>
        <w:t>，干流全长22.4km，全段位于丰都县境内，流经区域涉及丰都县境内4个镇街、11个行政村及1座水库（蒋家山水库）。</w:t>
      </w:r>
    </w:p>
    <w:p>
      <w:pPr>
        <w:bidi w:val="0"/>
        <w:rPr>
          <w:rFonts w:hint="default"/>
          <w:lang w:val="en-US" w:eastAsia="zh-CN"/>
        </w:rPr>
      </w:pPr>
      <w:r>
        <w:rPr>
          <w:rFonts w:hint="eastAsia"/>
          <w:lang w:val="en-US" w:eastAsia="zh-CN"/>
        </w:rPr>
        <w:t>赤溪河</w:t>
      </w:r>
      <w:r>
        <w:rPr>
          <w:rFonts w:hint="default"/>
          <w:lang w:val="en-US" w:eastAsia="zh-CN"/>
        </w:rPr>
        <w:t>属区级河流，根据《重庆市“一河（库）一策”方案编制大纲 （试行）》的相关要求，区级河流以境内流域为单元编制，并覆盖流域内的乡镇（街道）级河流，流域内乡镇级河流为</w:t>
      </w:r>
      <w:r>
        <w:rPr>
          <w:rFonts w:hint="eastAsia"/>
          <w:lang w:val="en-US" w:eastAsia="zh-CN"/>
        </w:rPr>
        <w:t>十直镇、树人镇、名山街道</w:t>
      </w:r>
      <w:r>
        <w:rPr>
          <w:rFonts w:hint="default"/>
          <w:lang w:val="en-US" w:eastAsia="zh-CN"/>
        </w:rPr>
        <w:t>。因此，本方案编制对象为</w:t>
      </w:r>
      <w:r>
        <w:rPr>
          <w:rFonts w:hint="eastAsia"/>
          <w:lang w:val="en-US" w:eastAsia="zh-CN"/>
        </w:rPr>
        <w:t>丰都县赤溪河</w:t>
      </w:r>
      <w:r>
        <w:rPr>
          <w:rFonts w:hint="default"/>
          <w:lang w:val="en-US" w:eastAsia="zh-CN"/>
        </w:rPr>
        <w:t>流域。</w:t>
      </w:r>
    </w:p>
    <w:p>
      <w:pPr>
        <w:pStyle w:val="25"/>
        <w:bidi w:val="0"/>
      </w:pPr>
      <w:r>
        <w:rPr>
          <w:rFonts w:hint="eastAsia"/>
          <w:lang w:val="en-US" w:eastAsia="zh-CN"/>
        </w:rPr>
        <w:t xml:space="preserve">表1.2-1  </w:t>
      </w:r>
      <w:r>
        <w:rPr>
          <w:rFonts w:hint="eastAsia"/>
        </w:rPr>
        <w:t>赤溪河基本情况表</w:t>
      </w:r>
    </w:p>
    <w:tbl>
      <w:tblPr>
        <w:tblStyle w:val="21"/>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141"/>
        <w:gridCol w:w="1104"/>
        <w:gridCol w:w="1200"/>
        <w:gridCol w:w="857"/>
        <w:gridCol w:w="1296"/>
        <w:gridCol w:w="3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76" w:type="dxa"/>
            <w:vAlign w:val="center"/>
          </w:tcPr>
          <w:p>
            <w:pPr>
              <w:pStyle w:val="25"/>
              <w:bidi w:val="0"/>
            </w:pPr>
            <w:r>
              <w:rPr>
                <w:rFonts w:hint="eastAsia"/>
              </w:rPr>
              <w:t>河流名称</w:t>
            </w:r>
          </w:p>
        </w:tc>
        <w:tc>
          <w:tcPr>
            <w:tcW w:w="1141" w:type="dxa"/>
            <w:vAlign w:val="center"/>
          </w:tcPr>
          <w:p>
            <w:pPr>
              <w:pStyle w:val="25"/>
              <w:bidi w:val="0"/>
            </w:pPr>
            <w:r>
              <w:rPr>
                <w:rFonts w:hint="eastAsia"/>
              </w:rPr>
              <w:t>流域面积</w:t>
            </w:r>
            <w:r>
              <w:t>（</w:t>
            </w:r>
            <w:r>
              <w:rPr>
                <w:rFonts w:hint="eastAsia"/>
              </w:rPr>
              <w:t>km</w:t>
            </w:r>
            <w:r>
              <w:t>2）</w:t>
            </w:r>
          </w:p>
        </w:tc>
        <w:tc>
          <w:tcPr>
            <w:tcW w:w="1104" w:type="dxa"/>
            <w:vAlign w:val="center"/>
          </w:tcPr>
          <w:p>
            <w:pPr>
              <w:pStyle w:val="25"/>
              <w:bidi w:val="0"/>
            </w:pPr>
            <w:r>
              <w:rPr>
                <w:rFonts w:hint="eastAsia"/>
              </w:rPr>
              <w:t>河流总长（km）</w:t>
            </w:r>
          </w:p>
        </w:tc>
        <w:tc>
          <w:tcPr>
            <w:tcW w:w="1200" w:type="dxa"/>
            <w:vAlign w:val="center"/>
          </w:tcPr>
          <w:p>
            <w:pPr>
              <w:pStyle w:val="25"/>
              <w:bidi w:val="0"/>
            </w:pPr>
            <w:r>
              <w:t>流域面积（</w:t>
            </w:r>
            <w:r>
              <w:rPr>
                <w:rFonts w:hint="eastAsia"/>
              </w:rPr>
              <w:t>km</w:t>
            </w:r>
            <w:r>
              <w:t>2）</w:t>
            </w:r>
          </w:p>
        </w:tc>
        <w:tc>
          <w:tcPr>
            <w:tcW w:w="857" w:type="dxa"/>
            <w:vAlign w:val="center"/>
          </w:tcPr>
          <w:p>
            <w:pPr>
              <w:pStyle w:val="25"/>
              <w:bidi w:val="0"/>
            </w:pPr>
            <w:r>
              <w:t>河长</w:t>
            </w:r>
            <w:r>
              <w:rPr>
                <w:rFonts w:hint="eastAsia"/>
              </w:rPr>
              <w:t>（km）</w:t>
            </w:r>
          </w:p>
        </w:tc>
        <w:tc>
          <w:tcPr>
            <w:tcW w:w="1296" w:type="dxa"/>
            <w:vAlign w:val="center"/>
          </w:tcPr>
          <w:p>
            <w:pPr>
              <w:pStyle w:val="25"/>
              <w:bidi w:val="0"/>
            </w:pPr>
            <w:r>
              <w:rPr>
                <w:rFonts w:hint="eastAsia"/>
              </w:rPr>
              <w:t>流经乡镇</w:t>
            </w:r>
          </w:p>
        </w:tc>
        <w:tc>
          <w:tcPr>
            <w:tcW w:w="3107" w:type="dxa"/>
            <w:vAlign w:val="center"/>
          </w:tcPr>
          <w:p>
            <w:pPr>
              <w:pStyle w:val="25"/>
              <w:bidi w:val="0"/>
            </w:pPr>
            <w:r>
              <w:rPr>
                <w:rFonts w:hint="eastAsia"/>
              </w:rPr>
              <w:t>流经村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vMerge w:val="restart"/>
            <w:vAlign w:val="center"/>
          </w:tcPr>
          <w:p>
            <w:pPr>
              <w:pStyle w:val="25"/>
              <w:bidi w:val="0"/>
            </w:pPr>
            <w:r>
              <w:rPr>
                <w:rFonts w:hint="eastAsia"/>
              </w:rPr>
              <w:t>赤溪河</w:t>
            </w:r>
          </w:p>
        </w:tc>
        <w:tc>
          <w:tcPr>
            <w:tcW w:w="1141" w:type="dxa"/>
            <w:vMerge w:val="restart"/>
            <w:vAlign w:val="center"/>
          </w:tcPr>
          <w:p>
            <w:pPr>
              <w:pStyle w:val="25"/>
              <w:bidi w:val="0"/>
            </w:pPr>
            <w:r>
              <w:t>87.4</w:t>
            </w:r>
          </w:p>
        </w:tc>
        <w:tc>
          <w:tcPr>
            <w:tcW w:w="1104" w:type="dxa"/>
            <w:vMerge w:val="restart"/>
            <w:vAlign w:val="center"/>
          </w:tcPr>
          <w:p>
            <w:pPr>
              <w:pStyle w:val="25"/>
              <w:bidi w:val="0"/>
            </w:pPr>
            <w:r>
              <w:t>22.4</w:t>
            </w:r>
          </w:p>
        </w:tc>
        <w:tc>
          <w:tcPr>
            <w:tcW w:w="1200" w:type="dxa"/>
            <w:vMerge w:val="restart"/>
            <w:vAlign w:val="center"/>
          </w:tcPr>
          <w:p>
            <w:pPr>
              <w:pStyle w:val="25"/>
              <w:bidi w:val="0"/>
            </w:pPr>
            <w:r>
              <w:t>87.4</w:t>
            </w:r>
          </w:p>
        </w:tc>
        <w:tc>
          <w:tcPr>
            <w:tcW w:w="857" w:type="dxa"/>
            <w:vMerge w:val="restart"/>
            <w:vAlign w:val="center"/>
          </w:tcPr>
          <w:p>
            <w:pPr>
              <w:pStyle w:val="25"/>
              <w:bidi w:val="0"/>
            </w:pPr>
            <w:r>
              <w:t>22.4</w:t>
            </w:r>
          </w:p>
        </w:tc>
        <w:tc>
          <w:tcPr>
            <w:tcW w:w="1296" w:type="dxa"/>
            <w:vAlign w:val="center"/>
          </w:tcPr>
          <w:p>
            <w:pPr>
              <w:pStyle w:val="25"/>
              <w:bidi w:val="0"/>
            </w:pPr>
            <w:r>
              <w:rPr>
                <w:rFonts w:hint="eastAsia"/>
                <w:lang w:val="en-US" w:eastAsia="zh-CN"/>
              </w:rPr>
              <w:t>保合镇</w:t>
            </w:r>
          </w:p>
        </w:tc>
        <w:tc>
          <w:tcPr>
            <w:tcW w:w="3107" w:type="dxa"/>
            <w:vAlign w:val="center"/>
          </w:tcPr>
          <w:p>
            <w:pPr>
              <w:pStyle w:val="25"/>
              <w:bidi w:val="0"/>
            </w:pPr>
            <w:r>
              <w:rPr>
                <w:rFonts w:hint="eastAsia"/>
                <w:lang w:val="en-US" w:eastAsia="zh-CN"/>
              </w:rPr>
              <w:t>范家沟村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vMerge w:val="continue"/>
            <w:vAlign w:val="center"/>
          </w:tcPr>
          <w:p>
            <w:pPr>
              <w:pStyle w:val="25"/>
              <w:bidi w:val="0"/>
              <w:rPr>
                <w:rFonts w:hint="eastAsia"/>
              </w:rPr>
            </w:pPr>
          </w:p>
        </w:tc>
        <w:tc>
          <w:tcPr>
            <w:tcW w:w="1141" w:type="dxa"/>
            <w:vMerge w:val="continue"/>
            <w:vAlign w:val="center"/>
          </w:tcPr>
          <w:p>
            <w:pPr>
              <w:pStyle w:val="25"/>
              <w:bidi w:val="0"/>
            </w:pPr>
          </w:p>
        </w:tc>
        <w:tc>
          <w:tcPr>
            <w:tcW w:w="1104" w:type="dxa"/>
            <w:vMerge w:val="continue"/>
            <w:vAlign w:val="center"/>
          </w:tcPr>
          <w:p>
            <w:pPr>
              <w:pStyle w:val="25"/>
              <w:bidi w:val="0"/>
            </w:pPr>
          </w:p>
        </w:tc>
        <w:tc>
          <w:tcPr>
            <w:tcW w:w="1200" w:type="dxa"/>
            <w:vMerge w:val="continue"/>
            <w:vAlign w:val="center"/>
          </w:tcPr>
          <w:p>
            <w:pPr>
              <w:pStyle w:val="25"/>
              <w:bidi w:val="0"/>
            </w:pPr>
          </w:p>
        </w:tc>
        <w:tc>
          <w:tcPr>
            <w:tcW w:w="857" w:type="dxa"/>
            <w:vMerge w:val="continue"/>
            <w:vAlign w:val="center"/>
          </w:tcPr>
          <w:p>
            <w:pPr>
              <w:pStyle w:val="25"/>
              <w:bidi w:val="0"/>
            </w:pPr>
          </w:p>
        </w:tc>
        <w:tc>
          <w:tcPr>
            <w:tcW w:w="1296" w:type="dxa"/>
            <w:vAlign w:val="center"/>
          </w:tcPr>
          <w:p>
            <w:pPr>
              <w:pStyle w:val="25"/>
              <w:bidi w:val="0"/>
              <w:rPr>
                <w:rFonts w:hint="eastAsia"/>
              </w:rPr>
            </w:pPr>
            <w:r>
              <w:rPr>
                <w:rFonts w:hint="eastAsia"/>
              </w:rPr>
              <w:t>十直镇</w:t>
            </w:r>
          </w:p>
        </w:tc>
        <w:tc>
          <w:tcPr>
            <w:tcW w:w="3107" w:type="dxa"/>
            <w:vAlign w:val="center"/>
          </w:tcPr>
          <w:p>
            <w:pPr>
              <w:pStyle w:val="25"/>
              <w:bidi w:val="0"/>
              <w:rPr>
                <w:rFonts w:hint="eastAsia"/>
              </w:rPr>
            </w:pPr>
            <w:r>
              <w:rPr>
                <w:rFonts w:hint="eastAsia"/>
              </w:rPr>
              <w:t>蒋家山村、莲花村、新屋村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vMerge w:val="continue"/>
            <w:vAlign w:val="center"/>
          </w:tcPr>
          <w:p>
            <w:pPr>
              <w:pStyle w:val="25"/>
              <w:bidi w:val="0"/>
            </w:pPr>
          </w:p>
        </w:tc>
        <w:tc>
          <w:tcPr>
            <w:tcW w:w="1141" w:type="dxa"/>
            <w:vMerge w:val="continue"/>
            <w:vAlign w:val="center"/>
          </w:tcPr>
          <w:p>
            <w:pPr>
              <w:pStyle w:val="25"/>
              <w:bidi w:val="0"/>
            </w:pPr>
          </w:p>
        </w:tc>
        <w:tc>
          <w:tcPr>
            <w:tcW w:w="1104" w:type="dxa"/>
            <w:vMerge w:val="continue"/>
            <w:vAlign w:val="center"/>
          </w:tcPr>
          <w:p>
            <w:pPr>
              <w:pStyle w:val="25"/>
              <w:bidi w:val="0"/>
            </w:pPr>
          </w:p>
        </w:tc>
        <w:tc>
          <w:tcPr>
            <w:tcW w:w="1200" w:type="dxa"/>
            <w:vMerge w:val="continue"/>
            <w:vAlign w:val="center"/>
          </w:tcPr>
          <w:p>
            <w:pPr>
              <w:pStyle w:val="25"/>
              <w:bidi w:val="0"/>
            </w:pPr>
          </w:p>
        </w:tc>
        <w:tc>
          <w:tcPr>
            <w:tcW w:w="857" w:type="dxa"/>
            <w:vMerge w:val="continue"/>
            <w:vAlign w:val="center"/>
          </w:tcPr>
          <w:p>
            <w:pPr>
              <w:pStyle w:val="25"/>
              <w:bidi w:val="0"/>
            </w:pPr>
          </w:p>
        </w:tc>
        <w:tc>
          <w:tcPr>
            <w:tcW w:w="1296" w:type="dxa"/>
            <w:vAlign w:val="center"/>
          </w:tcPr>
          <w:p>
            <w:pPr>
              <w:pStyle w:val="25"/>
              <w:bidi w:val="0"/>
            </w:pPr>
            <w:r>
              <w:rPr>
                <w:rFonts w:hint="eastAsia"/>
              </w:rPr>
              <w:t>树人镇</w:t>
            </w:r>
          </w:p>
        </w:tc>
        <w:tc>
          <w:tcPr>
            <w:tcW w:w="3107" w:type="dxa"/>
            <w:vAlign w:val="center"/>
          </w:tcPr>
          <w:p>
            <w:pPr>
              <w:pStyle w:val="25"/>
              <w:bidi w:val="0"/>
            </w:pPr>
            <w:r>
              <w:rPr>
                <w:rFonts w:hint="eastAsia"/>
              </w:rPr>
              <w:t>万寿桥村、大柏树居委、岩口场村、三口井村、大石板村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vMerge w:val="continue"/>
            <w:vAlign w:val="center"/>
          </w:tcPr>
          <w:p>
            <w:pPr>
              <w:pStyle w:val="25"/>
              <w:bidi w:val="0"/>
            </w:pPr>
          </w:p>
        </w:tc>
        <w:tc>
          <w:tcPr>
            <w:tcW w:w="1141" w:type="dxa"/>
            <w:vMerge w:val="continue"/>
            <w:vAlign w:val="center"/>
          </w:tcPr>
          <w:p>
            <w:pPr>
              <w:pStyle w:val="25"/>
              <w:bidi w:val="0"/>
            </w:pPr>
          </w:p>
        </w:tc>
        <w:tc>
          <w:tcPr>
            <w:tcW w:w="1104" w:type="dxa"/>
            <w:vMerge w:val="continue"/>
            <w:vAlign w:val="center"/>
          </w:tcPr>
          <w:p>
            <w:pPr>
              <w:pStyle w:val="25"/>
              <w:bidi w:val="0"/>
            </w:pPr>
          </w:p>
        </w:tc>
        <w:tc>
          <w:tcPr>
            <w:tcW w:w="1200" w:type="dxa"/>
            <w:vMerge w:val="continue"/>
            <w:vAlign w:val="center"/>
          </w:tcPr>
          <w:p>
            <w:pPr>
              <w:pStyle w:val="25"/>
              <w:bidi w:val="0"/>
            </w:pPr>
          </w:p>
        </w:tc>
        <w:tc>
          <w:tcPr>
            <w:tcW w:w="857" w:type="dxa"/>
            <w:vMerge w:val="continue"/>
            <w:vAlign w:val="center"/>
          </w:tcPr>
          <w:p>
            <w:pPr>
              <w:pStyle w:val="25"/>
              <w:bidi w:val="0"/>
            </w:pPr>
          </w:p>
        </w:tc>
        <w:tc>
          <w:tcPr>
            <w:tcW w:w="1296" w:type="dxa"/>
            <w:vAlign w:val="center"/>
          </w:tcPr>
          <w:p>
            <w:pPr>
              <w:pStyle w:val="25"/>
              <w:bidi w:val="0"/>
            </w:pPr>
            <w:r>
              <w:rPr>
                <w:rFonts w:hint="eastAsia"/>
              </w:rPr>
              <w:t>名山街道</w:t>
            </w:r>
          </w:p>
        </w:tc>
        <w:tc>
          <w:tcPr>
            <w:tcW w:w="3107" w:type="dxa"/>
            <w:vAlign w:val="center"/>
          </w:tcPr>
          <w:p>
            <w:pPr>
              <w:pStyle w:val="25"/>
              <w:bidi w:val="0"/>
            </w:pPr>
            <w:r>
              <w:rPr>
                <w:rFonts w:hint="eastAsia"/>
                <w:lang w:val="en-US" w:eastAsia="zh-CN"/>
              </w:rPr>
              <w:t>农化</w:t>
            </w:r>
            <w:r>
              <w:rPr>
                <w:rFonts w:hint="eastAsia"/>
              </w:rPr>
              <w:t>村、赤溪村</w:t>
            </w:r>
          </w:p>
        </w:tc>
      </w:tr>
    </w:tbl>
    <w:p>
      <w:pPr>
        <w:pStyle w:val="2"/>
        <w:keepNext/>
        <w:keepLines/>
        <w:pageBreakBefore w:val="0"/>
        <w:widowControl w:val="0"/>
        <w:numPr>
          <w:ilvl w:val="1"/>
          <w:numId w:val="2"/>
        </w:numPr>
        <w:kinsoku/>
        <w:wordWrap/>
        <w:overflowPunct/>
        <w:topLinePunct w:val="0"/>
        <w:autoSpaceDE w:val="0"/>
        <w:autoSpaceDN w:val="0"/>
        <w:bidi w:val="0"/>
        <w:adjustRightInd/>
        <w:snapToGrid/>
        <w:spacing w:before="80" w:after="0" w:line="440" w:lineRule="exact"/>
        <w:ind w:left="0" w:firstLine="0"/>
        <w:textAlignment w:val="auto"/>
        <w:rPr>
          <w:rFonts w:hint="eastAsia" w:ascii="方正仿宋_GBK" w:hAnsi="方正仿宋_GBK" w:eastAsia="方正仿宋_GBK" w:cs="方正仿宋_GBK"/>
          <w:b w:val="0"/>
          <w:bCs/>
        </w:rPr>
      </w:pPr>
      <w:bookmarkStart w:id="11" w:name="_Toc14599"/>
      <w:r>
        <w:rPr>
          <w:rFonts w:hint="eastAsia" w:ascii="方正仿宋_GBK" w:hAnsi="方正仿宋_GBK" w:eastAsia="方正仿宋_GBK" w:cs="方正仿宋_GBK"/>
          <w:b w:val="0"/>
          <w:bCs/>
        </w:rPr>
        <w:t>编制主体</w:t>
      </w:r>
      <w:bookmarkEnd w:id="11"/>
    </w:p>
    <w:p>
      <w:pPr>
        <w:bidi w:val="0"/>
        <w:rPr>
          <w:rFonts w:hint="default"/>
        </w:rPr>
      </w:pPr>
      <w:r>
        <w:rPr>
          <w:rFonts w:hint="eastAsia"/>
          <w:lang w:val="en-US" w:eastAsia="zh-CN"/>
        </w:rPr>
        <w:t>赤溪河</w:t>
      </w:r>
      <w:r>
        <w:rPr>
          <w:rFonts w:hint="default"/>
        </w:rPr>
        <w:t>“一河一策”编制主体分为组织单位和承担单位。其中，组织单位为</w:t>
      </w:r>
      <w:r>
        <w:rPr>
          <w:rFonts w:hint="eastAsia"/>
          <w:lang w:val="en-US" w:eastAsia="zh-CN"/>
        </w:rPr>
        <w:t>丰都县经信委</w:t>
      </w:r>
      <w:r>
        <w:rPr>
          <w:rFonts w:hint="default"/>
        </w:rPr>
        <w:t>，承担单位为重庆</w:t>
      </w:r>
      <w:r>
        <w:rPr>
          <w:rFonts w:hint="eastAsia"/>
          <w:lang w:val="en-US" w:eastAsia="zh-CN"/>
        </w:rPr>
        <w:t>市能源利用监测中心（重庆市节能技术服务中心）</w:t>
      </w:r>
      <w:r>
        <w:rPr>
          <w:rFonts w:hint="default"/>
        </w:rPr>
        <w:t>。</w:t>
      </w:r>
    </w:p>
    <w:p>
      <w:pPr>
        <w:pStyle w:val="2"/>
        <w:keepNext/>
        <w:keepLines/>
        <w:pageBreakBefore w:val="0"/>
        <w:widowControl w:val="0"/>
        <w:numPr>
          <w:ilvl w:val="1"/>
          <w:numId w:val="2"/>
        </w:numPr>
        <w:kinsoku/>
        <w:wordWrap/>
        <w:overflowPunct/>
        <w:topLinePunct w:val="0"/>
        <w:autoSpaceDE w:val="0"/>
        <w:autoSpaceDN w:val="0"/>
        <w:bidi w:val="0"/>
        <w:adjustRightInd/>
        <w:snapToGrid/>
        <w:spacing w:before="80" w:after="0" w:line="440" w:lineRule="exact"/>
        <w:ind w:left="0" w:firstLine="0"/>
        <w:textAlignment w:val="auto"/>
        <w:rPr>
          <w:rFonts w:hint="eastAsia" w:ascii="方正仿宋_GBK" w:hAnsi="方正仿宋_GBK" w:eastAsia="方正仿宋_GBK" w:cs="方正仿宋_GBK"/>
          <w:b w:val="0"/>
          <w:bCs/>
        </w:rPr>
      </w:pPr>
      <w:bookmarkStart w:id="12" w:name="_Toc23970"/>
      <w:r>
        <w:rPr>
          <w:rFonts w:hint="eastAsia" w:ascii="方正仿宋_GBK" w:hAnsi="方正仿宋_GBK" w:eastAsia="方正仿宋_GBK" w:cs="方正仿宋_GBK"/>
          <w:b w:val="0"/>
          <w:bCs/>
        </w:rPr>
        <w:t>实施周期</w:t>
      </w:r>
      <w:bookmarkEnd w:id="12"/>
    </w:p>
    <w:p>
      <w:pPr>
        <w:bidi w:val="0"/>
        <w:rPr>
          <w:rFonts w:hint="default"/>
        </w:rPr>
      </w:pPr>
      <w:r>
        <w:rPr>
          <w:rFonts w:hint="default"/>
        </w:rPr>
        <w:t>根据《重庆市“一河一策”方案编制大纲 （试行）》的相关要求，</w:t>
      </w:r>
      <w:r>
        <w:rPr>
          <w:rFonts w:hint="eastAsia"/>
          <w:lang w:val="en-US" w:eastAsia="zh-CN"/>
        </w:rPr>
        <w:t>区级</w:t>
      </w:r>
      <w:r>
        <w:rPr>
          <w:rFonts w:hint="default"/>
        </w:rPr>
        <w:t>河流编制周期为五年</w:t>
      </w:r>
      <w:r>
        <w:t>。</w:t>
      </w:r>
      <w:r>
        <w:rPr>
          <w:rFonts w:hint="eastAsia"/>
          <w:lang w:val="en-US" w:eastAsia="zh-CN"/>
        </w:rPr>
        <w:t>赤溪河</w:t>
      </w:r>
      <w:r>
        <w:rPr>
          <w:rFonts w:hint="default"/>
        </w:rPr>
        <w:t>为区级重点河流，因此</w:t>
      </w:r>
      <w:r>
        <w:t>，</w:t>
      </w:r>
      <w:r>
        <w:rPr>
          <w:rFonts w:hint="default"/>
        </w:rPr>
        <w:t>本方案实施周期为五年，即2021-2025年。</w:t>
      </w:r>
    </w:p>
    <w:p>
      <w:pPr>
        <w:pStyle w:val="2"/>
        <w:keepNext/>
        <w:keepLines/>
        <w:pageBreakBefore w:val="0"/>
        <w:widowControl w:val="0"/>
        <w:numPr>
          <w:ilvl w:val="1"/>
          <w:numId w:val="2"/>
        </w:numPr>
        <w:kinsoku/>
        <w:wordWrap/>
        <w:overflowPunct/>
        <w:topLinePunct w:val="0"/>
        <w:autoSpaceDE w:val="0"/>
        <w:autoSpaceDN w:val="0"/>
        <w:bidi w:val="0"/>
        <w:adjustRightInd/>
        <w:snapToGrid/>
        <w:spacing w:before="80" w:after="0" w:line="440" w:lineRule="exact"/>
        <w:ind w:left="0" w:firstLine="0"/>
        <w:textAlignment w:val="auto"/>
        <w:rPr>
          <w:rFonts w:hint="eastAsia" w:ascii="方正仿宋_GBK" w:hAnsi="方正仿宋_GBK" w:eastAsia="方正仿宋_GBK" w:cs="方正仿宋_GBK"/>
          <w:b w:val="0"/>
          <w:bCs/>
        </w:rPr>
      </w:pPr>
      <w:bookmarkStart w:id="13" w:name="_Toc18669"/>
      <w:r>
        <w:rPr>
          <w:rFonts w:hint="eastAsia" w:ascii="方正仿宋_GBK" w:hAnsi="方正仿宋_GBK" w:eastAsia="方正仿宋_GBK" w:cs="方正仿宋_GBK"/>
          <w:b w:val="0"/>
          <w:bCs/>
        </w:rPr>
        <w:t>河长组织体系</w:t>
      </w:r>
      <w:bookmarkEnd w:id="13"/>
    </w:p>
    <w:p>
      <w:pPr>
        <w:bidi w:val="0"/>
      </w:pPr>
      <w:r>
        <w:rPr>
          <w:rFonts w:hint="eastAsia"/>
          <w:lang w:val="en-US" w:eastAsia="zh-CN"/>
        </w:rPr>
        <w:t>赤溪河</w:t>
      </w:r>
      <w:r>
        <w:t>属于</w:t>
      </w:r>
      <w:r>
        <w:rPr>
          <w:rFonts w:hint="eastAsia"/>
          <w:lang w:val="en-US" w:eastAsia="zh-CN"/>
        </w:rPr>
        <w:t>丰都县</w:t>
      </w:r>
      <w:r>
        <w:t>重点河流，由区领导担任河流河长，区河长办主要成员单位担任部门河长，河流流经镇街、村社段分别由该镇街、村（社区）的党（工）委、支委主要负责同志担任河流河段河长。</w:t>
      </w:r>
      <w:r>
        <w:rPr>
          <w:rFonts w:hint="eastAsia"/>
          <w:lang w:val="en-US" w:eastAsia="zh-CN"/>
        </w:rPr>
        <w:t>赤溪河</w:t>
      </w:r>
      <w:r>
        <w:t>河长体系详见</w:t>
      </w:r>
      <w:r>
        <w:fldChar w:fldCharType="begin"/>
      </w:r>
      <w:r>
        <w:instrText xml:space="preserve"> REF _Ref532110488 \h  \* MERGEFORMAT </w:instrText>
      </w:r>
      <w:r>
        <w:fldChar w:fldCharType="separate"/>
      </w:r>
      <w:r>
        <w:t>表1.5-1</w:t>
      </w:r>
      <w:r>
        <w:fldChar w:fldCharType="end"/>
      </w:r>
      <w:r>
        <w:t>。</w:t>
      </w:r>
    </w:p>
    <w:p>
      <w:pPr>
        <w:pStyle w:val="12"/>
        <w:spacing w:line="360" w:lineRule="auto"/>
        <w:rPr>
          <w:rStyle w:val="22"/>
        </w:rPr>
      </w:pPr>
      <w:bookmarkStart w:id="14" w:name="_Ref532110488"/>
      <w:r>
        <w:rPr>
          <w:rStyle w:val="22"/>
        </w:rPr>
        <w:t>表1.5-</w:t>
      </w:r>
      <w:r>
        <w:rPr>
          <w:rStyle w:val="22"/>
        </w:rPr>
        <w:fldChar w:fldCharType="begin"/>
      </w:r>
      <w:r>
        <w:rPr>
          <w:rStyle w:val="22"/>
        </w:rPr>
        <w:instrText xml:space="preserve"> SEQ 表1- \* ARABIC </w:instrText>
      </w:r>
      <w:r>
        <w:rPr>
          <w:rStyle w:val="22"/>
        </w:rPr>
        <w:fldChar w:fldCharType="separate"/>
      </w:r>
      <w:r>
        <w:rPr>
          <w:rStyle w:val="22"/>
        </w:rPr>
        <w:t>1</w:t>
      </w:r>
      <w:r>
        <w:rPr>
          <w:rStyle w:val="22"/>
        </w:rPr>
        <w:fldChar w:fldCharType="end"/>
      </w:r>
      <w:bookmarkEnd w:id="14"/>
      <w:r>
        <w:rPr>
          <w:rStyle w:val="22"/>
        </w:rPr>
        <w:t xml:space="preserve"> </w:t>
      </w:r>
      <w:r>
        <w:rPr>
          <w:rStyle w:val="22"/>
          <w:rFonts w:hint="eastAsia" w:eastAsia="方正仿宋_GBK"/>
          <w:lang w:val="en-US" w:eastAsia="zh-CN"/>
        </w:rPr>
        <w:t>赤溪河</w:t>
      </w:r>
      <w:r>
        <w:rPr>
          <w:rStyle w:val="22"/>
        </w:rPr>
        <w:t>河长体系</w:t>
      </w:r>
    </w:p>
    <w:tbl>
      <w:tblPr>
        <w:tblStyle w:val="20"/>
        <w:tblW w:w="9766" w:type="dxa"/>
        <w:tblInd w:w="0" w:type="dxa"/>
        <w:tblLayout w:type="fixed"/>
        <w:tblCellMar>
          <w:top w:w="0" w:type="dxa"/>
          <w:left w:w="108" w:type="dxa"/>
          <w:bottom w:w="0" w:type="dxa"/>
          <w:right w:w="108" w:type="dxa"/>
        </w:tblCellMar>
      </w:tblPr>
      <w:tblGrid>
        <w:gridCol w:w="1149"/>
        <w:gridCol w:w="1723"/>
        <w:gridCol w:w="1149"/>
        <w:gridCol w:w="3101"/>
        <w:gridCol w:w="914"/>
        <w:gridCol w:w="1730"/>
      </w:tblGrid>
      <w:tr>
        <w:tblPrEx>
          <w:tblCellMar>
            <w:top w:w="0" w:type="dxa"/>
            <w:left w:w="108" w:type="dxa"/>
            <w:bottom w:w="0" w:type="dxa"/>
            <w:right w:w="108" w:type="dxa"/>
          </w:tblCellMar>
        </w:tblPrEx>
        <w:trPr>
          <w:trHeight w:val="454" w:hRule="atLeast"/>
        </w:trPr>
        <w:tc>
          <w:tcPr>
            <w:tcW w:w="1149"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河流</w:t>
            </w:r>
          </w:p>
        </w:tc>
        <w:tc>
          <w:tcPr>
            <w:tcW w:w="172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河长</w:t>
            </w:r>
          </w:p>
        </w:tc>
        <w:tc>
          <w:tcPr>
            <w:tcW w:w="425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名单</w:t>
            </w:r>
          </w:p>
        </w:tc>
        <w:tc>
          <w:tcPr>
            <w:tcW w:w="264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督导长</w:t>
            </w:r>
          </w:p>
        </w:tc>
      </w:tr>
      <w:tr>
        <w:tblPrEx>
          <w:tblCellMar>
            <w:top w:w="0" w:type="dxa"/>
            <w:left w:w="108" w:type="dxa"/>
            <w:bottom w:w="0" w:type="dxa"/>
            <w:right w:w="108" w:type="dxa"/>
          </w:tblCellMar>
        </w:tblPrEx>
        <w:trPr>
          <w:trHeight w:val="454" w:hRule="atLeast"/>
        </w:trPr>
        <w:tc>
          <w:tcPr>
            <w:tcW w:w="11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72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姓名</w:t>
            </w: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职务</w:t>
            </w:r>
          </w:p>
        </w:tc>
        <w:tc>
          <w:tcPr>
            <w:tcW w:w="91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姓名</w:t>
            </w:r>
          </w:p>
        </w:tc>
        <w:tc>
          <w:tcPr>
            <w:tcW w:w="173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职务</w:t>
            </w:r>
          </w:p>
        </w:tc>
      </w:tr>
      <w:tr>
        <w:tblPrEx>
          <w:tblCellMar>
            <w:top w:w="0" w:type="dxa"/>
            <w:left w:w="108" w:type="dxa"/>
            <w:bottom w:w="0" w:type="dxa"/>
            <w:right w:w="108" w:type="dxa"/>
          </w:tblCellMar>
        </w:tblPrEx>
        <w:trPr>
          <w:trHeight w:val="454" w:hRule="atLeast"/>
        </w:trPr>
        <w:tc>
          <w:tcPr>
            <w:tcW w:w="1149"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赤溪河</w:t>
            </w:r>
          </w:p>
        </w:tc>
        <w:tc>
          <w:tcPr>
            <w:tcW w:w="1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县河长</w:t>
            </w: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陈金富</w:t>
            </w: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副县长</w:t>
            </w:r>
          </w:p>
        </w:tc>
        <w:tc>
          <w:tcPr>
            <w:tcW w:w="914" w:type="dxa"/>
            <w:vMerge w:val="restart"/>
            <w:tcBorders>
              <w:top w:val="single" w:color="auto" w:sz="4" w:space="0"/>
              <w:left w:val="single" w:color="auto" w:sz="4" w:space="0"/>
              <w:right w:val="single" w:color="auto" w:sz="4" w:space="0"/>
            </w:tcBorders>
            <w:shd w:val="clear" w:color="auto" w:fill="auto"/>
            <w:noWrap w:val="0"/>
            <w:vAlign w:val="center"/>
          </w:tcPr>
          <w:p>
            <w:pPr>
              <w:pStyle w:val="25"/>
              <w:bidi w:val="0"/>
              <w:rPr>
                <w:rFonts w:hint="eastAsia"/>
              </w:rPr>
            </w:pPr>
            <w:r>
              <w:rPr>
                <w:rFonts w:hint="eastAsia"/>
              </w:rPr>
              <w:t>蔡正江</w:t>
            </w:r>
          </w:p>
        </w:tc>
        <w:tc>
          <w:tcPr>
            <w:tcW w:w="1730" w:type="dxa"/>
            <w:vMerge w:val="restart"/>
            <w:tcBorders>
              <w:top w:val="single" w:color="auto" w:sz="4" w:space="0"/>
              <w:left w:val="single" w:color="auto" w:sz="4" w:space="0"/>
              <w:right w:val="single" w:color="auto" w:sz="4" w:space="0"/>
            </w:tcBorders>
            <w:shd w:val="clear" w:color="auto" w:fill="auto"/>
            <w:noWrap w:val="0"/>
            <w:vAlign w:val="center"/>
          </w:tcPr>
          <w:p>
            <w:pPr>
              <w:pStyle w:val="25"/>
              <w:bidi w:val="0"/>
              <w:rPr>
                <w:rFonts w:hint="eastAsia"/>
              </w:rPr>
            </w:pPr>
            <w:r>
              <w:rPr>
                <w:rFonts w:hint="eastAsia"/>
              </w:rPr>
              <w:t>政协副主席</w:t>
            </w:r>
          </w:p>
        </w:tc>
      </w:tr>
      <w:tr>
        <w:tblPrEx>
          <w:tblCellMar>
            <w:top w:w="0" w:type="dxa"/>
            <w:left w:w="108" w:type="dxa"/>
            <w:bottom w:w="0" w:type="dxa"/>
            <w:right w:w="108" w:type="dxa"/>
          </w:tblCellMar>
        </w:tblPrEx>
        <w:trPr>
          <w:trHeight w:val="454" w:hRule="atLeast"/>
        </w:trPr>
        <w:tc>
          <w:tcPr>
            <w:tcW w:w="1149" w:type="dxa"/>
            <w:vMerge w:val="continue"/>
            <w:tcBorders>
              <w:left w:val="single" w:color="auto" w:sz="4" w:space="0"/>
              <w:right w:val="single" w:color="auto" w:sz="4" w:space="0"/>
            </w:tcBorders>
            <w:shd w:val="clear" w:color="auto" w:fill="auto"/>
            <w:noWrap w:val="0"/>
            <w:vAlign w:val="center"/>
          </w:tcPr>
          <w:p>
            <w:pPr>
              <w:pStyle w:val="25"/>
              <w:bidi w:val="0"/>
              <w:rPr>
                <w:rFonts w:hint="eastAsia"/>
              </w:rPr>
            </w:pPr>
          </w:p>
        </w:tc>
        <w:tc>
          <w:tcPr>
            <w:tcW w:w="1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default"/>
                <w:lang w:val="en-US" w:eastAsia="zh-CN"/>
              </w:rPr>
            </w:pPr>
            <w:r>
              <w:rPr>
                <w:rFonts w:hint="eastAsia"/>
                <w:lang w:val="en-US" w:eastAsia="zh-CN"/>
              </w:rPr>
              <w:t>保合镇河长</w:t>
            </w: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914" w:type="dxa"/>
            <w:vMerge w:val="continue"/>
            <w:tcBorders>
              <w:left w:val="single" w:color="auto" w:sz="4" w:space="0"/>
              <w:right w:val="single" w:color="auto" w:sz="4" w:space="0"/>
            </w:tcBorders>
            <w:shd w:val="clear" w:color="auto" w:fill="auto"/>
            <w:noWrap w:val="0"/>
            <w:vAlign w:val="center"/>
          </w:tcPr>
          <w:p>
            <w:pPr>
              <w:pStyle w:val="25"/>
              <w:bidi w:val="0"/>
              <w:rPr>
                <w:rFonts w:hint="eastAsia"/>
              </w:rPr>
            </w:pPr>
          </w:p>
        </w:tc>
        <w:tc>
          <w:tcPr>
            <w:tcW w:w="1730" w:type="dxa"/>
            <w:vMerge w:val="continue"/>
            <w:tcBorders>
              <w:left w:val="single" w:color="auto" w:sz="4" w:space="0"/>
              <w:right w:val="single" w:color="auto" w:sz="4" w:space="0"/>
            </w:tcBorders>
            <w:shd w:val="clear" w:color="auto" w:fill="auto"/>
            <w:noWrap w:val="0"/>
            <w:vAlign w:val="center"/>
          </w:tcPr>
          <w:p>
            <w:pPr>
              <w:pStyle w:val="25"/>
              <w:bidi w:val="0"/>
              <w:rPr>
                <w:rFonts w:hint="eastAsia"/>
              </w:rPr>
            </w:pPr>
          </w:p>
        </w:tc>
      </w:tr>
      <w:tr>
        <w:tblPrEx>
          <w:tblCellMar>
            <w:top w:w="0" w:type="dxa"/>
            <w:left w:w="108" w:type="dxa"/>
            <w:bottom w:w="0" w:type="dxa"/>
            <w:right w:w="108" w:type="dxa"/>
          </w:tblCellMar>
        </w:tblPrEx>
        <w:trPr>
          <w:trHeight w:val="454" w:hRule="atLeast"/>
        </w:trPr>
        <w:tc>
          <w:tcPr>
            <w:tcW w:w="11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十直段河长</w:t>
            </w: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谭余庆</w:t>
            </w: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十直镇镇长</w:t>
            </w:r>
          </w:p>
        </w:tc>
        <w:tc>
          <w:tcPr>
            <w:tcW w:w="914" w:type="dxa"/>
            <w:vMerge w:val="continue"/>
            <w:tcBorders>
              <w:left w:val="single" w:color="auto" w:sz="4" w:space="0"/>
              <w:right w:val="single" w:color="auto" w:sz="4" w:space="0"/>
            </w:tcBorders>
            <w:noWrap w:val="0"/>
            <w:vAlign w:val="center"/>
          </w:tcPr>
          <w:p>
            <w:pPr>
              <w:pStyle w:val="25"/>
              <w:bidi w:val="0"/>
              <w:rPr>
                <w:rFonts w:hint="eastAsia"/>
              </w:rPr>
            </w:pPr>
          </w:p>
        </w:tc>
        <w:tc>
          <w:tcPr>
            <w:tcW w:w="1730" w:type="dxa"/>
            <w:vMerge w:val="continue"/>
            <w:tcBorders>
              <w:left w:val="single" w:color="auto" w:sz="4" w:space="0"/>
              <w:right w:val="single" w:color="auto" w:sz="4" w:space="0"/>
            </w:tcBorders>
            <w:noWrap w:val="0"/>
            <w:vAlign w:val="center"/>
          </w:tcPr>
          <w:p>
            <w:pPr>
              <w:pStyle w:val="25"/>
              <w:bidi w:val="0"/>
              <w:rPr>
                <w:rFonts w:hint="eastAsia"/>
              </w:rPr>
            </w:pPr>
          </w:p>
        </w:tc>
      </w:tr>
      <w:tr>
        <w:tblPrEx>
          <w:tblCellMar>
            <w:top w:w="0" w:type="dxa"/>
            <w:left w:w="108" w:type="dxa"/>
            <w:bottom w:w="0" w:type="dxa"/>
            <w:right w:w="108" w:type="dxa"/>
          </w:tblCellMar>
        </w:tblPrEx>
        <w:trPr>
          <w:trHeight w:val="454" w:hRule="atLeast"/>
        </w:trPr>
        <w:tc>
          <w:tcPr>
            <w:tcW w:w="11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树人段河长</w:t>
            </w: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lang w:eastAsia="zh-CN"/>
              </w:rPr>
            </w:pPr>
            <w:r>
              <w:rPr>
                <w:rFonts w:hint="eastAsia"/>
                <w:lang w:val="en-US" w:eastAsia="zh-CN"/>
              </w:rPr>
              <w:t>陈祥文</w:t>
            </w: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lang w:eastAsia="zh-CN"/>
              </w:rPr>
            </w:pPr>
            <w:r>
              <w:rPr>
                <w:rFonts w:hint="eastAsia"/>
              </w:rPr>
              <w:t>树人镇</w:t>
            </w:r>
            <w:r>
              <w:rPr>
                <w:rFonts w:hint="eastAsia"/>
                <w:lang w:val="en-US" w:eastAsia="zh-CN"/>
              </w:rPr>
              <w:t>镇长</w:t>
            </w:r>
          </w:p>
        </w:tc>
        <w:tc>
          <w:tcPr>
            <w:tcW w:w="914" w:type="dxa"/>
            <w:vMerge w:val="continue"/>
            <w:tcBorders>
              <w:left w:val="single" w:color="auto" w:sz="4" w:space="0"/>
              <w:right w:val="single" w:color="auto" w:sz="4" w:space="0"/>
            </w:tcBorders>
            <w:noWrap w:val="0"/>
            <w:vAlign w:val="center"/>
          </w:tcPr>
          <w:p>
            <w:pPr>
              <w:pStyle w:val="25"/>
              <w:bidi w:val="0"/>
              <w:rPr>
                <w:rFonts w:hint="eastAsia"/>
              </w:rPr>
            </w:pPr>
          </w:p>
        </w:tc>
        <w:tc>
          <w:tcPr>
            <w:tcW w:w="1730" w:type="dxa"/>
            <w:vMerge w:val="continue"/>
            <w:tcBorders>
              <w:left w:val="single" w:color="auto" w:sz="4" w:space="0"/>
              <w:right w:val="single" w:color="auto" w:sz="4" w:space="0"/>
            </w:tcBorders>
            <w:noWrap w:val="0"/>
            <w:vAlign w:val="center"/>
          </w:tcPr>
          <w:p>
            <w:pPr>
              <w:pStyle w:val="25"/>
              <w:bidi w:val="0"/>
              <w:rPr>
                <w:rFonts w:hint="eastAsia"/>
              </w:rPr>
            </w:pPr>
          </w:p>
        </w:tc>
      </w:tr>
      <w:tr>
        <w:tblPrEx>
          <w:tblCellMar>
            <w:top w:w="0" w:type="dxa"/>
            <w:left w:w="108" w:type="dxa"/>
            <w:bottom w:w="0" w:type="dxa"/>
            <w:right w:w="108" w:type="dxa"/>
          </w:tblCellMar>
        </w:tblPrEx>
        <w:trPr>
          <w:trHeight w:val="454" w:hRule="atLeast"/>
        </w:trPr>
        <w:tc>
          <w:tcPr>
            <w:tcW w:w="11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名山段河长</w:t>
            </w: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名山街道办事处主任</w:t>
            </w:r>
          </w:p>
        </w:tc>
        <w:tc>
          <w:tcPr>
            <w:tcW w:w="914" w:type="dxa"/>
            <w:vMerge w:val="continue"/>
            <w:tcBorders>
              <w:left w:val="single" w:color="auto" w:sz="4" w:space="0"/>
              <w:right w:val="single" w:color="auto" w:sz="4" w:space="0"/>
            </w:tcBorders>
            <w:noWrap w:val="0"/>
            <w:vAlign w:val="center"/>
          </w:tcPr>
          <w:p>
            <w:pPr>
              <w:pStyle w:val="25"/>
              <w:bidi w:val="0"/>
              <w:rPr>
                <w:rFonts w:hint="eastAsia"/>
              </w:rPr>
            </w:pPr>
          </w:p>
        </w:tc>
        <w:tc>
          <w:tcPr>
            <w:tcW w:w="1730" w:type="dxa"/>
            <w:vMerge w:val="continue"/>
            <w:tcBorders>
              <w:left w:val="single" w:color="auto" w:sz="4" w:space="0"/>
              <w:right w:val="single" w:color="auto" w:sz="4" w:space="0"/>
            </w:tcBorders>
            <w:noWrap w:val="0"/>
            <w:vAlign w:val="center"/>
          </w:tcPr>
          <w:p>
            <w:pPr>
              <w:pStyle w:val="25"/>
              <w:bidi w:val="0"/>
              <w:rPr>
                <w:rFonts w:hint="eastAsia"/>
              </w:rPr>
            </w:pPr>
          </w:p>
        </w:tc>
      </w:tr>
      <w:tr>
        <w:tblPrEx>
          <w:tblCellMar>
            <w:top w:w="0" w:type="dxa"/>
            <w:left w:w="108" w:type="dxa"/>
            <w:bottom w:w="0" w:type="dxa"/>
            <w:right w:w="108" w:type="dxa"/>
          </w:tblCellMar>
        </w:tblPrEx>
        <w:trPr>
          <w:trHeight w:val="454" w:hRule="atLeast"/>
        </w:trPr>
        <w:tc>
          <w:tcPr>
            <w:tcW w:w="11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lang w:val="en-US" w:eastAsia="zh-CN"/>
              </w:rPr>
            </w:pPr>
            <w:r>
              <w:rPr>
                <w:rFonts w:hint="eastAsia"/>
                <w:lang w:val="en-US" w:eastAsia="zh-CN"/>
              </w:rPr>
              <w:t>部门河长</w:t>
            </w: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default"/>
                <w:lang w:val="en-US" w:eastAsia="zh-CN"/>
              </w:rPr>
            </w:pPr>
            <w:r>
              <w:rPr>
                <w:rFonts w:hint="eastAsia"/>
                <w:lang w:val="en-US" w:eastAsia="zh-CN"/>
              </w:rPr>
              <w:t>张廷福</w:t>
            </w:r>
          </w:p>
        </w:tc>
        <w:tc>
          <w:tcPr>
            <w:tcW w:w="3101" w:type="dxa"/>
            <w:tcBorders>
              <w:top w:val="single" w:color="auto" w:sz="4" w:space="0"/>
              <w:left w:val="single" w:color="auto" w:sz="4" w:space="0"/>
              <w:bottom w:val="single" w:color="auto" w:sz="4" w:space="0"/>
              <w:right w:val="single" w:color="auto" w:sz="4" w:space="0"/>
            </w:tcBorders>
            <w:noWrap w:val="0"/>
            <w:vAlign w:val="center"/>
          </w:tcPr>
          <w:p>
            <w:pPr>
              <w:pStyle w:val="25"/>
              <w:bidi w:val="0"/>
              <w:rPr>
                <w:rFonts w:hint="eastAsia"/>
                <w:lang w:val="en-US" w:eastAsia="zh-CN"/>
              </w:rPr>
            </w:pPr>
            <w:r>
              <w:rPr>
                <w:rFonts w:hint="eastAsia"/>
                <w:lang w:val="en-US" w:eastAsia="zh-CN"/>
              </w:rPr>
              <w:t>丰都县经济合作事务中心主任</w:t>
            </w:r>
          </w:p>
        </w:tc>
        <w:tc>
          <w:tcPr>
            <w:tcW w:w="914" w:type="dxa"/>
            <w:vMerge w:val="continue"/>
            <w:tcBorders>
              <w:left w:val="single" w:color="auto" w:sz="4" w:space="0"/>
              <w:bottom w:val="single" w:color="auto" w:sz="4" w:space="0"/>
              <w:right w:val="single" w:color="auto" w:sz="4" w:space="0"/>
            </w:tcBorders>
            <w:shd w:val="clear" w:color="auto" w:fill="auto"/>
            <w:noWrap w:val="0"/>
            <w:vAlign w:val="center"/>
          </w:tcPr>
          <w:p>
            <w:pPr>
              <w:pStyle w:val="25"/>
              <w:bidi w:val="0"/>
              <w:rPr>
                <w:rFonts w:hint="eastAsia"/>
                <w:lang w:val="en-US" w:eastAsia="zh-CN"/>
              </w:rPr>
            </w:pPr>
          </w:p>
        </w:tc>
        <w:tc>
          <w:tcPr>
            <w:tcW w:w="1730" w:type="dxa"/>
            <w:vMerge w:val="continue"/>
            <w:tcBorders>
              <w:left w:val="single" w:color="auto" w:sz="4" w:space="0"/>
              <w:bottom w:val="single" w:color="auto" w:sz="4" w:space="0"/>
              <w:right w:val="single" w:color="auto" w:sz="4" w:space="0"/>
            </w:tcBorders>
            <w:noWrap w:val="0"/>
            <w:vAlign w:val="center"/>
          </w:tcPr>
          <w:p>
            <w:pPr>
              <w:pStyle w:val="25"/>
              <w:bidi w:val="0"/>
              <w:rPr>
                <w:rFonts w:hint="eastAsia"/>
              </w:rPr>
            </w:pPr>
          </w:p>
        </w:tc>
      </w:tr>
    </w:tbl>
    <w:p>
      <w:pPr>
        <w:bidi w:val="0"/>
      </w:pPr>
    </w:p>
    <w:p>
      <w:pPr>
        <w:pStyle w:val="3"/>
        <w:keepNext/>
        <w:keepLines/>
        <w:widowControl w:val="0"/>
        <w:numPr>
          <w:ilvl w:val="0"/>
          <w:numId w:val="0"/>
        </w:numPr>
        <w:autoSpaceDE w:val="0"/>
        <w:autoSpaceDN w:val="0"/>
        <w:bidi w:val="0"/>
        <w:spacing w:before="80" w:beforeAutospacing="0" w:after="0" w:afterLines="0" w:afterAutospacing="0" w:line="240" w:lineRule="auto"/>
        <w:ind w:right="0" w:rightChars="0"/>
        <w:jc w:val="left"/>
        <w:outlineLvl w:val="9"/>
        <w:sectPr>
          <w:footerReference r:id="rId7" w:type="default"/>
          <w:pgSz w:w="11910" w:h="16840"/>
          <w:pgMar w:top="1580" w:right="1180" w:bottom="1680" w:left="1180" w:header="0" w:footer="1454" w:gutter="0"/>
          <w:pgNumType w:fmt="decimal" w:start="1"/>
          <w:cols w:space="720" w:num="1"/>
        </w:sectPr>
      </w:pPr>
    </w:p>
    <w:p>
      <w:pPr>
        <w:pStyle w:val="3"/>
        <w:bidi w:val="0"/>
      </w:pPr>
      <w:bookmarkStart w:id="15" w:name="_Toc12842"/>
      <w:r>
        <w:t>上一实施周期主要成效</w:t>
      </w:r>
      <w:bookmarkEnd w:id="15"/>
    </w:p>
    <w:p>
      <w:pPr>
        <w:pStyle w:val="2"/>
        <w:bidi w:val="0"/>
        <w:rPr>
          <w:rFonts w:hint="eastAsia"/>
        </w:rPr>
      </w:pPr>
      <w:bookmarkStart w:id="16" w:name="_Toc4549"/>
      <w:r>
        <w:rPr>
          <w:rFonts w:hint="eastAsia"/>
        </w:rPr>
        <w:t>上一周期实施成效</w:t>
      </w:r>
      <w:bookmarkEnd w:id="16"/>
    </w:p>
    <w:p>
      <w:pPr>
        <w:bidi w:val="0"/>
        <w:rPr>
          <w:rFonts w:hint="eastAsia" w:ascii="方正仿宋_GBK" w:hAnsi="方正仿宋_GBK" w:eastAsia="方正仿宋_GBK" w:cs="方正仿宋_GBK"/>
          <w:color w:val="000000"/>
          <w:kern w:val="0"/>
          <w:szCs w:val="21"/>
          <w:lang w:val="en-US" w:eastAsia="zh-CN"/>
        </w:rPr>
      </w:pPr>
      <w:r>
        <w:rPr>
          <w:rFonts w:hint="default"/>
        </w:rPr>
        <w:t>根据上一轮《</w:t>
      </w:r>
      <w:r>
        <w:rPr>
          <w:rFonts w:hint="eastAsia"/>
          <w:lang w:eastAsia="zh-CN"/>
        </w:rPr>
        <w:t>赤溪河</w:t>
      </w:r>
      <w:r>
        <w:rPr>
          <w:rFonts w:hint="default"/>
        </w:rPr>
        <w:t>“一河一策”方案》，结合实际完成情况，上一轮方案目标与任务实施成效如下表2.1-1。共设置任务1</w:t>
      </w:r>
      <w:r>
        <w:t>7</w:t>
      </w:r>
      <w:r>
        <w:rPr>
          <w:rFonts w:hint="default"/>
        </w:rPr>
        <w:t>项，完成任务</w:t>
      </w:r>
      <w:r>
        <w:t>1</w:t>
      </w:r>
      <w:r>
        <w:rPr>
          <w:rFonts w:hint="eastAsia"/>
          <w:lang w:val="en-US" w:eastAsia="zh-CN"/>
        </w:rPr>
        <w:t>5</w:t>
      </w:r>
      <w:r>
        <w:rPr>
          <w:rFonts w:hint="default"/>
        </w:rPr>
        <w:t>项，完成率为</w:t>
      </w:r>
      <w:r>
        <w:rPr>
          <w:rFonts w:hint="eastAsia"/>
          <w:lang w:val="en-US" w:eastAsia="zh-CN"/>
        </w:rPr>
        <w:t>88.24</w:t>
      </w:r>
      <w:r>
        <w:rPr>
          <w:rFonts w:hint="default"/>
        </w:rPr>
        <w:t>%</w:t>
      </w:r>
      <w:r>
        <w:t>，完成任务</w:t>
      </w:r>
      <w:r>
        <w:rPr>
          <w:rFonts w:hint="default"/>
        </w:rPr>
        <w:t>有：</w:t>
      </w:r>
      <w:r>
        <w:rPr>
          <w:rFonts w:hint="eastAsia" w:ascii="方正仿宋_GBK" w:hAnsi="宋体" w:eastAsia="方正仿宋_GBK" w:cs="宋体"/>
          <w:color w:val="000000"/>
          <w:kern w:val="0"/>
          <w:szCs w:val="21"/>
        </w:rPr>
        <w:t>取水总量控制目标</w:t>
      </w:r>
      <w:r>
        <w:rPr>
          <w:rFonts w:hint="eastAsia" w:hAnsi="宋体" w:cs="宋体"/>
          <w:color w:val="000000"/>
          <w:kern w:val="0"/>
          <w:szCs w:val="21"/>
          <w:lang w:val="en-US" w:eastAsia="zh-CN"/>
        </w:rPr>
        <w:t>950</w:t>
      </w:r>
      <w:r>
        <w:rPr>
          <w:rFonts w:hint="eastAsia" w:ascii="方正仿宋_GBK" w:hAnsi="宋体" w:eastAsia="方正仿宋_GBK" w:cs="宋体"/>
          <w:color w:val="000000"/>
          <w:kern w:val="0"/>
          <w:szCs w:val="21"/>
        </w:rPr>
        <w:t>万m</w:t>
      </w:r>
      <w:r>
        <w:rPr>
          <w:rFonts w:hint="eastAsia" w:ascii="方正仿宋_GBK" w:hAnsi="宋体" w:eastAsia="方正仿宋_GBK" w:cs="宋体"/>
          <w:color w:val="000000"/>
          <w:kern w:val="0"/>
          <w:szCs w:val="21"/>
          <w:vertAlign w:val="superscript"/>
        </w:rPr>
        <w:t>3</w:t>
      </w:r>
      <w:r>
        <w:rPr>
          <w:rFonts w:hint="eastAsia" w:ascii="方正仿宋_GBK" w:hAnsi="宋体" w:eastAsia="方正仿宋_GBK" w:cs="宋体"/>
          <w:color w:val="000000"/>
          <w:kern w:val="0"/>
          <w:szCs w:val="21"/>
        </w:rPr>
        <w:t>/a</w:t>
      </w:r>
      <w:r>
        <w:rPr>
          <w:rFonts w:hint="eastAsia" w:hAnsi="宋体" w:cs="宋体"/>
          <w:color w:val="000000"/>
          <w:kern w:val="0"/>
          <w:szCs w:val="21"/>
          <w:lang w:eastAsia="zh-CN"/>
        </w:rPr>
        <w:t>；</w:t>
      </w:r>
      <w:r>
        <w:rPr>
          <w:rFonts w:hint="eastAsia" w:ascii="方正仿宋_GBK" w:hAnsi="宋体" w:eastAsia="方正仿宋_GBK" w:cs="宋体"/>
          <w:color w:val="000000"/>
          <w:kern w:val="0"/>
          <w:szCs w:val="21"/>
        </w:rPr>
        <w:t>万元工业增加值用水量比2015年下降</w:t>
      </w:r>
      <w:r>
        <w:rPr>
          <w:rFonts w:hint="eastAsia" w:hAnsi="宋体" w:cs="宋体"/>
          <w:color w:val="000000"/>
          <w:kern w:val="0"/>
          <w:szCs w:val="21"/>
          <w:lang w:val="en-US" w:eastAsia="zh-CN"/>
        </w:rPr>
        <w:t>15%；</w:t>
      </w:r>
      <w:r>
        <w:rPr>
          <w:rFonts w:hint="eastAsia" w:ascii="方正仿宋_GBK" w:hAnsi="宋体" w:eastAsia="方正仿宋_GBK" w:cs="宋体"/>
          <w:color w:val="000000"/>
          <w:kern w:val="0"/>
          <w:szCs w:val="21"/>
        </w:rPr>
        <w:t>地区生产总值用水量较2015年下降</w:t>
      </w:r>
      <w:r>
        <w:rPr>
          <w:rFonts w:hint="eastAsia" w:hAnsi="宋体" w:cs="宋体"/>
          <w:color w:val="000000"/>
          <w:kern w:val="0"/>
          <w:szCs w:val="21"/>
          <w:lang w:val="en-US" w:eastAsia="zh-CN"/>
        </w:rPr>
        <w:t>20%；</w:t>
      </w:r>
      <w:r>
        <w:rPr>
          <w:rFonts w:hint="eastAsia" w:ascii="方正仿宋_GBK" w:hAnsi="宋体" w:eastAsia="方正仿宋_GBK" w:cs="宋体"/>
          <w:color w:val="000000"/>
          <w:kern w:val="0"/>
          <w:szCs w:val="21"/>
        </w:rPr>
        <w:t>农业灌溉水有效利用系数</w:t>
      </w:r>
      <w:r>
        <w:rPr>
          <w:rFonts w:hint="eastAsia" w:hAnsi="宋体" w:cs="宋体"/>
          <w:color w:val="000000"/>
          <w:kern w:val="0"/>
          <w:szCs w:val="21"/>
          <w:lang w:val="en-US" w:eastAsia="zh-CN"/>
        </w:rPr>
        <w:t>达到0.47；</w:t>
      </w:r>
      <w:r>
        <w:rPr>
          <w:rFonts w:hint="eastAsia" w:ascii="方正仿宋_GBK" w:hAnsi="宋体" w:eastAsia="方正仿宋_GBK" w:cs="宋体"/>
          <w:color w:val="000000"/>
          <w:kern w:val="0"/>
          <w:szCs w:val="21"/>
        </w:rPr>
        <w:t>水功能区水质达标率</w:t>
      </w:r>
      <w:r>
        <w:rPr>
          <w:rFonts w:hint="eastAsia" w:hAnsi="宋体" w:cs="宋体"/>
          <w:color w:val="000000"/>
          <w:kern w:val="0"/>
          <w:szCs w:val="21"/>
          <w:lang w:val="en-US" w:eastAsia="zh-CN"/>
        </w:rPr>
        <w:t>为100%；</w:t>
      </w:r>
      <w:r>
        <w:rPr>
          <w:rFonts w:hint="eastAsia" w:ascii="方正仿宋_GBK" w:hAnsi="宋体" w:eastAsia="方正仿宋_GBK" w:cs="宋体"/>
          <w:color w:val="000000"/>
          <w:kern w:val="0"/>
          <w:szCs w:val="21"/>
        </w:rPr>
        <w:t>河道管理范围划界</w:t>
      </w:r>
      <w:r>
        <w:rPr>
          <w:rFonts w:hint="eastAsia" w:hAnsi="宋体" w:cs="宋体"/>
          <w:color w:val="000000"/>
          <w:kern w:val="0"/>
          <w:szCs w:val="21"/>
          <w:lang w:val="en-US" w:eastAsia="zh-CN"/>
        </w:rPr>
        <w:t>100%；</w:t>
      </w:r>
      <w:r>
        <w:rPr>
          <w:rFonts w:hint="eastAsia" w:ascii="方正仿宋_GBK" w:hAnsi="宋体" w:eastAsia="方正仿宋_GBK" w:cs="宋体"/>
          <w:color w:val="000000"/>
          <w:kern w:val="0"/>
          <w:szCs w:val="21"/>
        </w:rPr>
        <w:t>自然岸线保有率</w:t>
      </w:r>
      <w:r>
        <w:rPr>
          <w:rFonts w:hint="eastAsia" w:hAnsi="宋体" w:cs="宋体"/>
          <w:color w:val="000000"/>
          <w:kern w:val="0"/>
          <w:szCs w:val="21"/>
          <w:lang w:val="en-US" w:eastAsia="zh-CN"/>
        </w:rPr>
        <w:t>为80%；</w:t>
      </w:r>
      <w:r>
        <w:rPr>
          <w:rFonts w:hint="eastAsia" w:ascii="方正仿宋_GBK" w:hAnsi="宋体" w:eastAsia="方正仿宋_GBK" w:cs="宋体"/>
          <w:color w:val="000000"/>
          <w:kern w:val="0"/>
          <w:szCs w:val="21"/>
        </w:rPr>
        <w:t>纳污限排总量COD: 60.64t/a</w:t>
      </w:r>
      <w:r>
        <w:rPr>
          <w:rFonts w:hint="eastAsia" w:hAnsi="宋体" w:cs="宋体"/>
          <w:color w:val="000000"/>
          <w:kern w:val="0"/>
          <w:szCs w:val="21"/>
          <w:lang w:eastAsia="zh-CN"/>
        </w:rPr>
        <w:t>、</w:t>
      </w:r>
      <w:r>
        <w:rPr>
          <w:rFonts w:hint="eastAsia" w:ascii="方正仿宋_GBK" w:hAnsi="宋体" w:eastAsia="方正仿宋_GBK" w:cs="宋体"/>
          <w:color w:val="000000"/>
          <w:kern w:val="0"/>
          <w:szCs w:val="21"/>
        </w:rPr>
        <w:t>NH</w:t>
      </w:r>
      <w:r>
        <w:rPr>
          <w:rFonts w:hint="eastAsia" w:ascii="方正仿宋_GBK" w:hAnsi="宋体" w:eastAsia="方正仿宋_GBK" w:cs="宋体"/>
          <w:color w:val="000000"/>
          <w:kern w:val="0"/>
          <w:szCs w:val="21"/>
          <w:vertAlign w:val="subscript"/>
        </w:rPr>
        <w:t>3</w:t>
      </w:r>
      <w:r>
        <w:rPr>
          <w:rFonts w:hint="eastAsia" w:ascii="方正仿宋_GBK" w:hAnsi="宋体" w:eastAsia="方正仿宋_GBK" w:cs="宋体"/>
          <w:color w:val="000000"/>
          <w:kern w:val="0"/>
          <w:szCs w:val="21"/>
        </w:rPr>
        <w:t>-N:5.77t/a</w:t>
      </w:r>
      <w:r>
        <w:rPr>
          <w:rFonts w:hint="eastAsia" w:hAnsi="宋体" w:cs="宋体"/>
          <w:color w:val="000000"/>
          <w:kern w:val="0"/>
          <w:szCs w:val="21"/>
          <w:lang w:eastAsia="zh-CN"/>
        </w:rPr>
        <w:t>；</w:t>
      </w:r>
      <w:r>
        <w:rPr>
          <w:rFonts w:hint="eastAsia" w:ascii="方正仿宋_GBK" w:hAnsi="宋体" w:eastAsia="方正仿宋_GBK" w:cs="宋体"/>
          <w:color w:val="000000"/>
          <w:kern w:val="0"/>
          <w:szCs w:val="21"/>
        </w:rPr>
        <w:t>畜禽规模养殖场粪污处理率</w:t>
      </w:r>
      <w:r>
        <w:rPr>
          <w:rFonts w:hint="eastAsia" w:hAnsi="宋体" w:cs="宋体"/>
          <w:color w:val="000000"/>
          <w:kern w:val="0"/>
          <w:szCs w:val="21"/>
          <w:lang w:val="en-US" w:eastAsia="zh-CN"/>
        </w:rPr>
        <w:t>大于85%；</w:t>
      </w:r>
      <w:r>
        <w:rPr>
          <w:rFonts w:hint="eastAsia" w:ascii="方正仿宋_GBK" w:hAnsi="宋体" w:eastAsia="方正仿宋_GBK" w:cs="宋体"/>
          <w:color w:val="000000"/>
          <w:kern w:val="0"/>
          <w:szCs w:val="21"/>
        </w:rPr>
        <w:t>化肥、农药施用总量</w:t>
      </w:r>
      <w:r>
        <w:rPr>
          <w:rFonts w:hint="eastAsia" w:hAnsi="宋体" w:cs="宋体"/>
          <w:color w:val="000000"/>
          <w:kern w:val="0"/>
          <w:szCs w:val="21"/>
          <w:lang w:val="en-US" w:eastAsia="zh-CN"/>
        </w:rPr>
        <w:t>零增长；</w:t>
      </w:r>
      <w:r>
        <w:rPr>
          <w:rFonts w:hint="eastAsia" w:ascii="方正仿宋_GBK" w:hAnsi="宋体" w:eastAsia="方正仿宋_GBK" w:cs="宋体"/>
          <w:color w:val="000000"/>
          <w:kern w:val="0"/>
          <w:szCs w:val="21"/>
        </w:rPr>
        <w:t>生活污水处理率</w:t>
      </w:r>
      <w:r>
        <w:rPr>
          <w:rFonts w:hint="eastAsia" w:hAnsi="宋体" w:cs="宋体"/>
          <w:color w:val="000000"/>
          <w:kern w:val="0"/>
          <w:szCs w:val="21"/>
          <w:lang w:val="en-US" w:eastAsia="zh-CN"/>
        </w:rPr>
        <w:t>达到80%；</w:t>
      </w:r>
      <w:r>
        <w:rPr>
          <w:rFonts w:hint="eastAsia" w:ascii="方正仿宋_GBK" w:hAnsi="宋体" w:eastAsia="方正仿宋_GBK" w:cs="宋体"/>
          <w:color w:val="000000"/>
          <w:kern w:val="0"/>
          <w:szCs w:val="21"/>
        </w:rPr>
        <w:t>生活垃圾处理率</w:t>
      </w:r>
      <w:r>
        <w:rPr>
          <w:rFonts w:hint="eastAsia" w:hAnsi="宋体" w:cs="宋体"/>
          <w:color w:val="000000"/>
          <w:kern w:val="0"/>
          <w:szCs w:val="21"/>
          <w:lang w:val="en-US" w:eastAsia="zh-CN"/>
        </w:rPr>
        <w:t>达到80%；</w:t>
      </w:r>
      <w:r>
        <w:rPr>
          <w:rFonts w:hint="eastAsia" w:ascii="方正仿宋_GBK" w:hAnsi="宋体" w:eastAsia="方正仿宋_GBK" w:cs="宋体"/>
          <w:color w:val="000000"/>
          <w:kern w:val="0"/>
          <w:szCs w:val="21"/>
        </w:rPr>
        <w:t>水质目标管理/赤溪保留区</w:t>
      </w:r>
      <w:r>
        <w:rPr>
          <w:rFonts w:hint="eastAsia" w:hAnsi="宋体" w:cs="宋体"/>
          <w:color w:val="000000"/>
          <w:kern w:val="0"/>
          <w:szCs w:val="21"/>
          <w:lang w:val="en-US" w:eastAsia="zh-CN"/>
        </w:rPr>
        <w:t>为</w:t>
      </w:r>
      <w:r>
        <w:rPr>
          <w:rFonts w:hint="eastAsia" w:ascii="方正仿宋_GBK" w:hAnsi="方正仿宋_GBK" w:eastAsia="方正仿宋_GBK" w:cs="方正仿宋_GBK"/>
          <w:color w:val="000000"/>
          <w:kern w:val="0"/>
          <w:szCs w:val="21"/>
          <w:lang w:val="en-US" w:eastAsia="zh-CN"/>
        </w:rPr>
        <w:t>Ⅲ</w:t>
      </w:r>
      <w:r>
        <w:rPr>
          <w:rFonts w:hint="eastAsia" w:cs="方正仿宋_GBK"/>
          <w:color w:val="000000"/>
          <w:kern w:val="0"/>
          <w:szCs w:val="21"/>
          <w:lang w:val="en-US" w:eastAsia="zh-CN"/>
        </w:rPr>
        <w:t>类水；</w:t>
      </w:r>
      <w:r>
        <w:rPr>
          <w:rFonts w:hint="eastAsia" w:ascii="方正仿宋_GBK" w:hAnsi="宋体" w:eastAsia="方正仿宋_GBK" w:cs="宋体"/>
          <w:color w:val="000000"/>
          <w:kern w:val="0"/>
          <w:szCs w:val="21"/>
        </w:rPr>
        <w:t>水源地水质达标率</w:t>
      </w:r>
      <w:r>
        <w:rPr>
          <w:rFonts w:hint="eastAsia" w:hAnsi="宋体" w:cs="宋体"/>
          <w:color w:val="000000"/>
          <w:kern w:val="0"/>
          <w:szCs w:val="21"/>
          <w:lang w:val="en-US" w:eastAsia="zh-CN"/>
        </w:rPr>
        <w:t>为100%；</w:t>
      </w:r>
      <w:r>
        <w:rPr>
          <w:rFonts w:hint="eastAsia" w:ascii="方正仿宋_GBK" w:hAnsi="宋体" w:eastAsia="方正仿宋_GBK" w:cs="宋体"/>
          <w:color w:val="000000"/>
          <w:kern w:val="0"/>
          <w:szCs w:val="21"/>
        </w:rPr>
        <w:t>生态基流保障度</w:t>
      </w:r>
      <w:r>
        <w:rPr>
          <w:rFonts w:hint="eastAsia" w:hAnsi="宋体" w:cs="宋体"/>
          <w:color w:val="000000"/>
          <w:kern w:val="0"/>
          <w:szCs w:val="21"/>
          <w:lang w:val="en-US" w:eastAsia="zh-CN"/>
        </w:rPr>
        <w:t>良好；</w:t>
      </w:r>
      <w:r>
        <w:rPr>
          <w:rFonts w:hint="eastAsia" w:ascii="方正仿宋_GBK" w:hAnsi="宋体" w:eastAsia="方正仿宋_GBK" w:cs="宋体"/>
          <w:color w:val="000000"/>
          <w:kern w:val="0"/>
          <w:szCs w:val="21"/>
        </w:rPr>
        <w:t>水资源涵养良好</w:t>
      </w:r>
      <w:r>
        <w:rPr>
          <w:rFonts w:hint="eastAsia" w:hAnsi="宋体" w:cs="宋体"/>
          <w:color w:val="000000"/>
          <w:kern w:val="0"/>
          <w:szCs w:val="21"/>
          <w:lang w:eastAsia="zh-CN"/>
        </w:rPr>
        <w:t>。</w:t>
      </w:r>
    </w:p>
    <w:p>
      <w:pPr>
        <w:pStyle w:val="2"/>
        <w:numPr>
          <w:ilvl w:val="1"/>
          <w:numId w:val="0"/>
        </w:numPr>
        <w:ind w:leftChars="0" w:right="0" w:rightChars="0"/>
        <w:outlineLvl w:val="9"/>
        <w:rPr>
          <w:rFonts w:hint="default"/>
        </w:rPr>
        <w:sectPr>
          <w:pgSz w:w="11910" w:h="16840"/>
          <w:pgMar w:top="1580" w:right="1180" w:bottom="1680" w:left="1180" w:header="0" w:footer="1454" w:gutter="0"/>
          <w:pgNumType w:fmt="decimal"/>
          <w:cols w:space="720" w:num="1"/>
        </w:sectPr>
      </w:pPr>
    </w:p>
    <w:p>
      <w:pPr>
        <w:pStyle w:val="25"/>
        <w:bidi w:val="0"/>
        <w:rPr>
          <w:rFonts w:hint="eastAsia"/>
        </w:rPr>
      </w:pPr>
      <w:r>
        <w:rPr>
          <w:rFonts w:hint="default"/>
        </w:rPr>
        <w:t>表2.1-</w:t>
      </w:r>
      <w:r>
        <w:rPr>
          <w:rFonts w:hint="eastAsia"/>
          <w:lang w:val="en-US" w:eastAsia="zh-CN"/>
        </w:rPr>
        <w:t>1</w:t>
      </w:r>
      <w:r>
        <w:rPr>
          <w:rFonts w:hint="default"/>
        </w:rPr>
        <w:t xml:space="preserve"> 上一轮《</w:t>
      </w:r>
      <w:r>
        <w:rPr>
          <w:rFonts w:hint="eastAsia"/>
          <w:lang w:val="en-US" w:eastAsia="zh-CN"/>
        </w:rPr>
        <w:t>赤溪河“</w:t>
      </w:r>
      <w:r>
        <w:rPr>
          <w:rFonts w:hint="default"/>
        </w:rPr>
        <w:t>一河一策</w:t>
      </w:r>
      <w:r>
        <w:rPr>
          <w:rFonts w:hint="eastAsia"/>
          <w:lang w:val="en-US" w:eastAsia="zh-CN"/>
        </w:rPr>
        <w:t>”</w:t>
      </w:r>
      <w:r>
        <w:rPr>
          <w:rFonts w:hint="default"/>
        </w:rPr>
        <w:t>方案》实施任务完成情况</w:t>
      </w:r>
    </w:p>
    <w:tbl>
      <w:tblPr>
        <w:tblStyle w:val="20"/>
        <w:tblW w:w="13796" w:type="dxa"/>
        <w:tblInd w:w="0" w:type="dxa"/>
        <w:tblLayout w:type="fixed"/>
        <w:tblCellMar>
          <w:top w:w="0" w:type="dxa"/>
          <w:left w:w="108" w:type="dxa"/>
          <w:bottom w:w="0" w:type="dxa"/>
          <w:right w:w="108" w:type="dxa"/>
        </w:tblCellMar>
      </w:tblPr>
      <w:tblGrid>
        <w:gridCol w:w="1123"/>
        <w:gridCol w:w="1266"/>
        <w:gridCol w:w="2375"/>
        <w:gridCol w:w="1124"/>
        <w:gridCol w:w="1654"/>
        <w:gridCol w:w="1132"/>
        <w:gridCol w:w="1124"/>
        <w:gridCol w:w="1132"/>
        <w:gridCol w:w="1742"/>
        <w:gridCol w:w="1124"/>
      </w:tblGrid>
      <w:tr>
        <w:tblPrEx>
          <w:tblCellMar>
            <w:top w:w="0" w:type="dxa"/>
            <w:left w:w="108" w:type="dxa"/>
            <w:bottom w:w="0" w:type="dxa"/>
            <w:right w:w="108" w:type="dxa"/>
          </w:tblCellMar>
        </w:tblPrEx>
        <w:trPr>
          <w:trHeight w:val="567" w:hRule="atLeast"/>
          <w:tblHeader/>
        </w:trPr>
        <w:tc>
          <w:tcPr>
            <w:tcW w:w="112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序号</w:t>
            </w:r>
          </w:p>
        </w:tc>
        <w:tc>
          <w:tcPr>
            <w:tcW w:w="126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目标类别</w:t>
            </w:r>
          </w:p>
        </w:tc>
        <w:tc>
          <w:tcPr>
            <w:tcW w:w="6285" w:type="dxa"/>
            <w:gridSpan w:val="4"/>
            <w:tcBorders>
              <w:top w:val="single" w:color="auto" w:sz="4" w:space="0"/>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河段总体目标</w:t>
            </w:r>
          </w:p>
        </w:tc>
        <w:tc>
          <w:tcPr>
            <w:tcW w:w="2256" w:type="dxa"/>
            <w:gridSpan w:val="2"/>
            <w:tcBorders>
              <w:top w:val="single" w:color="auto" w:sz="4" w:space="0"/>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河段阶段目标</w:t>
            </w:r>
          </w:p>
        </w:tc>
        <w:tc>
          <w:tcPr>
            <w:tcW w:w="1742"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责任部门</w:t>
            </w:r>
          </w:p>
        </w:tc>
        <w:tc>
          <w:tcPr>
            <w:tcW w:w="112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5"/>
              <w:bidi w:val="0"/>
              <w:rPr>
                <w:rFonts w:hint="eastAsia" w:eastAsia="方正仿宋_GBK"/>
                <w:lang w:eastAsia="zh-CN"/>
              </w:rPr>
            </w:pPr>
            <w:r>
              <w:rPr>
                <w:rFonts w:hint="eastAsia"/>
                <w:lang w:val="en-US" w:eastAsia="zh-CN"/>
              </w:rPr>
              <w:t>完成情况</w:t>
            </w:r>
          </w:p>
        </w:tc>
      </w:tr>
      <w:tr>
        <w:tblPrEx>
          <w:tblCellMar>
            <w:top w:w="0" w:type="dxa"/>
            <w:left w:w="108" w:type="dxa"/>
            <w:bottom w:w="0" w:type="dxa"/>
            <w:right w:w="108" w:type="dxa"/>
          </w:tblCellMar>
        </w:tblPrEx>
        <w:trPr>
          <w:trHeight w:val="567" w:hRule="atLeast"/>
          <w:tblHeader/>
        </w:trPr>
        <w:tc>
          <w:tcPr>
            <w:tcW w:w="112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26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vMerge w:val="restart"/>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主要指标</w:t>
            </w:r>
          </w:p>
        </w:tc>
        <w:tc>
          <w:tcPr>
            <w:tcW w:w="1124" w:type="dxa"/>
            <w:vMerge w:val="restart"/>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单位</w:t>
            </w:r>
          </w:p>
        </w:tc>
        <w:tc>
          <w:tcPr>
            <w:tcW w:w="2786" w:type="dxa"/>
            <w:gridSpan w:val="2"/>
            <w:tcBorders>
              <w:top w:val="single" w:color="auto" w:sz="4" w:space="0"/>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指标值</w:t>
            </w:r>
          </w:p>
        </w:tc>
        <w:tc>
          <w:tcPr>
            <w:tcW w:w="1124" w:type="dxa"/>
            <w:vMerge w:val="restart"/>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2018年</w:t>
            </w:r>
          </w:p>
        </w:tc>
        <w:tc>
          <w:tcPr>
            <w:tcW w:w="1132" w:type="dxa"/>
            <w:vMerge w:val="restart"/>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2019年</w:t>
            </w:r>
          </w:p>
        </w:tc>
        <w:tc>
          <w:tcPr>
            <w:tcW w:w="174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5"/>
              <w:bidi w:val="0"/>
              <w:rPr>
                <w:rFonts w:hint="eastAsia"/>
              </w:rPr>
            </w:pPr>
          </w:p>
        </w:tc>
        <w:tc>
          <w:tcPr>
            <w:tcW w:w="112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5"/>
              <w:bidi w:val="0"/>
              <w:rPr>
                <w:rFonts w:hint="eastAsia"/>
              </w:rPr>
            </w:pPr>
          </w:p>
        </w:tc>
      </w:tr>
      <w:tr>
        <w:tblPrEx>
          <w:tblCellMar>
            <w:top w:w="0" w:type="dxa"/>
            <w:left w:w="108" w:type="dxa"/>
            <w:bottom w:w="0" w:type="dxa"/>
            <w:right w:w="108" w:type="dxa"/>
          </w:tblCellMar>
        </w:tblPrEx>
        <w:trPr>
          <w:trHeight w:val="567" w:hRule="atLeast"/>
          <w:tblHeader/>
        </w:trPr>
        <w:tc>
          <w:tcPr>
            <w:tcW w:w="112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26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124"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现状</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预期</w:t>
            </w:r>
          </w:p>
        </w:tc>
        <w:tc>
          <w:tcPr>
            <w:tcW w:w="1124" w:type="dxa"/>
            <w:vMerge w:val="continue"/>
            <w:tcBorders>
              <w:top w:val="nil"/>
              <w:left w:val="single" w:color="auto" w:sz="4" w:space="0"/>
              <w:bottom w:val="single" w:color="auto" w:sz="4" w:space="0"/>
              <w:right w:val="single" w:color="auto" w:sz="4" w:space="0"/>
            </w:tcBorders>
            <w:noWrap w:val="0"/>
            <w:vAlign w:val="center"/>
          </w:tcPr>
          <w:p>
            <w:pPr>
              <w:pStyle w:val="25"/>
              <w:bidi w:val="0"/>
              <w:rPr>
                <w:rFonts w:hint="eastAsia"/>
              </w:rPr>
            </w:pPr>
          </w:p>
        </w:tc>
        <w:tc>
          <w:tcPr>
            <w:tcW w:w="1132" w:type="dxa"/>
            <w:vMerge w:val="continue"/>
            <w:tcBorders>
              <w:top w:val="nil"/>
              <w:left w:val="single" w:color="auto" w:sz="4" w:space="0"/>
              <w:bottom w:val="single" w:color="auto" w:sz="4" w:space="0"/>
              <w:right w:val="single" w:color="auto" w:sz="4" w:space="0"/>
            </w:tcBorders>
            <w:noWrap w:val="0"/>
            <w:vAlign w:val="center"/>
          </w:tcPr>
          <w:p>
            <w:pPr>
              <w:pStyle w:val="25"/>
              <w:bidi w:val="0"/>
              <w:rPr>
                <w:rFonts w:hint="eastAsia"/>
              </w:rPr>
            </w:pPr>
          </w:p>
        </w:tc>
        <w:tc>
          <w:tcPr>
            <w:tcW w:w="174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5"/>
              <w:bidi w:val="0"/>
              <w:rPr>
                <w:rFonts w:hint="eastAsia"/>
              </w:rPr>
            </w:pPr>
          </w:p>
        </w:tc>
        <w:tc>
          <w:tcPr>
            <w:tcW w:w="112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5"/>
              <w:bidi w:val="0"/>
              <w:rPr>
                <w:rFonts w:hint="eastAsia"/>
              </w:rPr>
            </w:pPr>
          </w:p>
        </w:tc>
      </w:tr>
      <w:tr>
        <w:tblPrEx>
          <w:tblCellMar>
            <w:top w:w="0" w:type="dxa"/>
            <w:left w:w="108" w:type="dxa"/>
            <w:bottom w:w="0" w:type="dxa"/>
            <w:right w:w="108" w:type="dxa"/>
          </w:tblCellMar>
        </w:tblPrEx>
        <w:trPr>
          <w:trHeight w:val="567" w:hRule="atLeast"/>
          <w:tblHeader/>
        </w:trPr>
        <w:tc>
          <w:tcPr>
            <w:tcW w:w="112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26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124"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（2017年）</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（2019年）</w:t>
            </w:r>
          </w:p>
        </w:tc>
        <w:tc>
          <w:tcPr>
            <w:tcW w:w="1124" w:type="dxa"/>
            <w:vMerge w:val="continue"/>
            <w:tcBorders>
              <w:top w:val="nil"/>
              <w:left w:val="single" w:color="auto" w:sz="4" w:space="0"/>
              <w:bottom w:val="single" w:color="auto" w:sz="4" w:space="0"/>
              <w:right w:val="single" w:color="auto" w:sz="4" w:space="0"/>
            </w:tcBorders>
            <w:noWrap w:val="0"/>
            <w:vAlign w:val="center"/>
          </w:tcPr>
          <w:p>
            <w:pPr>
              <w:pStyle w:val="25"/>
              <w:bidi w:val="0"/>
              <w:rPr>
                <w:rFonts w:hint="eastAsia"/>
              </w:rPr>
            </w:pPr>
          </w:p>
        </w:tc>
        <w:tc>
          <w:tcPr>
            <w:tcW w:w="1132" w:type="dxa"/>
            <w:vMerge w:val="continue"/>
            <w:tcBorders>
              <w:top w:val="nil"/>
              <w:left w:val="single" w:color="auto" w:sz="4" w:space="0"/>
              <w:bottom w:val="single" w:color="auto" w:sz="4" w:space="0"/>
              <w:right w:val="single" w:color="auto" w:sz="4" w:space="0"/>
            </w:tcBorders>
            <w:noWrap w:val="0"/>
            <w:vAlign w:val="center"/>
          </w:tcPr>
          <w:p>
            <w:pPr>
              <w:pStyle w:val="25"/>
              <w:bidi w:val="0"/>
              <w:rPr>
                <w:rFonts w:hint="eastAsia"/>
              </w:rPr>
            </w:pPr>
          </w:p>
        </w:tc>
        <w:tc>
          <w:tcPr>
            <w:tcW w:w="174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5"/>
              <w:bidi w:val="0"/>
              <w:rPr>
                <w:rFonts w:hint="eastAsia"/>
              </w:rPr>
            </w:pPr>
          </w:p>
        </w:tc>
        <w:tc>
          <w:tcPr>
            <w:tcW w:w="112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5"/>
              <w:bidi w:val="0"/>
              <w:rPr>
                <w:rFonts w:hint="eastAsia"/>
              </w:rPr>
            </w:pP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w:t>
            </w:r>
          </w:p>
        </w:tc>
        <w:tc>
          <w:tcPr>
            <w:tcW w:w="1266" w:type="dxa"/>
            <w:vMerge w:val="restart"/>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水资源保护</w:t>
            </w: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取水总量控制目标</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万m3/a</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896.09</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950</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920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950</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2</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万元工业增加值用水量比2015年下降</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15</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11</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15</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县经信委</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3</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地区生产总值用水量较2015年下降</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20</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15</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20</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4</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农业灌溉水有效利用系数</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0.467</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0.47</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0.468</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0.47</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5</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水功能区水质达标率</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县环保局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6</w:t>
            </w:r>
          </w:p>
        </w:tc>
        <w:tc>
          <w:tcPr>
            <w:tcW w:w="1266" w:type="dxa"/>
            <w:vMerge w:val="restart"/>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岸线管理</w:t>
            </w: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河道管理范围划界</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80</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　</w:t>
            </w:r>
            <w:r>
              <w:rPr>
                <w:rFonts w:hint="eastAsia"/>
                <w:lang w:val="en-US" w:eastAsia="zh-CN"/>
              </w:rPr>
              <w:t>未实施</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7</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自然岸线保有率</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60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80</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70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80</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w:t>
            </w:r>
          </w:p>
        </w:tc>
        <w:tc>
          <w:tcPr>
            <w:tcW w:w="1266" w:type="dxa"/>
            <w:vMerge w:val="restart"/>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水污染防治</w:t>
            </w: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纳污限排总量</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t/a</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COD: 60.64  NH3-N:5.77</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60.64       5.77</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60.64       5.77</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60.64       5.77</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县环保局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9</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畜禽规模养殖场粪污处理率</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50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≥85</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75</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≥85</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县畜牧兽医局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化肥、农药施用总量</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零增长</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零增长</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零增长</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县农委</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11</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生活污水处理率</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50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≥80</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70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≥80</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县城市管理局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12</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生活垃圾处理率</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50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≥80</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70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≥80</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县城市管理局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13</w:t>
            </w:r>
          </w:p>
        </w:tc>
        <w:tc>
          <w:tcPr>
            <w:tcW w:w="1266" w:type="dxa"/>
            <w:vMerge w:val="restart"/>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水环境治理</w:t>
            </w: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水质目标管理/赤溪保留区</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Ⅲ</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Ⅲ</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Ⅲ</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Ⅲ</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县环保局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14</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水源地水质达标率</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县环保局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15</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水源地规范化建设完成度</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40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80</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100</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未实施</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16</w:t>
            </w:r>
          </w:p>
        </w:tc>
        <w:tc>
          <w:tcPr>
            <w:tcW w:w="1266"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25"/>
              <w:bidi w:val="0"/>
              <w:rPr>
                <w:rFonts w:hint="eastAsia"/>
              </w:rPr>
            </w:pPr>
            <w:r>
              <w:rPr>
                <w:rFonts w:hint="eastAsia"/>
              </w:rPr>
              <w:t>水生态修复</w:t>
            </w: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生态基流保障度</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一般</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良好</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持续改善</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良好</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r>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17</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水资源涵养</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一般</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良好</w:t>
            </w:r>
          </w:p>
        </w:tc>
        <w:tc>
          <w:tcPr>
            <w:tcW w:w="1124"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持续改善</w:t>
            </w:r>
          </w:p>
        </w:tc>
        <w:tc>
          <w:tcPr>
            <w:tcW w:w="1132" w:type="dxa"/>
            <w:tcBorders>
              <w:top w:val="nil"/>
              <w:left w:val="nil"/>
              <w:bottom w:val="single" w:color="auto" w:sz="4" w:space="0"/>
              <w:right w:val="single" w:color="auto" w:sz="4" w:space="0"/>
            </w:tcBorders>
            <w:shd w:val="clear" w:color="auto" w:fill="auto"/>
            <w:noWrap w:val="0"/>
            <w:vAlign w:val="center"/>
          </w:tcPr>
          <w:p>
            <w:pPr>
              <w:pStyle w:val="25"/>
              <w:bidi w:val="0"/>
              <w:rPr>
                <w:rFonts w:hint="eastAsia"/>
              </w:rPr>
            </w:pPr>
            <w:r>
              <w:rPr>
                <w:rFonts w:hint="eastAsia"/>
              </w:rPr>
              <w:t>良好</w:t>
            </w:r>
          </w:p>
        </w:tc>
        <w:tc>
          <w:tcPr>
            <w:tcW w:w="1742"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rPr>
              <w:t>县林业局</w:t>
            </w:r>
          </w:p>
        </w:tc>
        <w:tc>
          <w:tcPr>
            <w:tcW w:w="1124" w:type="dxa"/>
            <w:tcBorders>
              <w:top w:val="nil"/>
              <w:left w:val="nil"/>
              <w:bottom w:val="single" w:color="auto" w:sz="4" w:space="0"/>
              <w:right w:val="single" w:color="auto" w:sz="4" w:space="0"/>
            </w:tcBorders>
            <w:shd w:val="clear" w:color="auto" w:fill="auto"/>
            <w:noWrap/>
            <w:vAlign w:val="center"/>
          </w:tcPr>
          <w:p>
            <w:pPr>
              <w:pStyle w:val="25"/>
              <w:bidi w:val="0"/>
              <w:rPr>
                <w:rFonts w:hint="eastAsia"/>
              </w:rPr>
            </w:pPr>
            <w:r>
              <w:rPr>
                <w:rFonts w:hint="eastAsia"/>
                <w:lang w:val="en-US" w:eastAsia="zh-CN"/>
              </w:rPr>
              <w:t>完成</w:t>
            </w:r>
            <w:r>
              <w:rPr>
                <w:rFonts w:hint="eastAsia"/>
              </w:rPr>
              <w:t>　</w:t>
            </w:r>
          </w:p>
        </w:tc>
      </w:tr>
    </w:tbl>
    <w:p>
      <w:pPr>
        <w:pStyle w:val="2"/>
        <w:rPr>
          <w:rFonts w:hint="eastAsia"/>
        </w:rPr>
        <w:sectPr>
          <w:pgSz w:w="16840" w:h="11910" w:orient="landscape"/>
          <w:pgMar w:top="1180" w:right="1580" w:bottom="1180" w:left="1680" w:header="0" w:footer="1454" w:gutter="0"/>
          <w:pgNumType w:fmt="decimal"/>
          <w:cols w:space="720" w:num="1"/>
        </w:sectPr>
      </w:pPr>
    </w:p>
    <w:p>
      <w:pPr>
        <w:pStyle w:val="2"/>
        <w:bidi w:val="0"/>
        <w:rPr>
          <w:rFonts w:hint="eastAsia"/>
        </w:rPr>
      </w:pPr>
      <w:bookmarkStart w:id="17" w:name="_Toc22963"/>
      <w:r>
        <w:rPr>
          <w:rFonts w:hint="eastAsia"/>
        </w:rPr>
        <w:t>上一周期存在问题及建议</w:t>
      </w:r>
      <w:bookmarkEnd w:id="17"/>
    </w:p>
    <w:p>
      <w:pPr>
        <w:bidi w:val="0"/>
        <w:rPr>
          <w:rFonts w:hint="default"/>
        </w:rPr>
      </w:pPr>
      <w:r>
        <w:t>根据</w:t>
      </w:r>
      <w:r>
        <w:rPr>
          <w:rFonts w:hint="default"/>
        </w:rPr>
        <w:t>上一周期</w:t>
      </w:r>
      <w:r>
        <w:t>实施成效来看，完成了大部分的目标与任务，但仍有小部分未完成，</w:t>
      </w:r>
      <w:r>
        <w:rPr>
          <w:rFonts w:hint="default"/>
        </w:rPr>
        <w:t>存在的</w:t>
      </w:r>
      <w:r>
        <w:t>具体</w:t>
      </w:r>
      <w:r>
        <w:rPr>
          <w:rFonts w:hint="default"/>
        </w:rPr>
        <w:t>问题</w:t>
      </w:r>
      <w:r>
        <w:t>及原因</w:t>
      </w:r>
      <w:r>
        <w:rPr>
          <w:rFonts w:hint="default"/>
        </w:rPr>
        <w:t>有以下几个方面：</w:t>
      </w:r>
    </w:p>
    <w:p>
      <w:pPr>
        <w:bidi w:val="0"/>
        <w:outlineLvl w:val="2"/>
        <w:rPr>
          <w:rFonts w:hint="default"/>
        </w:rPr>
      </w:pPr>
      <w:r>
        <w:rPr>
          <w:rFonts w:hint="default"/>
        </w:rPr>
        <w:t>（1）</w:t>
      </w:r>
      <w:r>
        <w:t>“谁去落实”的问题没有完全解决</w:t>
      </w:r>
    </w:p>
    <w:p>
      <w:pPr>
        <w:bidi w:val="0"/>
        <w:rPr>
          <w:rFonts w:hint="default"/>
        </w:rPr>
      </w:pPr>
      <w:r>
        <w:rPr>
          <w:rFonts w:hint="default"/>
        </w:rPr>
        <w:t>从组织领导来看</w:t>
      </w:r>
      <w:r>
        <w:t>，</w:t>
      </w:r>
      <w:r>
        <w:rPr>
          <w:rFonts w:hint="default"/>
        </w:rPr>
        <w:t>上一周期方案存在责任</w:t>
      </w:r>
      <w:r>
        <w:t>为落定</w:t>
      </w:r>
      <w:r>
        <w:rPr>
          <w:rFonts w:hint="default"/>
        </w:rPr>
        <w:t>问题</w:t>
      </w:r>
      <w:r>
        <w:t>，“谁去落实”的问题没有完全解决。</w:t>
      </w:r>
      <w:r>
        <w:rPr>
          <w:rFonts w:hint="eastAsia"/>
          <w:lang w:val="en-US" w:eastAsia="zh-CN"/>
        </w:rPr>
        <w:t>赤溪河上一阶段的县级责任部门未在重庆市丰都县经信委，县级责任部门于2020年调整为重庆市丰都县经信委</w:t>
      </w:r>
      <w:r>
        <w:t>，</w:t>
      </w:r>
      <w:r>
        <w:rPr>
          <w:rFonts w:hint="eastAsia"/>
          <w:lang w:val="en-US" w:eastAsia="zh-CN"/>
        </w:rPr>
        <w:t>因此，未成立专项小组进行负责</w:t>
      </w:r>
      <w:r>
        <w:t>，造成任务及其主要责任部门难以完全落实。</w:t>
      </w:r>
    </w:p>
    <w:p>
      <w:pPr>
        <w:bidi w:val="0"/>
        <w:outlineLvl w:val="2"/>
        <w:rPr>
          <w:rFonts w:hint="default"/>
        </w:rPr>
      </w:pPr>
      <w:r>
        <w:rPr>
          <w:rFonts w:hint="default"/>
        </w:rPr>
        <w:t>（2）项目配套资金不到位</w:t>
      </w:r>
    </w:p>
    <w:p>
      <w:pPr>
        <w:bidi w:val="0"/>
        <w:rPr>
          <w:rFonts w:hint="default"/>
        </w:rPr>
      </w:pPr>
      <w:r>
        <w:rPr>
          <w:rFonts w:hint="default"/>
        </w:rPr>
        <w:t>上一周期方案由于项目配套资金不到位，导致多项措施推进较慢或无法实施。</w:t>
      </w:r>
      <w:r>
        <w:t>制定任务时，未考虑资金来源，未充分与相关规划衔接，导致后期资金无法落实；</w:t>
      </w:r>
      <w:r>
        <w:rPr>
          <w:rFonts w:hint="default"/>
        </w:rPr>
        <w:t>在前期工作中，未做好资金筹备计划，项目安排比较分散，大部分项目资金量少</w:t>
      </w:r>
      <w:r>
        <w:t>。</w:t>
      </w:r>
    </w:p>
    <w:p>
      <w:pPr>
        <w:bidi w:val="0"/>
        <w:rPr>
          <w:rFonts w:hint="eastAsia"/>
          <w:lang w:eastAsia="zh-CN"/>
        </w:rPr>
      </w:pPr>
      <w:r>
        <w:rPr>
          <w:rFonts w:hint="default"/>
        </w:rPr>
        <w:t>结合上一周期存在的问题与不足，本阶段重点研究流域的水资源现状，水污染现状，水质变化趋势，水生态现状情况，总结河流存在的各类问题，以问题为导向提出方案措施的可操作性，明晰各部门责任划分等</w:t>
      </w:r>
      <w:r>
        <w:rPr>
          <w:rFonts w:hint="eastAsia"/>
          <w:lang w:eastAsia="zh-CN"/>
        </w:rPr>
        <w:t>。</w:t>
      </w:r>
    </w:p>
    <w:p>
      <w:pPr>
        <w:pStyle w:val="3"/>
        <w:numPr>
          <w:ilvl w:val="0"/>
          <w:numId w:val="0"/>
        </w:numPr>
        <w:bidi w:val="0"/>
        <w:ind w:right="0" w:rightChars="0"/>
        <w:outlineLvl w:val="9"/>
        <w:sectPr>
          <w:pgSz w:w="11910" w:h="16840"/>
          <w:pgMar w:top="1580" w:right="1180" w:bottom="1680" w:left="1180" w:header="0" w:footer="1454" w:gutter="0"/>
          <w:pgNumType w:fmt="decimal"/>
          <w:cols w:space="720" w:num="1"/>
        </w:sectPr>
      </w:pPr>
    </w:p>
    <w:p>
      <w:pPr>
        <w:pStyle w:val="3"/>
        <w:bidi w:val="0"/>
      </w:pPr>
      <w:bookmarkStart w:id="18" w:name="_Toc30742"/>
      <w:r>
        <w:t>管理保护现状与存在问题</w:t>
      </w:r>
      <w:bookmarkEnd w:id="18"/>
    </w:p>
    <w:p>
      <w:pPr>
        <w:pStyle w:val="2"/>
        <w:bidi w:val="0"/>
        <w:rPr>
          <w:rFonts w:hint="eastAsia"/>
        </w:rPr>
      </w:pPr>
      <w:bookmarkStart w:id="19" w:name="_Toc4234"/>
      <w:r>
        <w:rPr>
          <w:rFonts w:hint="eastAsia"/>
        </w:rPr>
        <w:t>概况</w:t>
      </w:r>
      <w:bookmarkEnd w:id="19"/>
    </w:p>
    <w:p>
      <w:pPr>
        <w:pStyle w:val="4"/>
        <w:numPr>
          <w:ilvl w:val="2"/>
          <w:numId w:val="7"/>
        </w:numPr>
        <w:bidi w:val="0"/>
        <w:rPr>
          <w:rFonts w:hint="eastAsia"/>
        </w:rPr>
      </w:pPr>
      <w:r>
        <w:rPr>
          <w:rFonts w:hint="eastAsia"/>
        </w:rPr>
        <w:t>自然地理</w:t>
      </w:r>
    </w:p>
    <w:p>
      <w:pPr>
        <w:bidi w:val="0"/>
        <w:rPr>
          <w:rFonts w:hint="eastAsia"/>
        </w:rPr>
      </w:pPr>
      <w:r>
        <w:rPr>
          <w:rFonts w:hint="eastAsia"/>
        </w:rPr>
        <w:t>丰都县地处长江上游地区、重庆东部，位于三峡库区腹地和重庆市版图中心，呈西北—东南走向分布，介于东经107°28′03″-108°12′37″、北纬29°33′18″-30°16′25″之间。东依石柱土家族自治县，南接武隆县、彭水县，西靠涪陵区，北邻忠县、垫江县。区境南北长87km，东西宽54km，幅员面积2900.86km</w:t>
      </w:r>
      <w:r>
        <w:rPr>
          <w:rFonts w:hint="eastAsia"/>
          <w:vertAlign w:val="superscript"/>
        </w:rPr>
        <w:t>2</w:t>
      </w:r>
      <w:r>
        <w:rPr>
          <w:rFonts w:hint="eastAsia"/>
        </w:rPr>
        <w:t>。长江横穿县境47km，水上距离重庆主城区172km、陆上150km。</w:t>
      </w:r>
    </w:p>
    <w:p>
      <w:pPr>
        <w:bidi w:val="0"/>
        <w:rPr>
          <w:rFonts w:hint="eastAsia"/>
        </w:rPr>
      </w:pPr>
      <w:r>
        <w:rPr>
          <w:rFonts w:hint="eastAsia"/>
        </w:rPr>
        <w:t>丰都县地表水系以长江干流为主，长江南岸有源于石柱的最大支流龙河，长江北岸有源于忠县的渠溪河，它们在县境内构成三大水系。赤溪河为长江左岸一级支流，发源于保合镇牟家场村，发源地高程660m。从河源起自西向东流入十直镇，转向北方向，过十直镇莲花村、十字村，于岭咀处流入树人镇，过万寿桥村、岩口场村、三口井村、大石板村，于名山街道农花村处汇入长江。</w:t>
      </w:r>
    </w:p>
    <w:p>
      <w:pPr>
        <w:bidi w:val="0"/>
        <w:rPr>
          <w:rFonts w:hint="eastAsia"/>
        </w:rPr>
      </w:pPr>
      <w:r>
        <w:rPr>
          <w:rFonts w:hint="eastAsia"/>
        </w:rPr>
        <w:t>赤溪河河道总长为</w:t>
      </w:r>
      <w:r>
        <w:rPr>
          <w:rFonts w:hint="eastAsia"/>
          <w:lang w:val="en-US" w:eastAsia="zh-CN"/>
        </w:rPr>
        <w:t>22.4</w:t>
      </w:r>
      <w:r>
        <w:rPr>
          <w:rFonts w:hint="eastAsia"/>
        </w:rPr>
        <w:t>km，流域总面积87.4km</w:t>
      </w:r>
      <w:r>
        <w:rPr>
          <w:rFonts w:hint="eastAsia"/>
          <w:vertAlign w:val="superscript"/>
        </w:rPr>
        <w:t>2</w:t>
      </w:r>
      <w:r>
        <w:rPr>
          <w:rFonts w:hint="eastAsia"/>
        </w:rPr>
        <w:t>，总落差419m，多年平均来水量为4807万m</w:t>
      </w:r>
      <w:r>
        <w:rPr>
          <w:rFonts w:hint="eastAsia"/>
          <w:vertAlign w:val="superscript"/>
        </w:rPr>
        <w:t>3</w:t>
      </w:r>
      <w:r>
        <w:rPr>
          <w:rFonts w:hint="eastAsia"/>
        </w:rPr>
        <w:t>。赤溪河右岸主要支流有赵家沟、大沟、盐井沟及杨二老沟，左岸只要支流有三口井沟、槽房沟、岩口场沟、黄桷溪沟、酸草沟及老岩河沟。赤溪河干流无水库，支沟段有有5座水库，分别为烂田沟小（1）型水库、学堂冲小（2）型水库、蒋家山小（2）型水库、庙树沟小（2）型水库及人民小（2）型水库。</w:t>
      </w:r>
    </w:p>
    <w:p>
      <w:pPr>
        <w:pStyle w:val="4"/>
        <w:bidi w:val="0"/>
        <w:rPr>
          <w:rFonts w:hint="eastAsia"/>
        </w:rPr>
      </w:pPr>
      <w:r>
        <w:rPr>
          <w:rFonts w:hint="eastAsia"/>
        </w:rPr>
        <w:t>地形地貌</w:t>
      </w:r>
    </w:p>
    <w:p>
      <w:pPr>
        <w:bidi w:val="0"/>
      </w:pPr>
      <w:r>
        <w:rPr>
          <w:rFonts w:hint="eastAsia"/>
        </w:rPr>
        <w:t>丰都县地处四川盆地东部边缘，县境内地貌为一系列褶皱山系构成，长江横贯中部，江以南有七曜山脉和方斗山脉，江以北有蒋家山，黄草山、形成南高北低，“四山夹三槽”的地形，海拔最高2000m，最低175m，多在200-800m之间，境内山峦绵亘，溪河纵横，丘谷交错，全县面积中，丘陵占31.7%，低山占39.4%,中山占28.9%。</w:t>
      </w:r>
    </w:p>
    <w:p>
      <w:pPr>
        <w:bidi w:val="0"/>
      </w:pPr>
      <w:r>
        <w:rPr>
          <w:rFonts w:hint="eastAsia"/>
        </w:rPr>
        <w:t>流域地</w:t>
      </w:r>
      <w:r>
        <w:t>处于鄂西山地与四川盆地的过渡地带，山岭海拔高程500～</w:t>
      </w:r>
      <w:r>
        <w:rPr>
          <w:rFonts w:hint="eastAsia"/>
        </w:rPr>
        <w:t>1</w:t>
      </w:r>
      <w:r>
        <w:t>000m，相对高差达1000m以上，属于深切割中山地貌区。河流方向与山系走向受构造控制，</w:t>
      </w:r>
      <w:r>
        <w:rPr>
          <w:rFonts w:hint="eastAsia"/>
        </w:rPr>
        <w:t>多</w:t>
      </w:r>
      <w:r>
        <w:t>呈北东</w:t>
      </w:r>
      <w:r>
        <w:rPr>
          <w:rFonts w:hint="eastAsia"/>
        </w:rPr>
        <w:t>——</w:t>
      </w:r>
      <w:r>
        <w:t>南西向展布</w:t>
      </w:r>
      <w:r>
        <w:rPr>
          <w:rFonts w:hint="eastAsia"/>
        </w:rPr>
        <w:t>。</w:t>
      </w:r>
      <w:r>
        <w:t>河流受岩性和构造制约，宽谷与窄谷相间分布。两岸支沟发育，谷坡多呈陡缓交替的阶状地形，河谷横断面多为V型。</w:t>
      </w:r>
      <w:r>
        <w:rPr>
          <w:rFonts w:hint="eastAsia"/>
        </w:rPr>
        <w:t>Ⅲ</w:t>
      </w:r>
      <w:r>
        <w:t>级阶地以上多呈宽谷地貌。</w:t>
      </w:r>
    </w:p>
    <w:p>
      <w:pPr>
        <w:pStyle w:val="4"/>
        <w:bidi w:val="0"/>
        <w:rPr>
          <w:rFonts w:hint="eastAsia"/>
        </w:rPr>
      </w:pPr>
      <w:r>
        <w:rPr>
          <w:rFonts w:hint="eastAsia"/>
        </w:rPr>
        <w:t>气象特征</w:t>
      </w:r>
    </w:p>
    <w:p>
      <w:pPr>
        <w:bidi w:val="0"/>
      </w:pPr>
      <w:r>
        <w:rPr>
          <w:rFonts w:hint="eastAsia"/>
        </w:rPr>
        <w:t>赤溪河处于亚热带湿润季风气候区，受东南和西南季风的交替影响，具有四季分明、雨量较丰、冬暖春早、夏热多雨、伏旱频繁、秋季多绵雨的气候特征。冬季流域受偏北气流控制，气温低，雨量偏少。入春以后，降水天气系统逐渐加强，太平洋副高北跃西伸，副高西部的西南气流，导致孟加拉湾、南海的水汽不断输入本区，当与高空低槽和地面冷锋相配合，或受副高与西藏高压之间的低压系统控制并持续时，低压系统中的上升运动结合局地对流运动的发展，在本地区形成暴雨或特大暴雨。每年7月下旬～8月下旬，由于太平洋副高控制本区，此时会出现持续高温，形成盛夏伏旱天气。9月以后，太平洋副高南撤，流域内降雨又显著增加，但一般雨强较弱，形成绵绵细雨。</w:t>
      </w:r>
    </w:p>
    <w:p>
      <w:pPr>
        <w:pStyle w:val="4"/>
        <w:bidi w:val="0"/>
        <w:rPr>
          <w:rFonts w:hint="eastAsia"/>
        </w:rPr>
      </w:pPr>
      <w:r>
        <w:rPr>
          <w:rFonts w:hint="eastAsia"/>
        </w:rPr>
        <w:t>社会经济</w:t>
      </w:r>
    </w:p>
    <w:p>
      <w:pPr>
        <w:bidi w:val="0"/>
        <w:rPr>
          <w:rFonts w:hint="eastAsia"/>
        </w:rPr>
      </w:pPr>
      <w:r>
        <w:rPr>
          <w:rFonts w:hint="eastAsia"/>
        </w:rPr>
        <w:t>丰都县隶属重庆市，县辖23镇、5乡、2街道。</w:t>
      </w:r>
    </w:p>
    <w:p>
      <w:pPr>
        <w:bidi w:val="0"/>
        <w:rPr>
          <w:rFonts w:hint="eastAsia"/>
        </w:rPr>
      </w:pPr>
      <w:r>
        <w:rPr>
          <w:rFonts w:hint="eastAsia"/>
        </w:rPr>
        <w:t>23镇即高家镇、兴龙镇、社坛镇、许明寺镇、双龙镇、龙孔镇、树人镇、保合镇、江池镇、兴义镇、董家镇、虎威镇、三元镇、包鸾镇、武平镇、仁沙镇、十直镇、龙河镇、双路镇、南天湖镇、湛普镇、暨龙镇、仙女湖镇。</w:t>
      </w:r>
    </w:p>
    <w:p>
      <w:pPr>
        <w:bidi w:val="0"/>
        <w:rPr>
          <w:rFonts w:hint="eastAsia"/>
        </w:rPr>
      </w:pPr>
      <w:r>
        <w:rPr>
          <w:rFonts w:hint="eastAsia"/>
        </w:rPr>
        <w:t>5乡即栗子乡、青龙乡、太坪坝乡、三建乡、都督乡。</w:t>
      </w:r>
    </w:p>
    <w:p>
      <w:pPr>
        <w:bidi w:val="0"/>
        <w:rPr>
          <w:rFonts w:hint="eastAsia"/>
        </w:rPr>
      </w:pPr>
      <w:r>
        <w:rPr>
          <w:rFonts w:hint="eastAsia"/>
        </w:rPr>
        <w:t>2街道即三合街道、名山街道。</w:t>
      </w:r>
    </w:p>
    <w:p>
      <w:pPr>
        <w:bidi w:val="0"/>
        <w:rPr>
          <w:rFonts w:hint="eastAsia"/>
        </w:rPr>
      </w:pPr>
      <w:r>
        <w:rPr>
          <w:rFonts w:hint="eastAsia"/>
        </w:rPr>
        <w:t>全县人口总数84.29万人，全县生产总值达到135.4亿元。</w:t>
      </w:r>
    </w:p>
    <w:p>
      <w:pPr>
        <w:bidi w:val="0"/>
        <w:rPr>
          <w:rFonts w:hint="eastAsia"/>
        </w:rPr>
      </w:pPr>
      <w:r>
        <w:rPr>
          <w:rFonts w:hint="eastAsia"/>
        </w:rPr>
        <w:t>赤溪河流域涉及3个乡镇、1个街道。即：</w:t>
      </w:r>
      <w:r>
        <w:rPr>
          <w:rFonts w:hint="eastAsia"/>
          <w:lang w:val="en-US" w:eastAsia="zh-CN"/>
        </w:rPr>
        <w:t>保合镇蒋家沟村；</w:t>
      </w:r>
      <w:r>
        <w:rPr>
          <w:rFonts w:hint="eastAsia"/>
        </w:rPr>
        <w:t>十直镇蒋家山村、莲花村、新屋村</w:t>
      </w:r>
      <w:r>
        <w:rPr>
          <w:rFonts w:hint="eastAsia"/>
          <w:lang w:eastAsia="zh-CN"/>
        </w:rPr>
        <w:t>；</w:t>
      </w:r>
      <w:r>
        <w:rPr>
          <w:rFonts w:hint="eastAsia"/>
        </w:rPr>
        <w:t>树人镇万寿桥村、大柏树居委、岩口场村、三口井村、大石板村</w:t>
      </w:r>
      <w:r>
        <w:rPr>
          <w:rFonts w:hint="eastAsia"/>
          <w:lang w:eastAsia="zh-CN"/>
        </w:rPr>
        <w:t>；</w:t>
      </w:r>
      <w:r>
        <w:rPr>
          <w:rFonts w:hint="eastAsia"/>
        </w:rPr>
        <w:t>名山街道</w:t>
      </w:r>
      <w:r>
        <w:rPr>
          <w:rFonts w:hint="eastAsia"/>
          <w:lang w:val="en-US" w:eastAsia="zh-CN"/>
        </w:rPr>
        <w:t>农花</w:t>
      </w:r>
      <w:r>
        <w:rPr>
          <w:rFonts w:hint="eastAsia"/>
        </w:rPr>
        <w:t>村、赤溪村。</w:t>
      </w:r>
    </w:p>
    <w:p>
      <w:pPr>
        <w:adjustRightInd w:val="0"/>
        <w:snapToGrid w:val="0"/>
        <w:spacing w:line="600" w:lineRule="exact"/>
        <w:ind w:firstLine="624" w:firstLineChars="200"/>
        <w:rPr>
          <w:rFonts w:hint="eastAsia" w:ascii="方正仿宋_GBK" w:hAnsi="宋体" w:eastAsia="方正仿宋_GBK"/>
          <w:bCs/>
          <w:color w:val="FF0000"/>
          <w:spacing w:val="6"/>
          <w:sz w:val="30"/>
          <w:szCs w:val="30"/>
        </w:rPr>
      </w:pPr>
      <w:r>
        <w:rPr>
          <w:rFonts w:hint="eastAsia" w:ascii="方正仿宋_GBK" w:hAnsi="宋体" w:eastAsia="方正仿宋_GBK"/>
          <w:bCs/>
          <w:color w:val="FF0000"/>
          <w:spacing w:val="6"/>
          <w:sz w:val="30"/>
          <w:szCs w:val="30"/>
        </w:rPr>
        <w:t>赤溪河流域内灌溉面积14260亩，旱地6850亩，水田7410亩。总人口11320人，城镇人口3420人，人均收入9481元。</w:t>
      </w:r>
    </w:p>
    <w:p>
      <w:pPr>
        <w:adjustRightInd w:val="0"/>
        <w:snapToGrid w:val="0"/>
        <w:spacing w:line="500" w:lineRule="exact"/>
        <w:ind w:firstLine="0" w:firstLineChars="0"/>
        <w:jc w:val="center"/>
        <w:rPr>
          <w:rFonts w:hint="eastAsia" w:ascii="方正仿宋_GBK" w:hAnsi="黑体" w:eastAsia="方正仿宋_GBK"/>
          <w:b/>
          <w:sz w:val="30"/>
          <w:szCs w:val="30"/>
        </w:rPr>
      </w:pPr>
      <w:r>
        <w:rPr>
          <w:rStyle w:val="27"/>
          <w:rFonts w:hint="eastAsia"/>
        </w:rPr>
        <w:t>表2.1-1</w:t>
      </w:r>
      <w:r>
        <w:rPr>
          <w:rStyle w:val="27"/>
          <w:rFonts w:hint="eastAsia"/>
        </w:rPr>
        <w:tab/>
      </w:r>
      <w:r>
        <w:rPr>
          <w:rStyle w:val="27"/>
          <w:rFonts w:hint="eastAsia"/>
        </w:rPr>
        <w:t xml:space="preserve">             流域社会经济情况统计表</w:t>
      </w:r>
    </w:p>
    <w:tbl>
      <w:tblPr>
        <w:tblStyle w:val="20"/>
        <w:tblW w:w="976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77"/>
        <w:gridCol w:w="2683"/>
        <w:gridCol w:w="1176"/>
        <w:gridCol w:w="1477"/>
        <w:gridCol w:w="1477"/>
        <w:gridCol w:w="147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477" w:type="dxa"/>
            <w:shd w:val="clear" w:color="auto" w:fill="auto"/>
            <w:noWrap w:val="0"/>
            <w:vAlign w:val="center"/>
          </w:tcPr>
          <w:p>
            <w:pPr>
              <w:pStyle w:val="25"/>
              <w:bidi w:val="0"/>
              <w:rPr>
                <w:rFonts w:hint="eastAsia"/>
              </w:rPr>
            </w:pPr>
            <w:r>
              <w:rPr>
                <w:rFonts w:hint="eastAsia"/>
              </w:rPr>
              <w:t>河流名称</w:t>
            </w:r>
          </w:p>
        </w:tc>
        <w:tc>
          <w:tcPr>
            <w:tcW w:w="2683" w:type="dxa"/>
            <w:shd w:val="clear" w:color="auto" w:fill="auto"/>
            <w:noWrap w:val="0"/>
            <w:vAlign w:val="center"/>
          </w:tcPr>
          <w:p>
            <w:pPr>
              <w:pStyle w:val="25"/>
              <w:bidi w:val="0"/>
              <w:rPr>
                <w:rFonts w:hint="eastAsia"/>
              </w:rPr>
            </w:pPr>
            <w:r>
              <w:rPr>
                <w:rFonts w:hint="eastAsia"/>
              </w:rPr>
              <w:t>涉及乡镇</w:t>
            </w:r>
          </w:p>
        </w:tc>
        <w:tc>
          <w:tcPr>
            <w:tcW w:w="1176" w:type="dxa"/>
            <w:shd w:val="clear" w:color="auto" w:fill="auto"/>
            <w:noWrap w:val="0"/>
            <w:vAlign w:val="center"/>
          </w:tcPr>
          <w:p>
            <w:pPr>
              <w:pStyle w:val="25"/>
              <w:bidi w:val="0"/>
              <w:rPr>
                <w:rFonts w:hint="eastAsia"/>
              </w:rPr>
            </w:pPr>
            <w:r>
              <w:rPr>
                <w:rFonts w:hint="eastAsia"/>
              </w:rPr>
              <w:t>行政村</w:t>
            </w:r>
          </w:p>
          <w:p>
            <w:pPr>
              <w:pStyle w:val="25"/>
              <w:bidi w:val="0"/>
              <w:rPr>
                <w:rFonts w:hint="eastAsia"/>
              </w:rPr>
            </w:pPr>
            <w:r>
              <w:rPr>
                <w:rFonts w:hint="eastAsia"/>
              </w:rPr>
              <w:t>（个）</w:t>
            </w:r>
          </w:p>
        </w:tc>
        <w:tc>
          <w:tcPr>
            <w:tcW w:w="1477" w:type="dxa"/>
            <w:shd w:val="clear" w:color="auto" w:fill="auto"/>
            <w:noWrap w:val="0"/>
            <w:vAlign w:val="center"/>
          </w:tcPr>
          <w:p>
            <w:pPr>
              <w:pStyle w:val="25"/>
              <w:bidi w:val="0"/>
              <w:rPr>
                <w:rFonts w:hint="eastAsia"/>
              </w:rPr>
            </w:pPr>
            <w:r>
              <w:rPr>
                <w:rFonts w:hint="eastAsia"/>
              </w:rPr>
              <w:t>人口数量</w:t>
            </w:r>
          </w:p>
          <w:p>
            <w:pPr>
              <w:pStyle w:val="25"/>
              <w:bidi w:val="0"/>
              <w:rPr>
                <w:rFonts w:hint="eastAsia"/>
              </w:rPr>
            </w:pPr>
            <w:r>
              <w:rPr>
                <w:rFonts w:hint="eastAsia"/>
              </w:rPr>
              <w:t>（人）</w:t>
            </w:r>
          </w:p>
        </w:tc>
        <w:tc>
          <w:tcPr>
            <w:tcW w:w="1477" w:type="dxa"/>
            <w:shd w:val="clear" w:color="auto" w:fill="auto"/>
            <w:noWrap w:val="0"/>
            <w:vAlign w:val="center"/>
          </w:tcPr>
          <w:p>
            <w:pPr>
              <w:pStyle w:val="25"/>
              <w:bidi w:val="0"/>
              <w:rPr>
                <w:rFonts w:hint="eastAsia"/>
              </w:rPr>
            </w:pPr>
            <w:r>
              <w:rPr>
                <w:rFonts w:hint="eastAsia"/>
              </w:rPr>
              <w:t>灌溉面积</w:t>
            </w:r>
          </w:p>
          <w:p>
            <w:pPr>
              <w:pStyle w:val="25"/>
              <w:bidi w:val="0"/>
              <w:rPr>
                <w:rFonts w:hint="eastAsia"/>
              </w:rPr>
            </w:pPr>
            <w:r>
              <w:rPr>
                <w:rFonts w:hint="eastAsia"/>
              </w:rPr>
              <w:t>（亩）</w:t>
            </w:r>
          </w:p>
        </w:tc>
        <w:tc>
          <w:tcPr>
            <w:tcW w:w="1476" w:type="dxa"/>
            <w:shd w:val="clear" w:color="auto" w:fill="auto"/>
            <w:noWrap w:val="0"/>
            <w:vAlign w:val="center"/>
          </w:tcPr>
          <w:p>
            <w:pPr>
              <w:pStyle w:val="25"/>
              <w:bidi w:val="0"/>
              <w:rPr>
                <w:rFonts w:hint="eastAsia"/>
              </w:rPr>
            </w:pPr>
            <w:r>
              <w:rPr>
                <w:rFonts w:hint="eastAsia"/>
              </w:rPr>
              <w:t>人均收入</w:t>
            </w:r>
          </w:p>
          <w:p>
            <w:pPr>
              <w:pStyle w:val="25"/>
              <w:bidi w:val="0"/>
              <w:rPr>
                <w:rFonts w:hint="eastAsia"/>
              </w:rPr>
            </w:pPr>
            <w:r>
              <w:rPr>
                <w:rFonts w:hint="eastAsia"/>
              </w:rPr>
              <w:t>（元）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28" w:hRule="atLeast"/>
          <w:jc w:val="center"/>
        </w:trPr>
        <w:tc>
          <w:tcPr>
            <w:tcW w:w="1477" w:type="dxa"/>
            <w:shd w:val="clear" w:color="auto" w:fill="auto"/>
            <w:noWrap w:val="0"/>
            <w:vAlign w:val="center"/>
          </w:tcPr>
          <w:p>
            <w:pPr>
              <w:pStyle w:val="25"/>
              <w:bidi w:val="0"/>
              <w:rPr>
                <w:rFonts w:hint="eastAsia"/>
              </w:rPr>
            </w:pPr>
            <w:r>
              <w:rPr>
                <w:rFonts w:hint="eastAsia"/>
              </w:rPr>
              <w:t>赤溪河</w:t>
            </w:r>
          </w:p>
        </w:tc>
        <w:tc>
          <w:tcPr>
            <w:tcW w:w="2683" w:type="dxa"/>
            <w:shd w:val="clear" w:color="auto" w:fill="auto"/>
            <w:noWrap w:val="0"/>
            <w:vAlign w:val="center"/>
          </w:tcPr>
          <w:p>
            <w:pPr>
              <w:pStyle w:val="25"/>
              <w:bidi w:val="0"/>
              <w:rPr>
                <w:rFonts w:hint="eastAsia"/>
              </w:rPr>
            </w:pPr>
            <w:r>
              <w:rPr>
                <w:rFonts w:hint="eastAsia"/>
                <w:lang w:val="en-US" w:eastAsia="zh-CN"/>
              </w:rPr>
              <w:t>保合镇、</w:t>
            </w:r>
            <w:r>
              <w:rPr>
                <w:rFonts w:hint="eastAsia"/>
              </w:rPr>
              <w:t>十直镇、</w:t>
            </w:r>
          </w:p>
          <w:p>
            <w:pPr>
              <w:pStyle w:val="25"/>
              <w:bidi w:val="0"/>
              <w:rPr>
                <w:rFonts w:hint="eastAsia"/>
              </w:rPr>
            </w:pPr>
            <w:r>
              <w:rPr>
                <w:rFonts w:hint="eastAsia"/>
              </w:rPr>
              <w:t>树人镇、名山街道</w:t>
            </w:r>
          </w:p>
        </w:tc>
        <w:tc>
          <w:tcPr>
            <w:tcW w:w="1176" w:type="dxa"/>
            <w:shd w:val="clear" w:color="auto" w:fill="auto"/>
            <w:noWrap w:val="0"/>
            <w:vAlign w:val="center"/>
          </w:tcPr>
          <w:p>
            <w:pPr>
              <w:pStyle w:val="25"/>
              <w:bidi w:val="0"/>
              <w:rPr>
                <w:rFonts w:hint="default" w:eastAsia="方正仿宋_GBK"/>
                <w:lang w:val="en-US" w:eastAsia="zh-CN"/>
              </w:rPr>
            </w:pPr>
            <w:r>
              <w:rPr>
                <w:rFonts w:hint="eastAsia"/>
                <w:lang w:val="en-US" w:eastAsia="zh-CN"/>
              </w:rPr>
              <w:t>11</w:t>
            </w:r>
          </w:p>
        </w:tc>
        <w:tc>
          <w:tcPr>
            <w:tcW w:w="1477" w:type="dxa"/>
            <w:shd w:val="clear" w:color="auto" w:fill="auto"/>
            <w:noWrap w:val="0"/>
            <w:vAlign w:val="center"/>
          </w:tcPr>
          <w:p>
            <w:pPr>
              <w:pStyle w:val="25"/>
              <w:bidi w:val="0"/>
              <w:rPr>
                <w:rFonts w:hint="eastAsia"/>
                <w:color w:val="FF0000"/>
              </w:rPr>
            </w:pPr>
            <w:r>
              <w:rPr>
                <w:rFonts w:hint="eastAsia"/>
                <w:color w:val="FF0000"/>
              </w:rPr>
              <w:t>11320</w:t>
            </w:r>
          </w:p>
        </w:tc>
        <w:tc>
          <w:tcPr>
            <w:tcW w:w="1477" w:type="dxa"/>
            <w:shd w:val="clear" w:color="auto" w:fill="auto"/>
            <w:noWrap w:val="0"/>
            <w:vAlign w:val="center"/>
          </w:tcPr>
          <w:p>
            <w:pPr>
              <w:pStyle w:val="25"/>
              <w:bidi w:val="0"/>
              <w:rPr>
                <w:rFonts w:hint="eastAsia"/>
                <w:color w:val="FF0000"/>
              </w:rPr>
            </w:pPr>
            <w:r>
              <w:rPr>
                <w:rFonts w:hint="eastAsia"/>
                <w:color w:val="FF0000"/>
              </w:rPr>
              <w:t>14260</w:t>
            </w:r>
          </w:p>
        </w:tc>
        <w:tc>
          <w:tcPr>
            <w:tcW w:w="1476" w:type="dxa"/>
            <w:shd w:val="clear" w:color="auto" w:fill="auto"/>
            <w:noWrap w:val="0"/>
            <w:vAlign w:val="center"/>
          </w:tcPr>
          <w:p>
            <w:pPr>
              <w:pStyle w:val="25"/>
              <w:bidi w:val="0"/>
              <w:rPr>
                <w:rFonts w:hint="eastAsia"/>
                <w:color w:val="FF0000"/>
              </w:rPr>
            </w:pPr>
            <w:r>
              <w:rPr>
                <w:rFonts w:hint="eastAsia"/>
                <w:color w:val="FF0000"/>
              </w:rPr>
              <w:t>9481</w:t>
            </w:r>
          </w:p>
        </w:tc>
      </w:tr>
    </w:tbl>
    <w:p>
      <w:pPr>
        <w:pStyle w:val="2"/>
        <w:bidi w:val="0"/>
        <w:rPr>
          <w:rFonts w:hint="eastAsia"/>
        </w:rPr>
      </w:pPr>
      <w:bookmarkStart w:id="20" w:name="_Toc29001"/>
      <w:r>
        <w:rPr>
          <w:rFonts w:hint="eastAsia"/>
        </w:rPr>
        <w:t>管理保护现状</w:t>
      </w:r>
      <w:bookmarkEnd w:id="20"/>
    </w:p>
    <w:p>
      <w:pPr>
        <w:pStyle w:val="4"/>
        <w:bidi w:val="0"/>
        <w:rPr>
          <w:rFonts w:hint="default"/>
        </w:rPr>
      </w:pPr>
      <w:r>
        <w:rPr>
          <w:rFonts w:hint="default"/>
        </w:rPr>
        <w:t>水资源保护利用现状</w:t>
      </w:r>
    </w:p>
    <w:p>
      <w:pPr>
        <w:keepNext w:val="0"/>
        <w:keepLines w:val="0"/>
        <w:pageBreakBefore w:val="0"/>
        <w:widowControl w:val="0"/>
        <w:numPr>
          <w:ilvl w:val="0"/>
          <w:numId w:val="8"/>
        </w:numPr>
        <w:kinsoku/>
        <w:wordWrap/>
        <w:overflowPunct/>
        <w:topLinePunct w:val="0"/>
        <w:autoSpaceDE w:val="0"/>
        <w:autoSpaceDN w:val="0"/>
        <w:bidi w:val="0"/>
        <w:adjustRightInd/>
        <w:snapToGrid/>
        <w:ind w:left="0" w:firstLine="0" w:firstLineChars="0"/>
        <w:textAlignment w:val="auto"/>
        <w:rPr>
          <w:rFonts w:hint="default"/>
        </w:rPr>
      </w:pPr>
      <w:r>
        <w:rPr>
          <w:rFonts w:hint="default"/>
        </w:rPr>
        <w:t>用水总量现状</w:t>
      </w:r>
    </w:p>
    <w:p>
      <w:pPr>
        <w:bidi w:val="0"/>
        <w:rPr>
          <w:rFonts w:hint="eastAsia"/>
          <w:color w:val="auto"/>
          <w:lang w:val="fr-FR"/>
        </w:rPr>
      </w:pPr>
      <w:r>
        <w:rPr>
          <w:rFonts w:hint="eastAsia"/>
          <w:lang w:val="fr-FR"/>
        </w:rPr>
        <w:t>赤溪河区域径流主要补给来源是大气降水，水资源时空分布不均，山区及半山区水资源相对丰富，汛枯期降水差异较大，多年平均</w:t>
      </w:r>
      <w:r>
        <w:rPr>
          <w:rFonts w:hint="eastAsia"/>
          <w:color w:val="auto"/>
          <w:lang w:val="fr-FR"/>
        </w:rPr>
        <w:t>来水量为</w:t>
      </w:r>
      <w:r>
        <w:rPr>
          <w:rFonts w:hint="eastAsia"/>
          <w:color w:val="auto"/>
        </w:rPr>
        <w:t>4807</w:t>
      </w:r>
      <w:r>
        <w:rPr>
          <w:rFonts w:hint="eastAsia"/>
          <w:color w:val="auto"/>
          <w:lang w:val="fr-FR"/>
        </w:rPr>
        <w:t>万m</w:t>
      </w:r>
      <w:r>
        <w:rPr>
          <w:rFonts w:hint="eastAsia"/>
          <w:color w:val="auto"/>
          <w:vertAlign w:val="superscript"/>
          <w:lang w:val="fr-FR"/>
        </w:rPr>
        <w:t>3</w:t>
      </w:r>
      <w:r>
        <w:rPr>
          <w:rFonts w:hint="eastAsia"/>
          <w:color w:val="auto"/>
          <w:lang w:val="fr-FR"/>
        </w:rPr>
        <w:t>。</w:t>
      </w:r>
    </w:p>
    <w:p>
      <w:pPr>
        <w:bidi w:val="0"/>
        <w:rPr>
          <w:rFonts w:hint="eastAsia"/>
          <w:color w:val="auto"/>
          <w:lang w:val="fr-FR"/>
        </w:rPr>
      </w:pPr>
      <w:r>
        <w:rPr>
          <w:rFonts w:hint="eastAsia"/>
          <w:color w:val="auto"/>
          <w:lang w:val="fr-FR"/>
        </w:rPr>
        <w:t>根据调查统计，2017年赤溪河河长制管辖范围内总用水量896.09万m³。其中场镇居民生活用水13万m³，农村居民生活用水23.06万m³，农业灌溉用水855万m³。另外流域内有水力发电工程2处，发电用水410万m³。</w:t>
      </w:r>
    </w:p>
    <w:p>
      <w:pPr>
        <w:bidi w:val="0"/>
        <w:rPr>
          <w:rFonts w:hint="default"/>
        </w:rPr>
      </w:pPr>
      <w:r>
        <w:rPr>
          <w:rFonts w:hint="eastAsia"/>
          <w:lang w:val="fr-FR"/>
        </w:rPr>
        <w:t>根据以上统计数据分析，赤溪河流域内水资源开发利用率较低，水资源开发利用潜力较大。</w:t>
      </w:r>
    </w:p>
    <w:p>
      <w:pPr>
        <w:keepNext w:val="0"/>
        <w:keepLines w:val="0"/>
        <w:pageBreakBefore w:val="0"/>
        <w:widowControl w:val="0"/>
        <w:numPr>
          <w:ilvl w:val="0"/>
          <w:numId w:val="8"/>
        </w:numPr>
        <w:kinsoku/>
        <w:wordWrap/>
        <w:overflowPunct/>
        <w:topLinePunct w:val="0"/>
        <w:autoSpaceDE w:val="0"/>
        <w:autoSpaceDN w:val="0"/>
        <w:bidi w:val="0"/>
        <w:adjustRightInd/>
        <w:snapToGrid/>
        <w:ind w:left="0" w:firstLine="0" w:firstLineChars="0"/>
        <w:textAlignment w:val="auto"/>
        <w:rPr>
          <w:rFonts w:hint="default"/>
        </w:rPr>
      </w:pPr>
      <w:r>
        <w:rPr>
          <w:rFonts w:hint="default"/>
        </w:rPr>
        <w:t>取水现状</w:t>
      </w:r>
    </w:p>
    <w:p>
      <w:pPr>
        <w:bidi w:val="0"/>
        <w:rPr>
          <w:rFonts w:hint="eastAsia"/>
        </w:rPr>
      </w:pPr>
      <w:r>
        <w:rPr>
          <w:rFonts w:hint="eastAsia"/>
        </w:rPr>
        <w:t>赤溪河干流河道内取水口共有</w:t>
      </w:r>
      <w:r>
        <w:rPr>
          <w:rFonts w:hint="eastAsia"/>
          <w:lang w:val="en-US" w:eastAsia="zh-CN"/>
        </w:rPr>
        <w:t>3</w:t>
      </w:r>
      <w:r>
        <w:rPr>
          <w:rFonts w:hint="eastAsia"/>
        </w:rPr>
        <w:t>处，分别为丰都县白岩口水电有限公司取水口、丰都县十直供水站取水口</w:t>
      </w:r>
      <w:r>
        <w:rPr>
          <w:rFonts w:hint="eastAsia"/>
          <w:lang w:val="en-US" w:eastAsia="zh-CN"/>
        </w:rPr>
        <w:t>、清水河电站</w:t>
      </w:r>
      <w:r>
        <w:rPr>
          <w:rFonts w:hint="eastAsia"/>
        </w:rPr>
        <w:t>取水口，取水总量为423万m</w:t>
      </w:r>
      <w:r>
        <w:rPr>
          <w:rFonts w:hint="eastAsia"/>
          <w:vertAlign w:val="superscript"/>
        </w:rPr>
        <w:t>3</w:t>
      </w:r>
      <w:r>
        <w:rPr>
          <w:rFonts w:hint="eastAsia"/>
        </w:rPr>
        <w:t>，具体情况详见表</w:t>
      </w:r>
      <w:r>
        <w:rPr>
          <w:rFonts w:hint="eastAsia"/>
          <w:lang w:val="en-US" w:eastAsia="zh-CN"/>
        </w:rPr>
        <w:t>3</w:t>
      </w:r>
      <w:r>
        <w:rPr>
          <w:rFonts w:hint="eastAsia"/>
        </w:rPr>
        <w:t>.2-1。</w:t>
      </w:r>
    </w:p>
    <w:p>
      <w:pPr>
        <w:pStyle w:val="25"/>
        <w:bidi w:val="0"/>
        <w:rPr>
          <w:rFonts w:hint="eastAsia"/>
        </w:rPr>
      </w:pPr>
      <w:r>
        <w:rPr>
          <w:rFonts w:hint="eastAsia"/>
        </w:rPr>
        <w:t>表</w:t>
      </w:r>
      <w:r>
        <w:rPr>
          <w:rFonts w:hint="eastAsia"/>
          <w:lang w:val="en-US" w:eastAsia="zh-CN"/>
        </w:rPr>
        <w:t>3</w:t>
      </w:r>
      <w:r>
        <w:rPr>
          <w:rFonts w:hint="eastAsia"/>
        </w:rPr>
        <w:t>.2-1</w:t>
      </w:r>
      <w:r>
        <w:rPr>
          <w:rFonts w:hint="eastAsia"/>
        </w:rPr>
        <w:tab/>
      </w:r>
      <w:r>
        <w:rPr>
          <w:rFonts w:hint="eastAsia"/>
        </w:rPr>
        <w:t xml:space="preserve">          赤溪河取水口统计表</w:t>
      </w:r>
    </w:p>
    <w:tbl>
      <w:tblPr>
        <w:tblStyle w:val="20"/>
        <w:tblW w:w="976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52"/>
        <w:gridCol w:w="2336"/>
        <w:gridCol w:w="1634"/>
        <w:gridCol w:w="1073"/>
        <w:gridCol w:w="1084"/>
        <w:gridCol w:w="1169"/>
        <w:gridCol w:w="17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752" w:type="dxa"/>
            <w:shd w:val="clear" w:color="auto" w:fill="auto"/>
            <w:noWrap/>
            <w:vAlign w:val="center"/>
          </w:tcPr>
          <w:p>
            <w:pPr>
              <w:pStyle w:val="25"/>
              <w:bidi w:val="0"/>
              <w:rPr>
                <w:rFonts w:hint="eastAsia"/>
              </w:rPr>
            </w:pPr>
            <w:r>
              <w:rPr>
                <w:rFonts w:hint="eastAsia"/>
              </w:rPr>
              <w:t>序号</w:t>
            </w:r>
          </w:p>
        </w:tc>
        <w:tc>
          <w:tcPr>
            <w:tcW w:w="2336" w:type="dxa"/>
            <w:shd w:val="clear" w:color="auto" w:fill="auto"/>
            <w:noWrap/>
            <w:vAlign w:val="center"/>
          </w:tcPr>
          <w:p>
            <w:pPr>
              <w:pStyle w:val="25"/>
              <w:bidi w:val="0"/>
              <w:rPr>
                <w:rFonts w:hint="eastAsia"/>
              </w:rPr>
            </w:pPr>
            <w:r>
              <w:rPr>
                <w:rFonts w:hint="eastAsia"/>
              </w:rPr>
              <w:t>取水权人名称</w:t>
            </w:r>
          </w:p>
        </w:tc>
        <w:tc>
          <w:tcPr>
            <w:tcW w:w="1634" w:type="dxa"/>
            <w:shd w:val="clear" w:color="auto" w:fill="auto"/>
            <w:noWrap/>
            <w:vAlign w:val="center"/>
          </w:tcPr>
          <w:p>
            <w:pPr>
              <w:pStyle w:val="25"/>
              <w:bidi w:val="0"/>
              <w:rPr>
                <w:rFonts w:hint="eastAsia"/>
              </w:rPr>
            </w:pPr>
            <w:r>
              <w:rPr>
                <w:rFonts w:hint="eastAsia"/>
              </w:rPr>
              <w:t>取水地点</w:t>
            </w:r>
          </w:p>
        </w:tc>
        <w:tc>
          <w:tcPr>
            <w:tcW w:w="1073" w:type="dxa"/>
            <w:shd w:val="clear" w:color="auto" w:fill="auto"/>
            <w:noWrap/>
            <w:vAlign w:val="center"/>
          </w:tcPr>
          <w:p>
            <w:pPr>
              <w:pStyle w:val="25"/>
              <w:bidi w:val="0"/>
              <w:rPr>
                <w:rFonts w:hint="eastAsia"/>
              </w:rPr>
            </w:pPr>
            <w:r>
              <w:rPr>
                <w:rFonts w:hint="eastAsia"/>
              </w:rPr>
              <w:t>水源类型</w:t>
            </w:r>
          </w:p>
        </w:tc>
        <w:tc>
          <w:tcPr>
            <w:tcW w:w="1084" w:type="dxa"/>
            <w:shd w:val="clear" w:color="auto" w:fill="auto"/>
            <w:noWrap/>
            <w:vAlign w:val="center"/>
          </w:tcPr>
          <w:p>
            <w:pPr>
              <w:pStyle w:val="25"/>
              <w:bidi w:val="0"/>
              <w:rPr>
                <w:rFonts w:hint="eastAsia"/>
              </w:rPr>
            </w:pPr>
            <w:r>
              <w:rPr>
                <w:rFonts w:hint="eastAsia"/>
              </w:rPr>
              <w:t>取水方式</w:t>
            </w:r>
          </w:p>
        </w:tc>
        <w:tc>
          <w:tcPr>
            <w:tcW w:w="1169" w:type="dxa"/>
            <w:shd w:val="clear" w:color="auto" w:fill="auto"/>
            <w:noWrap/>
            <w:vAlign w:val="center"/>
          </w:tcPr>
          <w:p>
            <w:pPr>
              <w:pStyle w:val="25"/>
              <w:bidi w:val="0"/>
              <w:rPr>
                <w:rFonts w:hint="eastAsia"/>
              </w:rPr>
            </w:pPr>
            <w:r>
              <w:rPr>
                <w:rFonts w:hint="eastAsia"/>
              </w:rPr>
              <w:t>取水用途</w:t>
            </w:r>
          </w:p>
        </w:tc>
        <w:tc>
          <w:tcPr>
            <w:tcW w:w="1718" w:type="dxa"/>
            <w:shd w:val="clear" w:color="auto" w:fill="auto"/>
            <w:noWrap/>
            <w:vAlign w:val="center"/>
          </w:tcPr>
          <w:p>
            <w:pPr>
              <w:pStyle w:val="25"/>
              <w:bidi w:val="0"/>
              <w:rPr>
                <w:rFonts w:hint="eastAsia"/>
              </w:rPr>
            </w:pPr>
            <w:r>
              <w:rPr>
                <w:rFonts w:hint="eastAsia"/>
              </w:rPr>
              <w:t>年取水总量</w:t>
            </w:r>
          </w:p>
          <w:p>
            <w:pPr>
              <w:pStyle w:val="25"/>
              <w:bidi w:val="0"/>
              <w:rPr>
                <w:rFonts w:hint="eastAsia"/>
              </w:rPr>
            </w:pPr>
            <w:r>
              <w:rPr>
                <w:rFonts w:hint="eastAsia"/>
              </w:rPr>
              <w:t>（万</w:t>
            </w:r>
            <w:r>
              <w:rPr>
                <w:rFonts w:hint="eastAsia"/>
                <w:lang w:val="en-US" w:eastAsia="zh-CN"/>
              </w:rPr>
              <w:t>/</w:t>
            </w:r>
            <w:r>
              <w:rPr>
                <w:rFonts w:hint="eastAsia"/>
              </w:rPr>
              <w:t>m</w:t>
            </w:r>
            <w:r>
              <w:rPr>
                <w:rFonts w:hint="eastAsia"/>
                <w:vertAlign w:val="superscript"/>
              </w:rPr>
              <w:t>3</w:t>
            </w:r>
            <w:r>
              <w:rPr>
                <w:rFonts w:hint="eastAsi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752" w:type="dxa"/>
            <w:shd w:val="clear" w:color="auto" w:fill="auto"/>
            <w:noWrap/>
            <w:vAlign w:val="center"/>
          </w:tcPr>
          <w:p>
            <w:pPr>
              <w:pStyle w:val="25"/>
              <w:bidi w:val="0"/>
              <w:rPr>
                <w:rFonts w:hint="eastAsia"/>
              </w:rPr>
            </w:pPr>
            <w:r>
              <w:rPr>
                <w:rFonts w:hint="eastAsia"/>
              </w:rPr>
              <w:t>1</w:t>
            </w:r>
          </w:p>
        </w:tc>
        <w:tc>
          <w:tcPr>
            <w:tcW w:w="2336" w:type="dxa"/>
            <w:shd w:val="clear" w:color="auto" w:fill="auto"/>
            <w:noWrap/>
            <w:vAlign w:val="center"/>
          </w:tcPr>
          <w:p>
            <w:pPr>
              <w:pStyle w:val="25"/>
              <w:bidi w:val="0"/>
              <w:rPr>
                <w:rFonts w:hint="eastAsia"/>
              </w:rPr>
            </w:pPr>
            <w:r>
              <w:rPr>
                <w:rFonts w:hint="eastAsia"/>
                <w:lang w:val="en-US" w:eastAsia="zh-CN"/>
              </w:rPr>
              <w:t>丰都县白岩口水电有限公司</w:t>
            </w:r>
          </w:p>
        </w:tc>
        <w:tc>
          <w:tcPr>
            <w:tcW w:w="1634" w:type="dxa"/>
            <w:shd w:val="clear" w:color="auto" w:fill="auto"/>
            <w:noWrap/>
            <w:vAlign w:val="center"/>
          </w:tcPr>
          <w:p>
            <w:pPr>
              <w:pStyle w:val="25"/>
              <w:bidi w:val="0"/>
              <w:rPr>
                <w:rFonts w:hint="eastAsia"/>
              </w:rPr>
            </w:pPr>
            <w:r>
              <w:rPr>
                <w:rFonts w:hint="eastAsia"/>
                <w:lang w:val="en-US" w:eastAsia="zh-CN"/>
              </w:rPr>
              <w:t>十直镇赤溪河白岩口一洞桥</w:t>
            </w:r>
          </w:p>
        </w:tc>
        <w:tc>
          <w:tcPr>
            <w:tcW w:w="1073" w:type="dxa"/>
            <w:shd w:val="clear" w:color="auto" w:fill="auto"/>
            <w:noWrap/>
            <w:vAlign w:val="center"/>
          </w:tcPr>
          <w:p>
            <w:pPr>
              <w:pStyle w:val="25"/>
              <w:bidi w:val="0"/>
              <w:rPr>
                <w:rFonts w:hint="eastAsia"/>
              </w:rPr>
            </w:pPr>
            <w:r>
              <w:rPr>
                <w:rFonts w:hint="eastAsia"/>
                <w:lang w:val="en-US" w:eastAsia="zh-CN"/>
              </w:rPr>
              <w:t>江河</w:t>
            </w:r>
          </w:p>
        </w:tc>
        <w:tc>
          <w:tcPr>
            <w:tcW w:w="1084" w:type="dxa"/>
            <w:shd w:val="clear" w:color="auto" w:fill="auto"/>
            <w:noWrap/>
            <w:vAlign w:val="center"/>
          </w:tcPr>
          <w:p>
            <w:pPr>
              <w:pStyle w:val="25"/>
              <w:bidi w:val="0"/>
              <w:rPr>
                <w:rFonts w:hint="eastAsia"/>
              </w:rPr>
            </w:pPr>
            <w:r>
              <w:rPr>
                <w:rFonts w:hint="eastAsia"/>
                <w:lang w:val="en-US" w:eastAsia="zh-CN"/>
              </w:rPr>
              <w:t>引</w:t>
            </w:r>
          </w:p>
        </w:tc>
        <w:tc>
          <w:tcPr>
            <w:tcW w:w="1169" w:type="dxa"/>
            <w:shd w:val="clear" w:color="auto" w:fill="auto"/>
            <w:noWrap/>
            <w:vAlign w:val="center"/>
          </w:tcPr>
          <w:p>
            <w:pPr>
              <w:pStyle w:val="25"/>
              <w:bidi w:val="0"/>
              <w:rPr>
                <w:rFonts w:hint="eastAsia"/>
              </w:rPr>
            </w:pPr>
            <w:r>
              <w:rPr>
                <w:rFonts w:hint="eastAsia"/>
                <w:lang w:val="en-US" w:eastAsia="zh-CN"/>
              </w:rPr>
              <w:t>发电用水</w:t>
            </w:r>
          </w:p>
        </w:tc>
        <w:tc>
          <w:tcPr>
            <w:tcW w:w="1718" w:type="dxa"/>
            <w:shd w:val="clear" w:color="auto" w:fill="auto"/>
            <w:noWrap/>
            <w:vAlign w:val="center"/>
          </w:tcPr>
          <w:p>
            <w:pPr>
              <w:pStyle w:val="25"/>
              <w:bidi w:val="0"/>
              <w:rPr>
                <w:rFonts w:hint="eastAsia"/>
              </w:rPr>
            </w:pPr>
            <w:r>
              <w:rPr>
                <w:rFonts w:hint="eastAsia"/>
                <w:lang w:val="en-US" w:eastAsia="zh-CN"/>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752" w:type="dxa"/>
            <w:shd w:val="clear" w:color="auto" w:fill="auto"/>
            <w:noWrap/>
            <w:vAlign w:val="center"/>
          </w:tcPr>
          <w:p>
            <w:pPr>
              <w:pStyle w:val="25"/>
              <w:bidi w:val="0"/>
              <w:rPr>
                <w:rFonts w:hint="eastAsia"/>
              </w:rPr>
            </w:pPr>
            <w:r>
              <w:rPr>
                <w:rFonts w:hint="eastAsia"/>
              </w:rPr>
              <w:t>2</w:t>
            </w:r>
          </w:p>
        </w:tc>
        <w:tc>
          <w:tcPr>
            <w:tcW w:w="2336" w:type="dxa"/>
            <w:shd w:val="clear" w:color="auto" w:fill="auto"/>
            <w:noWrap/>
            <w:vAlign w:val="center"/>
          </w:tcPr>
          <w:p>
            <w:pPr>
              <w:pStyle w:val="25"/>
              <w:bidi w:val="0"/>
              <w:rPr>
                <w:rFonts w:hint="eastAsia"/>
              </w:rPr>
            </w:pPr>
            <w:r>
              <w:rPr>
                <w:rFonts w:hint="eastAsia"/>
                <w:lang w:val="en-US" w:eastAsia="zh-CN"/>
              </w:rPr>
              <w:t>丰都县十直供水站</w:t>
            </w:r>
          </w:p>
        </w:tc>
        <w:tc>
          <w:tcPr>
            <w:tcW w:w="1634" w:type="dxa"/>
            <w:shd w:val="clear" w:color="auto" w:fill="auto"/>
            <w:noWrap/>
            <w:vAlign w:val="center"/>
          </w:tcPr>
          <w:p>
            <w:pPr>
              <w:pStyle w:val="25"/>
              <w:bidi w:val="0"/>
              <w:rPr>
                <w:rFonts w:hint="eastAsia"/>
              </w:rPr>
            </w:pPr>
            <w:r>
              <w:rPr>
                <w:rFonts w:hint="eastAsia"/>
                <w:lang w:val="en-US" w:eastAsia="zh-CN"/>
              </w:rPr>
              <w:t>丰都县十直镇白岩口</w:t>
            </w:r>
          </w:p>
        </w:tc>
        <w:tc>
          <w:tcPr>
            <w:tcW w:w="1073" w:type="dxa"/>
            <w:shd w:val="clear" w:color="auto" w:fill="auto"/>
            <w:noWrap/>
            <w:vAlign w:val="center"/>
          </w:tcPr>
          <w:p>
            <w:pPr>
              <w:pStyle w:val="25"/>
              <w:bidi w:val="0"/>
              <w:rPr>
                <w:rFonts w:hint="eastAsia"/>
              </w:rPr>
            </w:pPr>
            <w:r>
              <w:rPr>
                <w:rFonts w:hint="eastAsia"/>
                <w:lang w:val="en-US" w:eastAsia="zh-CN"/>
              </w:rPr>
              <w:t>江河</w:t>
            </w:r>
          </w:p>
        </w:tc>
        <w:tc>
          <w:tcPr>
            <w:tcW w:w="1084" w:type="dxa"/>
            <w:shd w:val="clear" w:color="auto" w:fill="auto"/>
            <w:noWrap/>
            <w:vAlign w:val="center"/>
          </w:tcPr>
          <w:p>
            <w:pPr>
              <w:pStyle w:val="25"/>
              <w:bidi w:val="0"/>
              <w:rPr>
                <w:rFonts w:hint="eastAsia"/>
              </w:rPr>
            </w:pPr>
            <w:r>
              <w:rPr>
                <w:rFonts w:hint="eastAsia"/>
                <w:lang w:val="en-US" w:eastAsia="zh-CN"/>
              </w:rPr>
              <w:t>引</w:t>
            </w:r>
          </w:p>
        </w:tc>
        <w:tc>
          <w:tcPr>
            <w:tcW w:w="1169" w:type="dxa"/>
            <w:shd w:val="clear" w:color="auto" w:fill="auto"/>
            <w:noWrap/>
            <w:vAlign w:val="center"/>
          </w:tcPr>
          <w:p>
            <w:pPr>
              <w:pStyle w:val="25"/>
              <w:bidi w:val="0"/>
              <w:rPr>
                <w:rFonts w:hint="eastAsia"/>
              </w:rPr>
            </w:pPr>
            <w:r>
              <w:rPr>
                <w:rFonts w:hint="eastAsia"/>
                <w:lang w:val="en-US" w:eastAsia="zh-CN"/>
              </w:rPr>
              <w:t>城镇生活用水</w:t>
            </w:r>
          </w:p>
        </w:tc>
        <w:tc>
          <w:tcPr>
            <w:tcW w:w="1718" w:type="dxa"/>
            <w:shd w:val="clear" w:color="auto" w:fill="auto"/>
            <w:noWrap/>
            <w:vAlign w:val="center"/>
          </w:tcPr>
          <w:p>
            <w:pPr>
              <w:pStyle w:val="25"/>
              <w:bidi w:val="0"/>
              <w:rPr>
                <w:rFonts w:hint="eastAsia"/>
              </w:rPr>
            </w:pPr>
            <w:r>
              <w:rPr>
                <w:rFonts w:hint="eastAsia"/>
                <w:lang w:val="en-US" w:eastAsia="zh-CN"/>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752" w:type="dxa"/>
            <w:shd w:val="clear" w:color="auto" w:fill="auto"/>
            <w:noWrap/>
            <w:vAlign w:val="center"/>
          </w:tcPr>
          <w:p>
            <w:pPr>
              <w:pStyle w:val="25"/>
              <w:bidi w:val="0"/>
              <w:rPr>
                <w:rFonts w:hint="eastAsia"/>
              </w:rPr>
            </w:pPr>
            <w:r>
              <w:rPr>
                <w:rFonts w:hint="eastAsia"/>
              </w:rPr>
              <w:t>3</w:t>
            </w:r>
          </w:p>
        </w:tc>
        <w:tc>
          <w:tcPr>
            <w:tcW w:w="2336" w:type="dxa"/>
            <w:shd w:val="clear" w:color="auto" w:fill="auto"/>
            <w:noWrap/>
            <w:vAlign w:val="center"/>
          </w:tcPr>
          <w:p>
            <w:pPr>
              <w:pStyle w:val="25"/>
              <w:bidi w:val="0"/>
              <w:rPr>
                <w:rFonts w:hint="eastAsia"/>
              </w:rPr>
            </w:pPr>
            <w:r>
              <w:rPr>
                <w:rFonts w:hint="eastAsia"/>
                <w:lang w:val="en-US" w:eastAsia="zh-CN"/>
              </w:rPr>
              <w:t>清水河电站</w:t>
            </w:r>
          </w:p>
        </w:tc>
        <w:tc>
          <w:tcPr>
            <w:tcW w:w="1634" w:type="dxa"/>
            <w:shd w:val="clear" w:color="auto" w:fill="auto"/>
            <w:noWrap/>
            <w:vAlign w:val="center"/>
          </w:tcPr>
          <w:p>
            <w:pPr>
              <w:pStyle w:val="25"/>
              <w:bidi w:val="0"/>
              <w:rPr>
                <w:rFonts w:hint="eastAsia"/>
              </w:rPr>
            </w:pPr>
            <w:r>
              <w:rPr>
                <w:rFonts w:hint="eastAsia"/>
                <w:lang w:val="en-US" w:eastAsia="zh-CN"/>
              </w:rPr>
              <w:t>丰都县十直镇</w:t>
            </w:r>
          </w:p>
        </w:tc>
        <w:tc>
          <w:tcPr>
            <w:tcW w:w="1073" w:type="dxa"/>
            <w:shd w:val="clear" w:color="auto" w:fill="auto"/>
            <w:noWrap/>
            <w:vAlign w:val="center"/>
          </w:tcPr>
          <w:p>
            <w:pPr>
              <w:pStyle w:val="25"/>
              <w:bidi w:val="0"/>
              <w:rPr>
                <w:rFonts w:hint="eastAsia"/>
              </w:rPr>
            </w:pPr>
            <w:r>
              <w:rPr>
                <w:rFonts w:hint="eastAsia"/>
                <w:lang w:val="en-US" w:eastAsia="zh-CN"/>
              </w:rPr>
              <w:t>江河</w:t>
            </w:r>
          </w:p>
        </w:tc>
        <w:tc>
          <w:tcPr>
            <w:tcW w:w="1084" w:type="dxa"/>
            <w:shd w:val="clear" w:color="auto" w:fill="auto"/>
            <w:noWrap/>
            <w:vAlign w:val="center"/>
          </w:tcPr>
          <w:p>
            <w:pPr>
              <w:pStyle w:val="25"/>
              <w:bidi w:val="0"/>
              <w:rPr>
                <w:rFonts w:hint="eastAsia"/>
              </w:rPr>
            </w:pPr>
            <w:r>
              <w:rPr>
                <w:rFonts w:hint="eastAsia"/>
                <w:lang w:val="en-US" w:eastAsia="zh-CN"/>
              </w:rPr>
              <w:t>引</w:t>
            </w:r>
          </w:p>
        </w:tc>
        <w:tc>
          <w:tcPr>
            <w:tcW w:w="1169" w:type="dxa"/>
            <w:shd w:val="clear" w:color="auto" w:fill="auto"/>
            <w:noWrap/>
            <w:vAlign w:val="center"/>
          </w:tcPr>
          <w:p>
            <w:pPr>
              <w:pStyle w:val="25"/>
              <w:bidi w:val="0"/>
              <w:rPr>
                <w:rFonts w:hint="eastAsia"/>
              </w:rPr>
            </w:pPr>
            <w:r>
              <w:rPr>
                <w:rFonts w:hint="eastAsia"/>
                <w:lang w:val="en-US" w:eastAsia="zh-CN"/>
              </w:rPr>
              <w:t>发电用水</w:t>
            </w:r>
          </w:p>
        </w:tc>
        <w:tc>
          <w:tcPr>
            <w:tcW w:w="1718" w:type="dxa"/>
            <w:shd w:val="clear" w:color="auto" w:fill="auto"/>
            <w:noWrap/>
            <w:vAlign w:val="center"/>
          </w:tcPr>
          <w:p>
            <w:pPr>
              <w:pStyle w:val="25"/>
              <w:bidi w:val="0"/>
              <w:rPr>
                <w:rFonts w:hint="eastAsia"/>
              </w:rPr>
            </w:pPr>
            <w:r>
              <w:rPr>
                <w:rFonts w:hint="eastAsia"/>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752" w:type="dxa"/>
            <w:shd w:val="clear" w:color="auto" w:fill="auto"/>
            <w:noWrap/>
            <w:vAlign w:val="center"/>
          </w:tcPr>
          <w:p>
            <w:pPr>
              <w:pStyle w:val="25"/>
              <w:bidi w:val="0"/>
              <w:rPr>
                <w:rFonts w:hint="default"/>
                <w:lang w:val="en-US" w:eastAsia="zh-CN"/>
              </w:rPr>
            </w:pPr>
            <w:r>
              <w:rPr>
                <w:rFonts w:hint="eastAsia"/>
                <w:lang w:val="en-US" w:eastAsia="zh-CN"/>
              </w:rPr>
              <w:t>4</w:t>
            </w:r>
          </w:p>
        </w:tc>
        <w:tc>
          <w:tcPr>
            <w:tcW w:w="3970" w:type="dxa"/>
            <w:gridSpan w:val="2"/>
            <w:shd w:val="clear" w:color="auto" w:fill="auto"/>
            <w:noWrap/>
            <w:vAlign w:val="center"/>
          </w:tcPr>
          <w:p>
            <w:pPr>
              <w:pStyle w:val="25"/>
              <w:bidi w:val="0"/>
              <w:rPr>
                <w:rFonts w:hint="eastAsia"/>
              </w:rPr>
            </w:pPr>
            <w:r>
              <w:rPr>
                <w:rFonts w:hint="eastAsia"/>
              </w:rPr>
              <w:t>合计</w:t>
            </w:r>
          </w:p>
        </w:tc>
        <w:tc>
          <w:tcPr>
            <w:tcW w:w="1073" w:type="dxa"/>
            <w:shd w:val="clear" w:color="auto" w:fill="auto"/>
            <w:noWrap/>
            <w:vAlign w:val="center"/>
          </w:tcPr>
          <w:p>
            <w:pPr>
              <w:pStyle w:val="25"/>
              <w:bidi w:val="0"/>
              <w:rPr>
                <w:rFonts w:hint="eastAsia"/>
              </w:rPr>
            </w:pPr>
          </w:p>
        </w:tc>
        <w:tc>
          <w:tcPr>
            <w:tcW w:w="1084" w:type="dxa"/>
            <w:shd w:val="clear" w:color="auto" w:fill="auto"/>
            <w:noWrap/>
            <w:vAlign w:val="center"/>
          </w:tcPr>
          <w:p>
            <w:pPr>
              <w:pStyle w:val="25"/>
              <w:bidi w:val="0"/>
              <w:rPr>
                <w:rFonts w:hint="eastAsia"/>
              </w:rPr>
            </w:pPr>
          </w:p>
        </w:tc>
        <w:tc>
          <w:tcPr>
            <w:tcW w:w="1169" w:type="dxa"/>
            <w:shd w:val="clear" w:color="auto" w:fill="auto"/>
            <w:noWrap/>
            <w:vAlign w:val="center"/>
          </w:tcPr>
          <w:p>
            <w:pPr>
              <w:pStyle w:val="25"/>
              <w:bidi w:val="0"/>
              <w:rPr>
                <w:rFonts w:hint="eastAsia"/>
              </w:rPr>
            </w:pPr>
          </w:p>
        </w:tc>
        <w:tc>
          <w:tcPr>
            <w:tcW w:w="1718" w:type="dxa"/>
            <w:shd w:val="clear" w:color="auto" w:fill="auto"/>
            <w:noWrap/>
            <w:vAlign w:val="center"/>
          </w:tcPr>
          <w:p>
            <w:pPr>
              <w:pStyle w:val="25"/>
              <w:bidi w:val="0"/>
              <w:rPr>
                <w:rFonts w:hint="default"/>
                <w:lang w:val="en-US" w:eastAsia="zh-CN"/>
              </w:rPr>
            </w:pPr>
            <w:r>
              <w:rPr>
                <w:rFonts w:hint="eastAsia"/>
                <w:lang w:val="en-US" w:eastAsia="zh-CN"/>
              </w:rPr>
              <w:t>38.5</w:t>
            </w:r>
          </w:p>
        </w:tc>
      </w:tr>
    </w:tbl>
    <w:p>
      <w:pPr>
        <w:keepNext w:val="0"/>
        <w:keepLines w:val="0"/>
        <w:pageBreakBefore w:val="0"/>
        <w:widowControl w:val="0"/>
        <w:numPr>
          <w:ilvl w:val="0"/>
          <w:numId w:val="8"/>
        </w:numPr>
        <w:kinsoku/>
        <w:wordWrap/>
        <w:overflowPunct/>
        <w:topLinePunct w:val="0"/>
        <w:autoSpaceDE w:val="0"/>
        <w:autoSpaceDN w:val="0"/>
        <w:bidi w:val="0"/>
        <w:adjustRightInd/>
        <w:snapToGrid/>
        <w:ind w:left="0" w:firstLine="0" w:firstLineChars="0"/>
        <w:textAlignment w:val="auto"/>
        <w:rPr>
          <w:rFonts w:hint="eastAsia"/>
        </w:rPr>
      </w:pPr>
      <w:r>
        <w:rPr>
          <w:rFonts w:hint="eastAsia"/>
        </w:rPr>
        <w:t>水源地情况</w:t>
      </w:r>
    </w:p>
    <w:p>
      <w:pPr>
        <w:bidi w:val="0"/>
        <w:rPr>
          <w:rFonts w:hint="eastAsia" w:ascii="方正仿宋_GBK" w:hAnsi="宋体" w:eastAsia="方正仿宋_GBK"/>
          <w:sz w:val="30"/>
          <w:szCs w:val="30"/>
          <w:lang w:val="en-US" w:eastAsia="zh-CN"/>
        </w:rPr>
      </w:pPr>
      <w:r>
        <w:rPr>
          <w:rFonts w:hint="eastAsia" w:ascii="方正仿宋_GBK" w:hAnsi="宋体" w:eastAsia="方正仿宋_GBK"/>
          <w:color w:val="auto"/>
          <w:sz w:val="30"/>
          <w:szCs w:val="30"/>
        </w:rPr>
        <w:t>赤溪河干流区域内水源地有</w:t>
      </w:r>
      <w:r>
        <w:rPr>
          <w:rFonts w:hint="eastAsia" w:hAnsi="宋体"/>
          <w:color w:val="auto"/>
          <w:sz w:val="30"/>
          <w:szCs w:val="30"/>
          <w:lang w:val="en-US" w:eastAsia="zh-CN"/>
        </w:rPr>
        <w:t>1个</w:t>
      </w:r>
      <w:r>
        <w:rPr>
          <w:rFonts w:hint="eastAsia" w:ascii="方正仿宋_GBK" w:hAnsi="宋体" w:eastAsia="方正仿宋_GBK"/>
          <w:color w:val="auto"/>
          <w:sz w:val="30"/>
          <w:szCs w:val="30"/>
        </w:rPr>
        <w:t>，人民水库十直供水站水源地</w:t>
      </w:r>
      <w:r>
        <w:rPr>
          <w:rFonts w:hint="eastAsia" w:hAnsi="宋体"/>
          <w:color w:val="auto"/>
          <w:sz w:val="30"/>
          <w:szCs w:val="30"/>
          <w:lang w:eastAsia="zh-CN"/>
        </w:rPr>
        <w:t>，</w:t>
      </w:r>
      <w:r>
        <w:rPr>
          <w:rFonts w:hint="eastAsia" w:hAnsi="宋体"/>
          <w:color w:val="auto"/>
          <w:sz w:val="30"/>
          <w:szCs w:val="30"/>
          <w:lang w:val="en-US" w:eastAsia="zh-CN"/>
        </w:rPr>
        <w:t>位</w:t>
      </w:r>
      <w:r>
        <w:rPr>
          <w:rFonts w:hint="eastAsia" w:ascii="方正仿宋_GBK" w:hAnsi="宋体" w:eastAsia="方正仿宋_GBK"/>
          <w:color w:val="auto"/>
          <w:sz w:val="30"/>
          <w:szCs w:val="30"/>
          <w:lang w:val="en-US" w:eastAsia="zh-CN"/>
        </w:rPr>
        <w:t>于</w:t>
      </w:r>
      <w:r>
        <w:rPr>
          <w:rFonts w:hint="eastAsia" w:ascii="方正仿宋_GBK" w:hAnsi="宋体" w:eastAsia="方正仿宋_GBK"/>
          <w:color w:val="auto"/>
          <w:sz w:val="30"/>
          <w:szCs w:val="30"/>
        </w:rPr>
        <w:t>十直镇莲花村</w:t>
      </w:r>
      <w:r>
        <w:rPr>
          <w:rFonts w:hint="eastAsia" w:ascii="方正仿宋_GBK" w:hAnsi="宋体" w:eastAsia="方正仿宋_GBK"/>
          <w:color w:val="auto"/>
          <w:sz w:val="30"/>
          <w:szCs w:val="30"/>
          <w:lang w:eastAsia="zh-CN"/>
        </w:rPr>
        <w:t>，</w:t>
      </w:r>
      <w:r>
        <w:rPr>
          <w:rFonts w:hint="eastAsia" w:ascii="方正仿宋_GBK" w:hAnsi="宋体" w:eastAsia="方正仿宋_GBK"/>
          <w:color w:val="auto"/>
          <w:sz w:val="30"/>
          <w:szCs w:val="30"/>
          <w:lang w:val="en-US" w:eastAsia="zh-CN"/>
        </w:rPr>
        <w:t>属于</w:t>
      </w:r>
      <w:r>
        <w:rPr>
          <w:rFonts w:hint="eastAsia" w:hAnsi="宋体"/>
          <w:color w:val="auto"/>
          <w:sz w:val="30"/>
          <w:szCs w:val="30"/>
          <w:lang w:val="en-US" w:eastAsia="zh-CN"/>
        </w:rPr>
        <w:t>河流型</w:t>
      </w:r>
      <w:r>
        <w:rPr>
          <w:rFonts w:hint="eastAsia" w:ascii="方正仿宋_GBK" w:hAnsi="宋体" w:eastAsia="方正仿宋_GBK"/>
          <w:color w:val="auto"/>
          <w:sz w:val="30"/>
          <w:szCs w:val="30"/>
          <w:lang w:val="en-US" w:eastAsia="zh-CN"/>
        </w:rPr>
        <w:t>饮用水源地</w:t>
      </w:r>
      <w:r>
        <w:rPr>
          <w:rFonts w:hint="eastAsia" w:hAnsi="宋体"/>
          <w:color w:val="auto"/>
          <w:sz w:val="30"/>
          <w:szCs w:val="30"/>
          <w:lang w:val="en-US" w:eastAsia="zh-CN"/>
        </w:rPr>
        <w:t>，</w:t>
      </w:r>
      <w:r>
        <w:rPr>
          <w:rFonts w:hint="eastAsia" w:ascii="方正仿宋_GBK" w:hAnsi="宋体" w:eastAsia="方正仿宋_GBK"/>
          <w:color w:val="auto"/>
          <w:sz w:val="30"/>
          <w:szCs w:val="30"/>
        </w:rPr>
        <w:t>取水点</w:t>
      </w:r>
      <w:r>
        <w:rPr>
          <w:rFonts w:hint="eastAsia" w:hAnsi="宋体"/>
          <w:color w:val="auto"/>
          <w:sz w:val="30"/>
          <w:szCs w:val="30"/>
          <w:lang w:val="en-US" w:eastAsia="zh-CN"/>
        </w:rPr>
        <w:t>周边</w:t>
      </w:r>
      <w:r>
        <w:rPr>
          <w:rFonts w:hint="eastAsia" w:ascii="方正仿宋_GBK" w:hAnsi="宋体" w:eastAsia="方正仿宋_GBK"/>
          <w:color w:val="auto"/>
          <w:sz w:val="30"/>
          <w:szCs w:val="30"/>
        </w:rPr>
        <w:t>上有零星散户居住，农田主要种植玉米、水稻、红薯。取水点周围主要为林地，植被覆盖良好，水源地设计采水量400m</w:t>
      </w:r>
      <w:r>
        <w:rPr>
          <w:rFonts w:hint="eastAsia" w:ascii="方正仿宋_GBK" w:hAnsi="宋体" w:eastAsia="方正仿宋_GBK"/>
          <w:color w:val="auto"/>
          <w:sz w:val="30"/>
          <w:szCs w:val="30"/>
          <w:vertAlign w:val="superscript"/>
        </w:rPr>
        <w:t>3</w:t>
      </w:r>
      <w:r>
        <w:rPr>
          <w:rFonts w:hint="eastAsia" w:ascii="方正仿宋_GBK" w:hAnsi="宋体" w:eastAsia="方正仿宋_GBK"/>
          <w:color w:val="auto"/>
          <w:sz w:val="30"/>
          <w:szCs w:val="30"/>
        </w:rPr>
        <w:t>/d</w:t>
      </w:r>
      <w:r>
        <w:rPr>
          <w:rFonts w:hint="eastAsia" w:hAnsi="宋体"/>
          <w:sz w:val="30"/>
          <w:szCs w:val="30"/>
          <w:lang w:eastAsia="zh-CN"/>
        </w:rPr>
        <w:t>。</w:t>
      </w:r>
    </w:p>
    <w:p>
      <w:pPr>
        <w:pStyle w:val="4"/>
        <w:bidi w:val="0"/>
        <w:rPr>
          <w:rFonts w:hint="eastAsia"/>
        </w:rPr>
      </w:pPr>
      <w:r>
        <w:rPr>
          <w:rFonts w:hint="default"/>
        </w:rPr>
        <w:t>水域岸线管理保护现状</w:t>
      </w:r>
    </w:p>
    <w:p>
      <w:pPr>
        <w:rPr>
          <w:rFonts w:hint="default" w:eastAsia="方正仿宋_GBK"/>
          <w:lang w:val="en-US" w:eastAsia="zh-CN"/>
        </w:rPr>
      </w:pPr>
      <w:r>
        <w:rPr>
          <w:rFonts w:hint="eastAsia"/>
          <w:lang w:val="en-US" w:eastAsia="zh-CN"/>
        </w:rPr>
        <w:t>赤溪河流域规划河道岸线长度为46415米，开发利用岸线长度为195米，水域岸线利用率为0.42%。</w:t>
      </w:r>
    </w:p>
    <w:p>
      <w:pPr>
        <w:numPr>
          <w:ilvl w:val="0"/>
          <w:numId w:val="9"/>
        </w:numPr>
        <w:bidi w:val="0"/>
        <w:ind w:left="425" w:leftChars="0" w:hanging="425" w:firstLineChars="0"/>
        <w:rPr>
          <w:rFonts w:hint="eastAsia"/>
        </w:rPr>
      </w:pPr>
      <w:r>
        <w:t>河库管理保护范围及生态空间划定</w:t>
      </w:r>
    </w:p>
    <w:p>
      <w:pPr>
        <w:bidi w:val="0"/>
        <w:rPr>
          <w:rFonts w:hint="eastAsia"/>
        </w:rPr>
      </w:pPr>
      <w:r>
        <w:rPr>
          <w:rFonts w:hint="eastAsia"/>
        </w:rPr>
        <w:t>赤溪河目前已完成了河道管理范围划界工作，设立了界桩、界牌、标识牌等。</w:t>
      </w:r>
    </w:p>
    <w:p>
      <w:pPr>
        <w:bidi w:val="0"/>
        <w:rPr>
          <w:rFonts w:hint="eastAsia"/>
        </w:rPr>
      </w:pPr>
      <w:r>
        <w:rPr>
          <w:rFonts w:hint="eastAsia"/>
        </w:rPr>
        <w:t>经现场调查，赤溪河干流现有涉河建筑物主要为电站拦河坝、跨河桥梁、涵洞等，其中大部分建成日久，存在未进行建设项目涉河专项审批而违规建设占用岸线的情况。</w:t>
      </w:r>
    </w:p>
    <w:p>
      <w:pPr>
        <w:bidi w:val="0"/>
        <w:rPr>
          <w:rFonts w:hint="eastAsia"/>
        </w:rPr>
      </w:pPr>
      <w:r>
        <w:rPr>
          <w:rFonts w:hint="eastAsia"/>
        </w:rPr>
        <w:t>赤溪河干流开发利用程度较低，根据赤溪河水功能区划成果，赤溪河全段均划分为保留区，河道两岸主要为农田。由于赤溪河流域河道两岸地形条件限制，岸线管理保护工作不到位，加之农业产业结构滞后，流域普遍存在农田侵占河道岸线情况，现有的落后农业生产规模与水域岸线管理保护工作的矛盾日益突出。</w:t>
      </w:r>
    </w:p>
    <w:p>
      <w:pPr>
        <w:pStyle w:val="25"/>
        <w:bidi w:val="0"/>
        <w:rPr>
          <w:rFonts w:hint="eastAsia"/>
        </w:rPr>
      </w:pPr>
      <w:r>
        <w:rPr>
          <w:rFonts w:hint="eastAsia"/>
        </w:rPr>
        <w:t>表</w:t>
      </w:r>
      <w:r>
        <w:rPr>
          <w:rFonts w:hint="eastAsia"/>
          <w:lang w:val="en-US" w:eastAsia="zh-CN"/>
        </w:rPr>
        <w:t>3.2-2</w:t>
      </w:r>
      <w:r>
        <w:rPr>
          <w:rFonts w:hint="eastAsia"/>
        </w:rPr>
        <w:t xml:space="preserve">           赤溪河流域涉河建筑物统计表</w:t>
      </w:r>
    </w:p>
    <w:tbl>
      <w:tblPr>
        <w:tblStyle w:val="20"/>
        <w:tblW w:w="976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2"/>
        <w:gridCol w:w="984"/>
        <w:gridCol w:w="1182"/>
        <w:gridCol w:w="1814"/>
        <w:gridCol w:w="1944"/>
        <w:gridCol w:w="1071"/>
        <w:gridCol w:w="1071"/>
        <w:gridCol w:w="10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0"/>
            <w:vAlign w:val="center"/>
          </w:tcPr>
          <w:p>
            <w:pPr>
              <w:pStyle w:val="25"/>
              <w:bidi w:val="0"/>
              <w:rPr>
                <w:rFonts w:hint="eastAsia"/>
              </w:rPr>
            </w:pPr>
            <w:r>
              <w:rPr>
                <w:rFonts w:hint="eastAsia"/>
              </w:rPr>
              <w:t>序号</w:t>
            </w:r>
          </w:p>
        </w:tc>
        <w:tc>
          <w:tcPr>
            <w:tcW w:w="984" w:type="dxa"/>
            <w:shd w:val="clear" w:color="auto" w:fill="auto"/>
            <w:noWrap w:val="0"/>
            <w:vAlign w:val="center"/>
          </w:tcPr>
          <w:p>
            <w:pPr>
              <w:pStyle w:val="25"/>
              <w:bidi w:val="0"/>
              <w:rPr>
                <w:rFonts w:hint="eastAsia"/>
              </w:rPr>
            </w:pPr>
            <w:r>
              <w:rPr>
                <w:rFonts w:hint="eastAsia"/>
              </w:rPr>
              <w:t>流域</w:t>
            </w:r>
          </w:p>
        </w:tc>
        <w:tc>
          <w:tcPr>
            <w:tcW w:w="1182" w:type="dxa"/>
            <w:shd w:val="clear" w:color="auto" w:fill="auto"/>
            <w:noWrap w:val="0"/>
            <w:vAlign w:val="center"/>
          </w:tcPr>
          <w:p>
            <w:pPr>
              <w:pStyle w:val="25"/>
              <w:bidi w:val="0"/>
              <w:rPr>
                <w:rFonts w:hint="eastAsia"/>
              </w:rPr>
            </w:pPr>
            <w:r>
              <w:rPr>
                <w:rFonts w:hint="eastAsia"/>
              </w:rPr>
              <w:t>河段</w:t>
            </w:r>
          </w:p>
        </w:tc>
        <w:tc>
          <w:tcPr>
            <w:tcW w:w="1814" w:type="dxa"/>
            <w:shd w:val="clear" w:color="auto" w:fill="auto"/>
            <w:noWrap w:val="0"/>
            <w:vAlign w:val="center"/>
          </w:tcPr>
          <w:p>
            <w:pPr>
              <w:pStyle w:val="25"/>
              <w:bidi w:val="0"/>
              <w:rPr>
                <w:rFonts w:hint="eastAsia"/>
              </w:rPr>
            </w:pPr>
            <w:r>
              <w:rPr>
                <w:rFonts w:hint="eastAsia"/>
              </w:rPr>
              <w:t>位置</w:t>
            </w:r>
          </w:p>
        </w:tc>
        <w:tc>
          <w:tcPr>
            <w:tcW w:w="1944" w:type="dxa"/>
            <w:shd w:val="clear" w:color="auto" w:fill="auto"/>
            <w:noWrap w:val="0"/>
            <w:vAlign w:val="center"/>
          </w:tcPr>
          <w:p>
            <w:pPr>
              <w:pStyle w:val="25"/>
              <w:bidi w:val="0"/>
              <w:rPr>
                <w:rFonts w:hint="eastAsia"/>
              </w:rPr>
            </w:pPr>
            <w:r>
              <w:rPr>
                <w:rFonts w:hint="eastAsia"/>
              </w:rPr>
              <w:t>建筑物名称</w:t>
            </w:r>
          </w:p>
        </w:tc>
        <w:tc>
          <w:tcPr>
            <w:tcW w:w="1071" w:type="dxa"/>
            <w:shd w:val="clear" w:color="auto" w:fill="auto"/>
            <w:noWrap w:val="0"/>
            <w:vAlign w:val="center"/>
          </w:tcPr>
          <w:p>
            <w:pPr>
              <w:pStyle w:val="25"/>
              <w:bidi w:val="0"/>
              <w:rPr>
                <w:rFonts w:hint="eastAsia"/>
              </w:rPr>
            </w:pPr>
            <w:r>
              <w:rPr>
                <w:rFonts w:hint="eastAsia"/>
              </w:rPr>
              <w:t>结构特点</w:t>
            </w:r>
          </w:p>
        </w:tc>
        <w:tc>
          <w:tcPr>
            <w:tcW w:w="1071" w:type="dxa"/>
            <w:shd w:val="clear" w:color="auto" w:fill="auto"/>
            <w:noWrap w:val="0"/>
            <w:vAlign w:val="center"/>
          </w:tcPr>
          <w:p>
            <w:pPr>
              <w:pStyle w:val="25"/>
              <w:bidi w:val="0"/>
              <w:rPr>
                <w:rFonts w:hint="eastAsia"/>
              </w:rPr>
            </w:pPr>
            <w:r>
              <w:rPr>
                <w:rFonts w:hint="eastAsia"/>
              </w:rPr>
              <w:t>建设年代</w:t>
            </w:r>
          </w:p>
        </w:tc>
        <w:tc>
          <w:tcPr>
            <w:tcW w:w="1069" w:type="dxa"/>
            <w:shd w:val="clear" w:color="auto" w:fill="auto"/>
            <w:noWrap w:val="0"/>
            <w:vAlign w:val="center"/>
          </w:tcPr>
          <w:p>
            <w:pPr>
              <w:pStyle w:val="25"/>
              <w:bidi w:val="0"/>
              <w:rPr>
                <w:rFonts w:hint="eastAsia"/>
              </w:rPr>
            </w:pPr>
            <w:r>
              <w:rPr>
                <w:rFonts w:hint="eastAsia"/>
              </w:rPr>
              <w:t>是否损坏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1</w:t>
            </w:r>
          </w:p>
        </w:tc>
        <w:tc>
          <w:tcPr>
            <w:tcW w:w="984" w:type="dxa"/>
            <w:vMerge w:val="restart"/>
            <w:shd w:val="clear" w:color="auto" w:fill="auto"/>
            <w:noWrap/>
            <w:vAlign w:val="center"/>
          </w:tcPr>
          <w:p>
            <w:pPr>
              <w:pStyle w:val="25"/>
              <w:bidi w:val="0"/>
              <w:rPr>
                <w:rFonts w:hint="eastAsia"/>
              </w:rPr>
            </w:pPr>
            <w:r>
              <w:rPr>
                <w:rFonts w:hint="eastAsia"/>
              </w:rPr>
              <w:t>赤溪河</w:t>
            </w:r>
          </w:p>
        </w:tc>
        <w:tc>
          <w:tcPr>
            <w:tcW w:w="1182" w:type="dxa"/>
            <w:vMerge w:val="restart"/>
            <w:shd w:val="clear" w:color="auto" w:fill="auto"/>
            <w:noWrap w:val="0"/>
            <w:vAlign w:val="center"/>
          </w:tcPr>
          <w:p>
            <w:pPr>
              <w:pStyle w:val="25"/>
              <w:bidi w:val="0"/>
              <w:rPr>
                <w:rFonts w:hint="eastAsia"/>
              </w:rPr>
            </w:pPr>
            <w:r>
              <w:rPr>
                <w:rFonts w:hint="eastAsia"/>
              </w:rPr>
              <w:t>十直镇段</w:t>
            </w:r>
          </w:p>
        </w:tc>
        <w:tc>
          <w:tcPr>
            <w:tcW w:w="1814" w:type="dxa"/>
            <w:shd w:val="clear" w:color="auto" w:fill="auto"/>
            <w:noWrap w:val="0"/>
            <w:vAlign w:val="center"/>
          </w:tcPr>
          <w:p>
            <w:pPr>
              <w:pStyle w:val="25"/>
              <w:bidi w:val="0"/>
              <w:rPr>
                <w:rFonts w:hint="eastAsia"/>
              </w:rPr>
            </w:pPr>
            <w:r>
              <w:rPr>
                <w:rFonts w:hint="eastAsia"/>
              </w:rPr>
              <w:t>蒋家山村2社</w:t>
            </w:r>
          </w:p>
        </w:tc>
        <w:tc>
          <w:tcPr>
            <w:tcW w:w="1944" w:type="dxa"/>
            <w:shd w:val="clear" w:color="auto" w:fill="auto"/>
            <w:noWrap w:val="0"/>
            <w:vAlign w:val="center"/>
          </w:tcPr>
          <w:p>
            <w:pPr>
              <w:pStyle w:val="25"/>
              <w:bidi w:val="0"/>
              <w:rPr>
                <w:rFonts w:hint="eastAsia"/>
              </w:rPr>
            </w:pPr>
            <w:r>
              <w:rPr>
                <w:rFonts w:hint="eastAsia"/>
              </w:rPr>
              <w:t>白岩口电站拦河坝</w:t>
            </w:r>
          </w:p>
        </w:tc>
        <w:tc>
          <w:tcPr>
            <w:tcW w:w="1071" w:type="dxa"/>
            <w:shd w:val="clear" w:color="auto" w:fill="auto"/>
            <w:noWrap w:val="0"/>
            <w:vAlign w:val="center"/>
          </w:tcPr>
          <w:p>
            <w:pPr>
              <w:pStyle w:val="25"/>
              <w:bidi w:val="0"/>
              <w:rPr>
                <w:rFonts w:hint="eastAsia"/>
              </w:rPr>
            </w:pPr>
            <w:r>
              <w:rPr>
                <w:rFonts w:hint="eastAsia"/>
              </w:rPr>
              <w:t>石拱坝</w:t>
            </w:r>
          </w:p>
        </w:tc>
        <w:tc>
          <w:tcPr>
            <w:tcW w:w="1071" w:type="dxa"/>
            <w:shd w:val="clear" w:color="auto" w:fill="auto"/>
            <w:noWrap w:val="0"/>
            <w:vAlign w:val="center"/>
          </w:tcPr>
          <w:p>
            <w:pPr>
              <w:pStyle w:val="25"/>
              <w:bidi w:val="0"/>
              <w:rPr>
                <w:rFonts w:hint="eastAsia"/>
              </w:rPr>
            </w:pPr>
            <w:r>
              <w:rPr>
                <w:rFonts w:hint="eastAsia"/>
              </w:rPr>
              <w:t>1975年</w:t>
            </w:r>
          </w:p>
        </w:tc>
        <w:tc>
          <w:tcPr>
            <w:tcW w:w="1069" w:type="dxa"/>
            <w:shd w:val="clear" w:color="auto" w:fill="auto"/>
            <w:noWrap w:val="0"/>
            <w:vAlign w:val="center"/>
          </w:tcPr>
          <w:p>
            <w:pPr>
              <w:pStyle w:val="25"/>
              <w:bidi w:val="0"/>
              <w:rPr>
                <w:rFonts w:hint="eastAsia"/>
              </w:rPr>
            </w:pPr>
            <w:r>
              <w:rPr>
                <w:rFonts w:hint="eastAsia"/>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2</w:t>
            </w:r>
          </w:p>
        </w:tc>
        <w:tc>
          <w:tcPr>
            <w:tcW w:w="984" w:type="dxa"/>
            <w:vMerge w:val="continue"/>
            <w:shd w:val="clear" w:color="auto" w:fill="auto"/>
            <w:noWrap w:val="0"/>
            <w:vAlign w:val="center"/>
          </w:tcPr>
          <w:p>
            <w:pPr>
              <w:pStyle w:val="25"/>
              <w:bidi w:val="0"/>
              <w:rPr>
                <w:rFonts w:hint="eastAsia"/>
              </w:rPr>
            </w:pPr>
          </w:p>
        </w:tc>
        <w:tc>
          <w:tcPr>
            <w:tcW w:w="1182" w:type="dxa"/>
            <w:vMerge w:val="continue"/>
            <w:shd w:val="clear" w:color="auto" w:fill="auto"/>
            <w:noWrap w:val="0"/>
            <w:vAlign w:val="center"/>
          </w:tcPr>
          <w:p>
            <w:pPr>
              <w:pStyle w:val="25"/>
              <w:bidi w:val="0"/>
              <w:rPr>
                <w:rFonts w:hint="eastAsia"/>
              </w:rPr>
            </w:pPr>
          </w:p>
        </w:tc>
        <w:tc>
          <w:tcPr>
            <w:tcW w:w="1814" w:type="dxa"/>
            <w:shd w:val="clear" w:color="auto" w:fill="auto"/>
            <w:noWrap w:val="0"/>
            <w:vAlign w:val="center"/>
          </w:tcPr>
          <w:p>
            <w:pPr>
              <w:pStyle w:val="25"/>
              <w:bidi w:val="0"/>
              <w:rPr>
                <w:rFonts w:hint="eastAsia"/>
              </w:rPr>
            </w:pPr>
            <w:r>
              <w:rPr>
                <w:rFonts w:hint="eastAsia"/>
              </w:rPr>
              <w:t>莲花村2社</w:t>
            </w:r>
          </w:p>
        </w:tc>
        <w:tc>
          <w:tcPr>
            <w:tcW w:w="1944" w:type="dxa"/>
            <w:shd w:val="clear" w:color="auto" w:fill="auto"/>
            <w:noWrap w:val="0"/>
            <w:vAlign w:val="center"/>
          </w:tcPr>
          <w:p>
            <w:pPr>
              <w:pStyle w:val="25"/>
              <w:bidi w:val="0"/>
              <w:rPr>
                <w:rFonts w:hint="eastAsia"/>
              </w:rPr>
            </w:pPr>
            <w:r>
              <w:rPr>
                <w:rFonts w:hint="eastAsia"/>
              </w:rPr>
              <w:t>拦河坝</w:t>
            </w:r>
          </w:p>
        </w:tc>
        <w:tc>
          <w:tcPr>
            <w:tcW w:w="1071" w:type="dxa"/>
            <w:shd w:val="clear" w:color="auto" w:fill="auto"/>
            <w:noWrap w:val="0"/>
            <w:vAlign w:val="center"/>
          </w:tcPr>
          <w:p>
            <w:pPr>
              <w:pStyle w:val="25"/>
              <w:bidi w:val="0"/>
              <w:rPr>
                <w:rFonts w:hint="eastAsia"/>
              </w:rPr>
            </w:pPr>
            <w:r>
              <w:rPr>
                <w:rFonts w:hint="eastAsia"/>
              </w:rPr>
              <w:t>砼坝</w:t>
            </w:r>
          </w:p>
        </w:tc>
        <w:tc>
          <w:tcPr>
            <w:tcW w:w="1071" w:type="dxa"/>
            <w:shd w:val="clear" w:color="auto" w:fill="auto"/>
            <w:noWrap w:val="0"/>
            <w:vAlign w:val="center"/>
          </w:tcPr>
          <w:p>
            <w:pPr>
              <w:pStyle w:val="25"/>
              <w:bidi w:val="0"/>
              <w:rPr>
                <w:rFonts w:hint="eastAsia"/>
              </w:rPr>
            </w:pPr>
            <w:r>
              <w:rPr>
                <w:rFonts w:hint="eastAsia"/>
              </w:rPr>
              <w:t>2016</w:t>
            </w:r>
          </w:p>
        </w:tc>
        <w:tc>
          <w:tcPr>
            <w:tcW w:w="1069" w:type="dxa"/>
            <w:shd w:val="clear" w:color="auto" w:fill="auto"/>
            <w:noWrap w:val="0"/>
            <w:vAlign w:val="center"/>
          </w:tcPr>
          <w:p>
            <w:pPr>
              <w:pStyle w:val="25"/>
              <w:bidi w:val="0"/>
              <w:rPr>
                <w:rFonts w:hint="eastAsia"/>
              </w:rPr>
            </w:pPr>
            <w:r>
              <w:rPr>
                <w:rFonts w:hint="eastAsia"/>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3</w:t>
            </w:r>
          </w:p>
        </w:tc>
        <w:tc>
          <w:tcPr>
            <w:tcW w:w="984" w:type="dxa"/>
            <w:vMerge w:val="continue"/>
            <w:shd w:val="clear" w:color="auto" w:fill="auto"/>
            <w:noWrap w:val="0"/>
            <w:vAlign w:val="center"/>
          </w:tcPr>
          <w:p>
            <w:pPr>
              <w:pStyle w:val="25"/>
              <w:bidi w:val="0"/>
              <w:rPr>
                <w:rFonts w:hint="eastAsia"/>
              </w:rPr>
            </w:pPr>
          </w:p>
        </w:tc>
        <w:tc>
          <w:tcPr>
            <w:tcW w:w="1182" w:type="dxa"/>
            <w:vMerge w:val="continue"/>
            <w:shd w:val="clear" w:color="auto" w:fill="auto"/>
            <w:noWrap w:val="0"/>
            <w:vAlign w:val="center"/>
          </w:tcPr>
          <w:p>
            <w:pPr>
              <w:pStyle w:val="25"/>
              <w:bidi w:val="0"/>
              <w:rPr>
                <w:rFonts w:hint="eastAsia"/>
              </w:rPr>
            </w:pPr>
          </w:p>
        </w:tc>
        <w:tc>
          <w:tcPr>
            <w:tcW w:w="1814" w:type="dxa"/>
            <w:shd w:val="clear" w:color="auto" w:fill="auto"/>
            <w:noWrap w:val="0"/>
            <w:vAlign w:val="center"/>
          </w:tcPr>
          <w:p>
            <w:pPr>
              <w:pStyle w:val="25"/>
              <w:bidi w:val="0"/>
              <w:rPr>
                <w:rFonts w:hint="eastAsia"/>
              </w:rPr>
            </w:pPr>
            <w:r>
              <w:rPr>
                <w:rFonts w:hint="eastAsia"/>
              </w:rPr>
              <w:t>莲花村2社</w:t>
            </w:r>
          </w:p>
        </w:tc>
        <w:tc>
          <w:tcPr>
            <w:tcW w:w="1944" w:type="dxa"/>
            <w:shd w:val="clear" w:color="auto" w:fill="auto"/>
            <w:noWrap w:val="0"/>
            <w:vAlign w:val="center"/>
          </w:tcPr>
          <w:p>
            <w:pPr>
              <w:pStyle w:val="25"/>
              <w:bidi w:val="0"/>
              <w:rPr>
                <w:rFonts w:hint="eastAsia"/>
              </w:rPr>
            </w:pPr>
            <w:r>
              <w:rPr>
                <w:rFonts w:hint="eastAsia"/>
              </w:rPr>
              <w:t>公路桥</w:t>
            </w:r>
          </w:p>
        </w:tc>
        <w:tc>
          <w:tcPr>
            <w:tcW w:w="1071" w:type="dxa"/>
            <w:shd w:val="clear" w:color="auto" w:fill="auto"/>
            <w:noWrap w:val="0"/>
            <w:vAlign w:val="center"/>
          </w:tcPr>
          <w:p>
            <w:pPr>
              <w:pStyle w:val="25"/>
              <w:bidi w:val="0"/>
              <w:rPr>
                <w:rFonts w:hint="eastAsia"/>
              </w:rPr>
            </w:pPr>
            <w:r>
              <w:rPr>
                <w:rFonts w:hint="eastAsia"/>
              </w:rPr>
              <w:t>砼</w:t>
            </w:r>
          </w:p>
        </w:tc>
        <w:tc>
          <w:tcPr>
            <w:tcW w:w="1071" w:type="dxa"/>
            <w:shd w:val="clear" w:color="auto" w:fill="auto"/>
            <w:noWrap w:val="0"/>
            <w:vAlign w:val="center"/>
          </w:tcPr>
          <w:p>
            <w:pPr>
              <w:pStyle w:val="25"/>
              <w:bidi w:val="0"/>
              <w:rPr>
                <w:rFonts w:hint="eastAsia"/>
              </w:rPr>
            </w:pPr>
            <w:r>
              <w:rPr>
                <w:rFonts w:hint="eastAsia"/>
              </w:rPr>
              <w:t>2017</w:t>
            </w:r>
          </w:p>
        </w:tc>
        <w:tc>
          <w:tcPr>
            <w:tcW w:w="1069" w:type="dxa"/>
            <w:shd w:val="clear" w:color="auto" w:fill="auto"/>
            <w:noWrap w:val="0"/>
            <w:vAlign w:val="center"/>
          </w:tcPr>
          <w:p>
            <w:pPr>
              <w:pStyle w:val="25"/>
              <w:bidi w:val="0"/>
              <w:rPr>
                <w:rFonts w:hint="eastAsia"/>
              </w:rPr>
            </w:pPr>
            <w:r>
              <w:rPr>
                <w:rFonts w:hint="eastAsia"/>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4</w:t>
            </w:r>
          </w:p>
        </w:tc>
        <w:tc>
          <w:tcPr>
            <w:tcW w:w="984" w:type="dxa"/>
            <w:vMerge w:val="continue"/>
            <w:shd w:val="clear" w:color="auto" w:fill="auto"/>
            <w:noWrap w:val="0"/>
            <w:vAlign w:val="center"/>
          </w:tcPr>
          <w:p>
            <w:pPr>
              <w:pStyle w:val="25"/>
              <w:bidi w:val="0"/>
              <w:rPr>
                <w:rFonts w:hint="eastAsia"/>
              </w:rPr>
            </w:pPr>
          </w:p>
        </w:tc>
        <w:tc>
          <w:tcPr>
            <w:tcW w:w="1182" w:type="dxa"/>
            <w:vMerge w:val="continue"/>
            <w:shd w:val="clear" w:color="auto" w:fill="auto"/>
            <w:noWrap w:val="0"/>
            <w:vAlign w:val="center"/>
          </w:tcPr>
          <w:p>
            <w:pPr>
              <w:pStyle w:val="25"/>
              <w:bidi w:val="0"/>
              <w:rPr>
                <w:rFonts w:hint="eastAsia"/>
              </w:rPr>
            </w:pPr>
          </w:p>
        </w:tc>
        <w:tc>
          <w:tcPr>
            <w:tcW w:w="1814" w:type="dxa"/>
            <w:shd w:val="clear" w:color="auto" w:fill="auto"/>
            <w:noWrap w:val="0"/>
            <w:vAlign w:val="center"/>
          </w:tcPr>
          <w:p>
            <w:pPr>
              <w:pStyle w:val="25"/>
              <w:bidi w:val="0"/>
              <w:rPr>
                <w:rFonts w:hint="eastAsia"/>
              </w:rPr>
            </w:pPr>
            <w:r>
              <w:rPr>
                <w:rFonts w:hint="eastAsia"/>
              </w:rPr>
              <w:t>新屋村3社</w:t>
            </w:r>
          </w:p>
        </w:tc>
        <w:tc>
          <w:tcPr>
            <w:tcW w:w="1944" w:type="dxa"/>
            <w:shd w:val="clear" w:color="auto" w:fill="auto"/>
            <w:noWrap w:val="0"/>
            <w:vAlign w:val="center"/>
          </w:tcPr>
          <w:p>
            <w:pPr>
              <w:pStyle w:val="25"/>
              <w:bidi w:val="0"/>
              <w:rPr>
                <w:rFonts w:hint="eastAsia"/>
              </w:rPr>
            </w:pPr>
            <w:r>
              <w:rPr>
                <w:rFonts w:hint="eastAsia"/>
              </w:rPr>
              <w:t>水磨洞电站拦河坝</w:t>
            </w:r>
          </w:p>
        </w:tc>
        <w:tc>
          <w:tcPr>
            <w:tcW w:w="1071" w:type="dxa"/>
            <w:shd w:val="clear" w:color="auto" w:fill="auto"/>
            <w:noWrap w:val="0"/>
            <w:vAlign w:val="center"/>
          </w:tcPr>
          <w:p>
            <w:pPr>
              <w:pStyle w:val="25"/>
              <w:bidi w:val="0"/>
              <w:rPr>
                <w:rFonts w:hint="eastAsia"/>
              </w:rPr>
            </w:pPr>
            <w:r>
              <w:rPr>
                <w:rFonts w:hint="eastAsia"/>
              </w:rPr>
              <w:t>石拱坝</w:t>
            </w:r>
          </w:p>
        </w:tc>
        <w:tc>
          <w:tcPr>
            <w:tcW w:w="1071" w:type="dxa"/>
            <w:shd w:val="clear" w:color="auto" w:fill="auto"/>
            <w:noWrap w:val="0"/>
            <w:vAlign w:val="center"/>
          </w:tcPr>
          <w:p>
            <w:pPr>
              <w:pStyle w:val="25"/>
              <w:bidi w:val="0"/>
              <w:rPr>
                <w:rFonts w:hint="eastAsia"/>
              </w:rPr>
            </w:pPr>
            <w:r>
              <w:rPr>
                <w:rFonts w:hint="eastAsia"/>
              </w:rPr>
              <w:t>1980</w:t>
            </w:r>
          </w:p>
        </w:tc>
        <w:tc>
          <w:tcPr>
            <w:tcW w:w="1069" w:type="dxa"/>
            <w:shd w:val="clear" w:color="auto" w:fill="auto"/>
            <w:noWrap w:val="0"/>
            <w:vAlign w:val="center"/>
          </w:tcPr>
          <w:p>
            <w:pPr>
              <w:pStyle w:val="25"/>
              <w:bidi w:val="0"/>
              <w:rPr>
                <w:rFonts w:hint="eastAsia"/>
              </w:rPr>
            </w:pPr>
            <w:r>
              <w:rPr>
                <w:rFonts w:hint="eastAsia"/>
              </w:rPr>
              <w:t>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5</w:t>
            </w:r>
          </w:p>
        </w:tc>
        <w:tc>
          <w:tcPr>
            <w:tcW w:w="984" w:type="dxa"/>
            <w:vMerge w:val="continue"/>
            <w:shd w:val="clear" w:color="auto" w:fill="auto"/>
            <w:noWrap w:val="0"/>
            <w:vAlign w:val="center"/>
          </w:tcPr>
          <w:p>
            <w:pPr>
              <w:pStyle w:val="25"/>
              <w:bidi w:val="0"/>
              <w:rPr>
                <w:rFonts w:hint="eastAsia"/>
              </w:rPr>
            </w:pPr>
          </w:p>
        </w:tc>
        <w:tc>
          <w:tcPr>
            <w:tcW w:w="1182" w:type="dxa"/>
            <w:vMerge w:val="restart"/>
            <w:shd w:val="clear" w:color="auto" w:fill="auto"/>
            <w:noWrap/>
            <w:vAlign w:val="center"/>
          </w:tcPr>
          <w:p>
            <w:pPr>
              <w:pStyle w:val="25"/>
              <w:bidi w:val="0"/>
              <w:rPr>
                <w:rFonts w:hint="eastAsia"/>
              </w:rPr>
            </w:pPr>
            <w:r>
              <w:rPr>
                <w:rFonts w:hint="eastAsia"/>
              </w:rPr>
              <w:t>树人镇段</w:t>
            </w:r>
          </w:p>
        </w:tc>
        <w:tc>
          <w:tcPr>
            <w:tcW w:w="1814" w:type="dxa"/>
            <w:shd w:val="clear" w:color="auto" w:fill="auto"/>
            <w:noWrap w:val="0"/>
            <w:vAlign w:val="center"/>
          </w:tcPr>
          <w:p>
            <w:pPr>
              <w:pStyle w:val="25"/>
              <w:bidi w:val="0"/>
              <w:rPr>
                <w:rFonts w:hint="eastAsia"/>
              </w:rPr>
            </w:pPr>
            <w:r>
              <w:rPr>
                <w:rFonts w:hint="eastAsia"/>
              </w:rPr>
              <w:t>万寿桥村1社</w:t>
            </w:r>
          </w:p>
        </w:tc>
        <w:tc>
          <w:tcPr>
            <w:tcW w:w="1944" w:type="dxa"/>
            <w:shd w:val="clear" w:color="auto" w:fill="auto"/>
            <w:noWrap w:val="0"/>
            <w:vAlign w:val="center"/>
          </w:tcPr>
          <w:p>
            <w:pPr>
              <w:pStyle w:val="25"/>
              <w:bidi w:val="0"/>
              <w:rPr>
                <w:rFonts w:hint="eastAsia"/>
              </w:rPr>
            </w:pPr>
            <w:r>
              <w:rPr>
                <w:rFonts w:hint="eastAsia"/>
              </w:rPr>
              <w:t>盐井沟桥</w:t>
            </w:r>
          </w:p>
        </w:tc>
        <w:tc>
          <w:tcPr>
            <w:tcW w:w="1071" w:type="dxa"/>
            <w:shd w:val="clear" w:color="auto" w:fill="auto"/>
            <w:noWrap w:val="0"/>
            <w:vAlign w:val="center"/>
          </w:tcPr>
          <w:p>
            <w:pPr>
              <w:pStyle w:val="25"/>
              <w:bidi w:val="0"/>
              <w:rPr>
                <w:rFonts w:hint="eastAsia"/>
              </w:rPr>
            </w:pPr>
            <w:r>
              <w:rPr>
                <w:rFonts w:hint="eastAsia"/>
              </w:rPr>
              <w:t>石拱桥</w:t>
            </w:r>
          </w:p>
        </w:tc>
        <w:tc>
          <w:tcPr>
            <w:tcW w:w="1071" w:type="dxa"/>
            <w:shd w:val="clear" w:color="auto" w:fill="auto"/>
            <w:noWrap w:val="0"/>
            <w:vAlign w:val="center"/>
          </w:tcPr>
          <w:p>
            <w:pPr>
              <w:pStyle w:val="25"/>
              <w:bidi w:val="0"/>
              <w:rPr>
                <w:rFonts w:hint="eastAsia"/>
              </w:rPr>
            </w:pPr>
            <w:r>
              <w:rPr>
                <w:rFonts w:hint="eastAsia"/>
              </w:rPr>
              <w:t>2010</w:t>
            </w:r>
          </w:p>
        </w:tc>
        <w:tc>
          <w:tcPr>
            <w:tcW w:w="1069" w:type="dxa"/>
            <w:shd w:val="clear" w:color="auto" w:fill="auto"/>
            <w:noWrap w:val="0"/>
            <w:vAlign w:val="center"/>
          </w:tcPr>
          <w:p>
            <w:pPr>
              <w:pStyle w:val="25"/>
              <w:bidi w:val="0"/>
              <w:rPr>
                <w:rFonts w:hint="eastAsia"/>
              </w:rPr>
            </w:pPr>
            <w:r>
              <w:rPr>
                <w:rFonts w:hint="eastAsia"/>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6</w:t>
            </w:r>
          </w:p>
        </w:tc>
        <w:tc>
          <w:tcPr>
            <w:tcW w:w="984" w:type="dxa"/>
            <w:vMerge w:val="continue"/>
            <w:shd w:val="clear" w:color="auto" w:fill="auto"/>
            <w:noWrap w:val="0"/>
            <w:vAlign w:val="center"/>
          </w:tcPr>
          <w:p>
            <w:pPr>
              <w:pStyle w:val="25"/>
              <w:bidi w:val="0"/>
              <w:rPr>
                <w:rFonts w:hint="eastAsia"/>
              </w:rPr>
            </w:pPr>
          </w:p>
        </w:tc>
        <w:tc>
          <w:tcPr>
            <w:tcW w:w="1182" w:type="dxa"/>
            <w:vMerge w:val="continue"/>
            <w:shd w:val="clear" w:color="auto" w:fill="auto"/>
            <w:noWrap w:val="0"/>
            <w:vAlign w:val="center"/>
          </w:tcPr>
          <w:p>
            <w:pPr>
              <w:pStyle w:val="25"/>
              <w:bidi w:val="0"/>
              <w:rPr>
                <w:rFonts w:hint="eastAsia"/>
              </w:rPr>
            </w:pPr>
          </w:p>
        </w:tc>
        <w:tc>
          <w:tcPr>
            <w:tcW w:w="1814" w:type="dxa"/>
            <w:shd w:val="clear" w:color="auto" w:fill="auto"/>
            <w:noWrap w:val="0"/>
            <w:vAlign w:val="center"/>
          </w:tcPr>
          <w:p>
            <w:pPr>
              <w:pStyle w:val="25"/>
              <w:bidi w:val="0"/>
              <w:rPr>
                <w:rFonts w:hint="eastAsia"/>
              </w:rPr>
            </w:pPr>
            <w:r>
              <w:rPr>
                <w:rFonts w:hint="eastAsia"/>
              </w:rPr>
              <w:t>万寿桥村1社</w:t>
            </w:r>
          </w:p>
        </w:tc>
        <w:tc>
          <w:tcPr>
            <w:tcW w:w="1944" w:type="dxa"/>
            <w:shd w:val="clear" w:color="auto" w:fill="auto"/>
            <w:noWrap w:val="0"/>
            <w:vAlign w:val="center"/>
          </w:tcPr>
          <w:p>
            <w:pPr>
              <w:pStyle w:val="25"/>
              <w:bidi w:val="0"/>
              <w:rPr>
                <w:rFonts w:hint="eastAsia"/>
              </w:rPr>
            </w:pPr>
            <w:r>
              <w:rPr>
                <w:rFonts w:hint="eastAsia"/>
              </w:rPr>
              <w:t>麻坝桥</w:t>
            </w:r>
          </w:p>
        </w:tc>
        <w:tc>
          <w:tcPr>
            <w:tcW w:w="1071" w:type="dxa"/>
            <w:shd w:val="clear" w:color="auto" w:fill="auto"/>
            <w:noWrap w:val="0"/>
            <w:vAlign w:val="center"/>
          </w:tcPr>
          <w:p>
            <w:pPr>
              <w:pStyle w:val="25"/>
              <w:bidi w:val="0"/>
              <w:rPr>
                <w:rFonts w:hint="eastAsia"/>
              </w:rPr>
            </w:pPr>
            <w:r>
              <w:rPr>
                <w:rFonts w:hint="eastAsia"/>
              </w:rPr>
              <w:t>石拱桥</w:t>
            </w:r>
          </w:p>
        </w:tc>
        <w:tc>
          <w:tcPr>
            <w:tcW w:w="1071" w:type="dxa"/>
            <w:shd w:val="clear" w:color="auto" w:fill="auto"/>
            <w:noWrap w:val="0"/>
            <w:vAlign w:val="center"/>
          </w:tcPr>
          <w:p>
            <w:pPr>
              <w:pStyle w:val="25"/>
              <w:bidi w:val="0"/>
              <w:rPr>
                <w:rFonts w:hint="eastAsia"/>
              </w:rPr>
            </w:pPr>
            <w:r>
              <w:rPr>
                <w:rFonts w:hint="eastAsia"/>
              </w:rPr>
              <w:t>1988</w:t>
            </w:r>
          </w:p>
        </w:tc>
        <w:tc>
          <w:tcPr>
            <w:tcW w:w="1069" w:type="dxa"/>
            <w:shd w:val="clear" w:color="auto" w:fill="auto"/>
            <w:noWrap w:val="0"/>
            <w:vAlign w:val="center"/>
          </w:tcPr>
          <w:p>
            <w:pPr>
              <w:pStyle w:val="25"/>
              <w:bidi w:val="0"/>
              <w:rPr>
                <w:rFonts w:hint="eastAsia"/>
              </w:rPr>
            </w:pPr>
            <w:r>
              <w:rPr>
                <w:rFonts w:hint="eastAsia"/>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7</w:t>
            </w:r>
          </w:p>
        </w:tc>
        <w:tc>
          <w:tcPr>
            <w:tcW w:w="984" w:type="dxa"/>
            <w:vMerge w:val="continue"/>
            <w:shd w:val="clear" w:color="auto" w:fill="auto"/>
            <w:noWrap w:val="0"/>
            <w:vAlign w:val="center"/>
          </w:tcPr>
          <w:p>
            <w:pPr>
              <w:pStyle w:val="25"/>
              <w:bidi w:val="0"/>
              <w:rPr>
                <w:rFonts w:hint="eastAsia"/>
              </w:rPr>
            </w:pPr>
          </w:p>
        </w:tc>
        <w:tc>
          <w:tcPr>
            <w:tcW w:w="1182" w:type="dxa"/>
            <w:vMerge w:val="continue"/>
            <w:shd w:val="clear" w:color="auto" w:fill="auto"/>
            <w:noWrap w:val="0"/>
            <w:vAlign w:val="center"/>
          </w:tcPr>
          <w:p>
            <w:pPr>
              <w:pStyle w:val="25"/>
              <w:bidi w:val="0"/>
              <w:rPr>
                <w:rFonts w:hint="eastAsia"/>
              </w:rPr>
            </w:pPr>
          </w:p>
        </w:tc>
        <w:tc>
          <w:tcPr>
            <w:tcW w:w="1814" w:type="dxa"/>
            <w:shd w:val="clear" w:color="auto" w:fill="auto"/>
            <w:noWrap w:val="0"/>
            <w:vAlign w:val="center"/>
          </w:tcPr>
          <w:p>
            <w:pPr>
              <w:pStyle w:val="25"/>
              <w:bidi w:val="0"/>
              <w:rPr>
                <w:rFonts w:hint="eastAsia"/>
              </w:rPr>
            </w:pPr>
            <w:r>
              <w:rPr>
                <w:rFonts w:hint="eastAsia"/>
              </w:rPr>
              <w:t>万寿桥村2社</w:t>
            </w:r>
          </w:p>
        </w:tc>
        <w:tc>
          <w:tcPr>
            <w:tcW w:w="1944" w:type="dxa"/>
            <w:shd w:val="clear" w:color="auto" w:fill="auto"/>
            <w:noWrap w:val="0"/>
            <w:vAlign w:val="center"/>
          </w:tcPr>
          <w:p>
            <w:pPr>
              <w:pStyle w:val="25"/>
              <w:bidi w:val="0"/>
              <w:rPr>
                <w:rFonts w:hint="eastAsia"/>
              </w:rPr>
            </w:pPr>
            <w:r>
              <w:rPr>
                <w:rFonts w:hint="eastAsia"/>
              </w:rPr>
              <w:t>土塘坝桥</w:t>
            </w:r>
          </w:p>
        </w:tc>
        <w:tc>
          <w:tcPr>
            <w:tcW w:w="1071" w:type="dxa"/>
            <w:shd w:val="clear" w:color="auto" w:fill="auto"/>
            <w:noWrap w:val="0"/>
            <w:vAlign w:val="center"/>
          </w:tcPr>
          <w:p>
            <w:pPr>
              <w:pStyle w:val="25"/>
              <w:bidi w:val="0"/>
              <w:rPr>
                <w:rFonts w:hint="eastAsia"/>
              </w:rPr>
            </w:pPr>
            <w:r>
              <w:rPr>
                <w:rFonts w:hint="eastAsia"/>
              </w:rPr>
              <w:t>石拱桥</w:t>
            </w:r>
          </w:p>
        </w:tc>
        <w:tc>
          <w:tcPr>
            <w:tcW w:w="1071" w:type="dxa"/>
            <w:shd w:val="clear" w:color="auto" w:fill="auto"/>
            <w:noWrap w:val="0"/>
            <w:vAlign w:val="center"/>
          </w:tcPr>
          <w:p>
            <w:pPr>
              <w:pStyle w:val="25"/>
              <w:bidi w:val="0"/>
              <w:rPr>
                <w:rFonts w:hint="eastAsia"/>
              </w:rPr>
            </w:pPr>
            <w:r>
              <w:rPr>
                <w:rFonts w:hint="eastAsia"/>
              </w:rPr>
              <w:t>2010</w:t>
            </w:r>
          </w:p>
        </w:tc>
        <w:tc>
          <w:tcPr>
            <w:tcW w:w="1069" w:type="dxa"/>
            <w:shd w:val="clear" w:color="auto" w:fill="auto"/>
            <w:noWrap w:val="0"/>
            <w:vAlign w:val="center"/>
          </w:tcPr>
          <w:p>
            <w:pPr>
              <w:pStyle w:val="25"/>
              <w:bidi w:val="0"/>
              <w:rPr>
                <w:rFonts w:hint="eastAsia"/>
              </w:rPr>
            </w:pPr>
            <w:r>
              <w:rPr>
                <w:rFonts w:hint="eastAsia"/>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8</w:t>
            </w:r>
          </w:p>
        </w:tc>
        <w:tc>
          <w:tcPr>
            <w:tcW w:w="984" w:type="dxa"/>
            <w:vMerge w:val="continue"/>
            <w:shd w:val="clear" w:color="auto" w:fill="auto"/>
            <w:noWrap w:val="0"/>
            <w:vAlign w:val="center"/>
          </w:tcPr>
          <w:p>
            <w:pPr>
              <w:pStyle w:val="25"/>
              <w:bidi w:val="0"/>
              <w:rPr>
                <w:rFonts w:hint="eastAsia"/>
              </w:rPr>
            </w:pPr>
          </w:p>
        </w:tc>
        <w:tc>
          <w:tcPr>
            <w:tcW w:w="1182" w:type="dxa"/>
            <w:vMerge w:val="continue"/>
            <w:shd w:val="clear" w:color="auto" w:fill="auto"/>
            <w:noWrap w:val="0"/>
            <w:vAlign w:val="center"/>
          </w:tcPr>
          <w:p>
            <w:pPr>
              <w:pStyle w:val="25"/>
              <w:bidi w:val="0"/>
              <w:rPr>
                <w:rFonts w:hint="eastAsia"/>
              </w:rPr>
            </w:pPr>
          </w:p>
        </w:tc>
        <w:tc>
          <w:tcPr>
            <w:tcW w:w="1814" w:type="dxa"/>
            <w:shd w:val="clear" w:color="auto" w:fill="auto"/>
            <w:noWrap w:val="0"/>
            <w:vAlign w:val="center"/>
          </w:tcPr>
          <w:p>
            <w:pPr>
              <w:pStyle w:val="25"/>
              <w:bidi w:val="0"/>
              <w:rPr>
                <w:rFonts w:hint="eastAsia"/>
              </w:rPr>
            </w:pPr>
            <w:r>
              <w:rPr>
                <w:rFonts w:hint="eastAsia"/>
              </w:rPr>
              <w:t>万寿桥村2社</w:t>
            </w:r>
          </w:p>
        </w:tc>
        <w:tc>
          <w:tcPr>
            <w:tcW w:w="1944" w:type="dxa"/>
            <w:shd w:val="clear" w:color="auto" w:fill="auto"/>
            <w:noWrap w:val="0"/>
            <w:vAlign w:val="center"/>
          </w:tcPr>
          <w:p>
            <w:pPr>
              <w:pStyle w:val="25"/>
              <w:bidi w:val="0"/>
              <w:rPr>
                <w:rFonts w:hint="eastAsia"/>
              </w:rPr>
            </w:pPr>
            <w:r>
              <w:rPr>
                <w:rFonts w:hint="eastAsia"/>
              </w:rPr>
              <w:t>黄岭嘴拦河堰</w:t>
            </w:r>
          </w:p>
        </w:tc>
        <w:tc>
          <w:tcPr>
            <w:tcW w:w="1071" w:type="dxa"/>
            <w:shd w:val="clear" w:color="auto" w:fill="auto"/>
            <w:noWrap w:val="0"/>
            <w:vAlign w:val="center"/>
          </w:tcPr>
          <w:p>
            <w:pPr>
              <w:pStyle w:val="25"/>
              <w:bidi w:val="0"/>
              <w:rPr>
                <w:rFonts w:hint="eastAsia"/>
              </w:rPr>
            </w:pPr>
            <w:r>
              <w:rPr>
                <w:rFonts w:hint="eastAsia"/>
              </w:rPr>
              <w:t>拦河堰</w:t>
            </w:r>
          </w:p>
        </w:tc>
        <w:tc>
          <w:tcPr>
            <w:tcW w:w="1071" w:type="dxa"/>
            <w:shd w:val="clear" w:color="auto" w:fill="auto"/>
            <w:noWrap w:val="0"/>
            <w:vAlign w:val="center"/>
          </w:tcPr>
          <w:p>
            <w:pPr>
              <w:pStyle w:val="25"/>
              <w:bidi w:val="0"/>
              <w:rPr>
                <w:rFonts w:hint="eastAsia"/>
              </w:rPr>
            </w:pPr>
            <w:r>
              <w:rPr>
                <w:rFonts w:hint="eastAsia"/>
              </w:rPr>
              <w:t>1979</w:t>
            </w:r>
          </w:p>
        </w:tc>
        <w:tc>
          <w:tcPr>
            <w:tcW w:w="1069" w:type="dxa"/>
            <w:shd w:val="clear" w:color="auto" w:fill="auto"/>
            <w:noWrap w:val="0"/>
            <w:vAlign w:val="center"/>
          </w:tcPr>
          <w:p>
            <w:pPr>
              <w:pStyle w:val="25"/>
              <w:bidi w:val="0"/>
              <w:rPr>
                <w:rFonts w:hint="eastAsia"/>
              </w:rPr>
            </w:pPr>
            <w:r>
              <w:rPr>
                <w:rFonts w:hint="eastAsia"/>
              </w:rPr>
              <w:t>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9</w:t>
            </w:r>
          </w:p>
        </w:tc>
        <w:tc>
          <w:tcPr>
            <w:tcW w:w="984" w:type="dxa"/>
            <w:vMerge w:val="continue"/>
            <w:shd w:val="clear" w:color="auto" w:fill="auto"/>
            <w:noWrap w:val="0"/>
            <w:vAlign w:val="center"/>
          </w:tcPr>
          <w:p>
            <w:pPr>
              <w:pStyle w:val="25"/>
              <w:bidi w:val="0"/>
              <w:rPr>
                <w:rFonts w:hint="eastAsia"/>
              </w:rPr>
            </w:pPr>
          </w:p>
        </w:tc>
        <w:tc>
          <w:tcPr>
            <w:tcW w:w="1182" w:type="dxa"/>
            <w:vMerge w:val="continue"/>
            <w:shd w:val="clear" w:color="auto" w:fill="auto"/>
            <w:noWrap w:val="0"/>
            <w:vAlign w:val="center"/>
          </w:tcPr>
          <w:p>
            <w:pPr>
              <w:pStyle w:val="25"/>
              <w:bidi w:val="0"/>
              <w:rPr>
                <w:rFonts w:hint="eastAsia"/>
              </w:rPr>
            </w:pPr>
          </w:p>
        </w:tc>
        <w:tc>
          <w:tcPr>
            <w:tcW w:w="1814" w:type="dxa"/>
            <w:shd w:val="clear" w:color="auto" w:fill="auto"/>
            <w:noWrap w:val="0"/>
            <w:vAlign w:val="center"/>
          </w:tcPr>
          <w:p>
            <w:pPr>
              <w:pStyle w:val="25"/>
              <w:bidi w:val="0"/>
              <w:rPr>
                <w:rFonts w:hint="eastAsia"/>
              </w:rPr>
            </w:pPr>
            <w:r>
              <w:rPr>
                <w:rFonts w:hint="eastAsia"/>
              </w:rPr>
              <w:t>万寿桥村3社</w:t>
            </w:r>
          </w:p>
        </w:tc>
        <w:tc>
          <w:tcPr>
            <w:tcW w:w="1944" w:type="dxa"/>
            <w:shd w:val="clear" w:color="auto" w:fill="auto"/>
            <w:noWrap w:val="0"/>
            <w:vAlign w:val="center"/>
          </w:tcPr>
          <w:p>
            <w:pPr>
              <w:pStyle w:val="25"/>
              <w:bidi w:val="0"/>
              <w:rPr>
                <w:rFonts w:hint="eastAsia"/>
              </w:rPr>
            </w:pPr>
            <w:r>
              <w:rPr>
                <w:rFonts w:hint="eastAsia"/>
              </w:rPr>
              <w:t>黄滚凼拦河堰</w:t>
            </w:r>
          </w:p>
        </w:tc>
        <w:tc>
          <w:tcPr>
            <w:tcW w:w="1071" w:type="dxa"/>
            <w:shd w:val="clear" w:color="auto" w:fill="auto"/>
            <w:noWrap w:val="0"/>
            <w:vAlign w:val="center"/>
          </w:tcPr>
          <w:p>
            <w:pPr>
              <w:pStyle w:val="25"/>
              <w:bidi w:val="0"/>
              <w:rPr>
                <w:rFonts w:hint="eastAsia"/>
              </w:rPr>
            </w:pPr>
            <w:r>
              <w:rPr>
                <w:rFonts w:hint="eastAsia"/>
              </w:rPr>
              <w:t>拦河堰</w:t>
            </w:r>
          </w:p>
        </w:tc>
        <w:tc>
          <w:tcPr>
            <w:tcW w:w="1071" w:type="dxa"/>
            <w:shd w:val="clear" w:color="auto" w:fill="auto"/>
            <w:noWrap w:val="0"/>
            <w:vAlign w:val="center"/>
          </w:tcPr>
          <w:p>
            <w:pPr>
              <w:pStyle w:val="25"/>
              <w:bidi w:val="0"/>
              <w:rPr>
                <w:rFonts w:hint="eastAsia"/>
              </w:rPr>
            </w:pPr>
            <w:r>
              <w:rPr>
                <w:rFonts w:hint="eastAsia"/>
              </w:rPr>
              <w:t>1965</w:t>
            </w:r>
          </w:p>
        </w:tc>
        <w:tc>
          <w:tcPr>
            <w:tcW w:w="1069" w:type="dxa"/>
            <w:shd w:val="clear" w:color="auto" w:fill="auto"/>
            <w:noWrap w:val="0"/>
            <w:vAlign w:val="center"/>
          </w:tcPr>
          <w:p>
            <w:pPr>
              <w:pStyle w:val="25"/>
              <w:bidi w:val="0"/>
              <w:rPr>
                <w:rFonts w:hint="eastAsia"/>
              </w:rPr>
            </w:pPr>
            <w:r>
              <w:rPr>
                <w:rFonts w:hint="eastAsia"/>
              </w:rPr>
              <w:t>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10</w:t>
            </w:r>
          </w:p>
        </w:tc>
        <w:tc>
          <w:tcPr>
            <w:tcW w:w="984" w:type="dxa"/>
            <w:vMerge w:val="continue"/>
            <w:shd w:val="clear" w:color="auto" w:fill="auto"/>
            <w:noWrap w:val="0"/>
            <w:vAlign w:val="center"/>
          </w:tcPr>
          <w:p>
            <w:pPr>
              <w:pStyle w:val="25"/>
              <w:bidi w:val="0"/>
              <w:rPr>
                <w:rFonts w:hint="eastAsia"/>
              </w:rPr>
            </w:pPr>
          </w:p>
        </w:tc>
        <w:tc>
          <w:tcPr>
            <w:tcW w:w="1182" w:type="dxa"/>
            <w:vMerge w:val="continue"/>
            <w:shd w:val="clear" w:color="auto" w:fill="auto"/>
            <w:noWrap w:val="0"/>
            <w:vAlign w:val="center"/>
          </w:tcPr>
          <w:p>
            <w:pPr>
              <w:pStyle w:val="25"/>
              <w:bidi w:val="0"/>
              <w:rPr>
                <w:rFonts w:hint="eastAsia"/>
              </w:rPr>
            </w:pPr>
          </w:p>
        </w:tc>
        <w:tc>
          <w:tcPr>
            <w:tcW w:w="1814" w:type="dxa"/>
            <w:shd w:val="clear" w:color="auto" w:fill="auto"/>
            <w:noWrap w:val="0"/>
            <w:vAlign w:val="center"/>
          </w:tcPr>
          <w:p>
            <w:pPr>
              <w:pStyle w:val="25"/>
              <w:bidi w:val="0"/>
              <w:rPr>
                <w:rFonts w:hint="eastAsia"/>
              </w:rPr>
            </w:pPr>
            <w:r>
              <w:rPr>
                <w:rFonts w:hint="eastAsia"/>
              </w:rPr>
              <w:t>万寿桥村3社</w:t>
            </w:r>
          </w:p>
        </w:tc>
        <w:tc>
          <w:tcPr>
            <w:tcW w:w="1944" w:type="dxa"/>
            <w:shd w:val="clear" w:color="auto" w:fill="auto"/>
            <w:noWrap w:val="0"/>
            <w:vAlign w:val="center"/>
          </w:tcPr>
          <w:p>
            <w:pPr>
              <w:pStyle w:val="25"/>
              <w:bidi w:val="0"/>
              <w:rPr>
                <w:rFonts w:hint="eastAsia"/>
              </w:rPr>
            </w:pPr>
            <w:r>
              <w:rPr>
                <w:rFonts w:hint="eastAsia"/>
              </w:rPr>
              <w:t>黄滚凼桥</w:t>
            </w:r>
          </w:p>
        </w:tc>
        <w:tc>
          <w:tcPr>
            <w:tcW w:w="1071" w:type="dxa"/>
            <w:shd w:val="clear" w:color="auto" w:fill="auto"/>
            <w:noWrap w:val="0"/>
            <w:vAlign w:val="center"/>
          </w:tcPr>
          <w:p>
            <w:pPr>
              <w:pStyle w:val="25"/>
              <w:bidi w:val="0"/>
              <w:rPr>
                <w:rFonts w:hint="eastAsia"/>
              </w:rPr>
            </w:pPr>
            <w:r>
              <w:rPr>
                <w:rFonts w:hint="eastAsia"/>
              </w:rPr>
              <w:t>涵洞桥</w:t>
            </w:r>
          </w:p>
        </w:tc>
        <w:tc>
          <w:tcPr>
            <w:tcW w:w="1071" w:type="dxa"/>
            <w:shd w:val="clear" w:color="auto" w:fill="auto"/>
            <w:noWrap w:val="0"/>
            <w:vAlign w:val="center"/>
          </w:tcPr>
          <w:p>
            <w:pPr>
              <w:pStyle w:val="25"/>
              <w:bidi w:val="0"/>
              <w:rPr>
                <w:rFonts w:hint="eastAsia"/>
              </w:rPr>
            </w:pPr>
            <w:r>
              <w:rPr>
                <w:rFonts w:hint="eastAsia"/>
              </w:rPr>
              <w:t>2013</w:t>
            </w:r>
          </w:p>
        </w:tc>
        <w:tc>
          <w:tcPr>
            <w:tcW w:w="1069" w:type="dxa"/>
            <w:shd w:val="clear" w:color="auto" w:fill="auto"/>
            <w:noWrap w:val="0"/>
            <w:vAlign w:val="center"/>
          </w:tcPr>
          <w:p>
            <w:pPr>
              <w:pStyle w:val="25"/>
              <w:bidi w:val="0"/>
              <w:rPr>
                <w:rFonts w:hint="eastAsia"/>
              </w:rPr>
            </w:pPr>
            <w:r>
              <w:rPr>
                <w:rFonts w:hint="eastAsia"/>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11</w:t>
            </w:r>
          </w:p>
        </w:tc>
        <w:tc>
          <w:tcPr>
            <w:tcW w:w="984" w:type="dxa"/>
            <w:vMerge w:val="continue"/>
            <w:shd w:val="clear" w:color="auto" w:fill="auto"/>
            <w:noWrap w:val="0"/>
            <w:vAlign w:val="center"/>
          </w:tcPr>
          <w:p>
            <w:pPr>
              <w:pStyle w:val="25"/>
              <w:bidi w:val="0"/>
              <w:rPr>
                <w:rFonts w:hint="eastAsia"/>
              </w:rPr>
            </w:pPr>
          </w:p>
        </w:tc>
        <w:tc>
          <w:tcPr>
            <w:tcW w:w="1182" w:type="dxa"/>
            <w:vMerge w:val="continue"/>
            <w:shd w:val="clear" w:color="auto" w:fill="auto"/>
            <w:noWrap w:val="0"/>
            <w:vAlign w:val="center"/>
          </w:tcPr>
          <w:p>
            <w:pPr>
              <w:pStyle w:val="25"/>
              <w:bidi w:val="0"/>
              <w:rPr>
                <w:rFonts w:hint="eastAsia"/>
              </w:rPr>
            </w:pPr>
          </w:p>
        </w:tc>
        <w:tc>
          <w:tcPr>
            <w:tcW w:w="1814" w:type="dxa"/>
            <w:shd w:val="clear" w:color="auto" w:fill="auto"/>
            <w:noWrap w:val="0"/>
            <w:vAlign w:val="center"/>
          </w:tcPr>
          <w:p>
            <w:pPr>
              <w:pStyle w:val="25"/>
              <w:bidi w:val="0"/>
              <w:rPr>
                <w:rFonts w:hint="eastAsia"/>
              </w:rPr>
            </w:pPr>
            <w:r>
              <w:rPr>
                <w:rFonts w:hint="eastAsia"/>
              </w:rPr>
              <w:t>万寿桥村3社</w:t>
            </w:r>
          </w:p>
        </w:tc>
        <w:tc>
          <w:tcPr>
            <w:tcW w:w="1944" w:type="dxa"/>
            <w:shd w:val="clear" w:color="auto" w:fill="auto"/>
            <w:noWrap w:val="0"/>
            <w:vAlign w:val="center"/>
          </w:tcPr>
          <w:p>
            <w:pPr>
              <w:pStyle w:val="25"/>
              <w:bidi w:val="0"/>
              <w:rPr>
                <w:rFonts w:hint="eastAsia"/>
              </w:rPr>
            </w:pPr>
            <w:r>
              <w:rPr>
                <w:rFonts w:hint="eastAsia"/>
              </w:rPr>
              <w:t>平桥</w:t>
            </w:r>
          </w:p>
        </w:tc>
        <w:tc>
          <w:tcPr>
            <w:tcW w:w="1071" w:type="dxa"/>
            <w:shd w:val="clear" w:color="auto" w:fill="auto"/>
            <w:noWrap w:val="0"/>
            <w:vAlign w:val="center"/>
          </w:tcPr>
          <w:p>
            <w:pPr>
              <w:pStyle w:val="25"/>
              <w:bidi w:val="0"/>
              <w:rPr>
                <w:rFonts w:hint="eastAsia"/>
              </w:rPr>
            </w:pPr>
            <w:r>
              <w:rPr>
                <w:rFonts w:hint="eastAsia"/>
              </w:rPr>
              <w:t>石拱桥</w:t>
            </w:r>
          </w:p>
        </w:tc>
        <w:tc>
          <w:tcPr>
            <w:tcW w:w="1071" w:type="dxa"/>
            <w:shd w:val="clear" w:color="auto" w:fill="auto"/>
            <w:noWrap w:val="0"/>
            <w:vAlign w:val="center"/>
          </w:tcPr>
          <w:p>
            <w:pPr>
              <w:pStyle w:val="25"/>
              <w:bidi w:val="0"/>
              <w:rPr>
                <w:rFonts w:hint="eastAsia"/>
              </w:rPr>
            </w:pPr>
            <w:r>
              <w:rPr>
                <w:rFonts w:hint="eastAsia"/>
              </w:rPr>
              <w:t>2010</w:t>
            </w:r>
          </w:p>
        </w:tc>
        <w:tc>
          <w:tcPr>
            <w:tcW w:w="1069" w:type="dxa"/>
            <w:shd w:val="clear" w:color="auto" w:fill="auto"/>
            <w:noWrap w:val="0"/>
            <w:vAlign w:val="center"/>
          </w:tcPr>
          <w:p>
            <w:pPr>
              <w:pStyle w:val="25"/>
              <w:bidi w:val="0"/>
              <w:rPr>
                <w:rFonts w:hint="eastAsia"/>
              </w:rPr>
            </w:pPr>
            <w:r>
              <w:rPr>
                <w:rFonts w:hint="eastAsia"/>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12</w:t>
            </w:r>
          </w:p>
        </w:tc>
        <w:tc>
          <w:tcPr>
            <w:tcW w:w="984" w:type="dxa"/>
            <w:vMerge w:val="continue"/>
            <w:shd w:val="clear" w:color="auto" w:fill="auto"/>
            <w:noWrap w:val="0"/>
            <w:vAlign w:val="center"/>
          </w:tcPr>
          <w:p>
            <w:pPr>
              <w:pStyle w:val="25"/>
              <w:bidi w:val="0"/>
              <w:rPr>
                <w:rFonts w:hint="eastAsia"/>
              </w:rPr>
            </w:pPr>
          </w:p>
        </w:tc>
        <w:tc>
          <w:tcPr>
            <w:tcW w:w="1182" w:type="dxa"/>
            <w:vMerge w:val="continue"/>
            <w:shd w:val="clear" w:color="auto" w:fill="auto"/>
            <w:noWrap w:val="0"/>
            <w:vAlign w:val="center"/>
          </w:tcPr>
          <w:p>
            <w:pPr>
              <w:pStyle w:val="25"/>
              <w:bidi w:val="0"/>
              <w:rPr>
                <w:rFonts w:hint="eastAsia"/>
              </w:rPr>
            </w:pPr>
          </w:p>
        </w:tc>
        <w:tc>
          <w:tcPr>
            <w:tcW w:w="1814" w:type="dxa"/>
            <w:shd w:val="clear" w:color="auto" w:fill="auto"/>
            <w:noWrap w:val="0"/>
            <w:vAlign w:val="center"/>
          </w:tcPr>
          <w:p>
            <w:pPr>
              <w:pStyle w:val="25"/>
              <w:bidi w:val="0"/>
              <w:rPr>
                <w:rFonts w:hint="eastAsia"/>
              </w:rPr>
            </w:pPr>
            <w:r>
              <w:rPr>
                <w:rFonts w:hint="eastAsia"/>
              </w:rPr>
              <w:t>三口井村3社</w:t>
            </w:r>
          </w:p>
        </w:tc>
        <w:tc>
          <w:tcPr>
            <w:tcW w:w="1944" w:type="dxa"/>
            <w:shd w:val="clear" w:color="auto" w:fill="auto"/>
            <w:noWrap w:val="0"/>
            <w:vAlign w:val="center"/>
          </w:tcPr>
          <w:p>
            <w:pPr>
              <w:pStyle w:val="25"/>
              <w:bidi w:val="0"/>
              <w:rPr>
                <w:rFonts w:hint="eastAsia"/>
              </w:rPr>
            </w:pPr>
            <w:r>
              <w:rPr>
                <w:rFonts w:hint="eastAsia"/>
              </w:rPr>
              <w:t>水磨洞桥</w:t>
            </w:r>
          </w:p>
        </w:tc>
        <w:tc>
          <w:tcPr>
            <w:tcW w:w="1071" w:type="dxa"/>
            <w:shd w:val="clear" w:color="auto" w:fill="auto"/>
            <w:noWrap w:val="0"/>
            <w:vAlign w:val="center"/>
          </w:tcPr>
          <w:p>
            <w:pPr>
              <w:pStyle w:val="25"/>
              <w:bidi w:val="0"/>
              <w:rPr>
                <w:rFonts w:hint="eastAsia"/>
              </w:rPr>
            </w:pPr>
            <w:r>
              <w:rPr>
                <w:rFonts w:hint="eastAsia"/>
              </w:rPr>
              <w:t>石拱桥</w:t>
            </w:r>
          </w:p>
        </w:tc>
        <w:tc>
          <w:tcPr>
            <w:tcW w:w="1071" w:type="dxa"/>
            <w:shd w:val="clear" w:color="auto" w:fill="auto"/>
            <w:noWrap w:val="0"/>
            <w:vAlign w:val="center"/>
          </w:tcPr>
          <w:p>
            <w:pPr>
              <w:pStyle w:val="25"/>
              <w:bidi w:val="0"/>
              <w:rPr>
                <w:rFonts w:hint="eastAsia"/>
              </w:rPr>
            </w:pPr>
            <w:r>
              <w:rPr>
                <w:rFonts w:hint="eastAsia"/>
              </w:rPr>
              <w:t>2001</w:t>
            </w:r>
          </w:p>
        </w:tc>
        <w:tc>
          <w:tcPr>
            <w:tcW w:w="1069" w:type="dxa"/>
            <w:shd w:val="clear" w:color="auto" w:fill="auto"/>
            <w:noWrap w:val="0"/>
            <w:vAlign w:val="center"/>
          </w:tcPr>
          <w:p>
            <w:pPr>
              <w:pStyle w:val="25"/>
              <w:bidi w:val="0"/>
              <w:rPr>
                <w:rFonts w:hint="eastAsia"/>
              </w:rPr>
            </w:pPr>
            <w:r>
              <w:rPr>
                <w:rFonts w:hint="eastAsia"/>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pPr>
              <w:pStyle w:val="25"/>
              <w:bidi w:val="0"/>
              <w:rPr>
                <w:rFonts w:hint="eastAsia"/>
              </w:rPr>
            </w:pPr>
            <w:r>
              <w:rPr>
                <w:rFonts w:hint="eastAsia"/>
              </w:rPr>
              <w:t>13</w:t>
            </w:r>
          </w:p>
        </w:tc>
        <w:tc>
          <w:tcPr>
            <w:tcW w:w="984" w:type="dxa"/>
            <w:vMerge w:val="continue"/>
            <w:shd w:val="clear" w:color="auto" w:fill="auto"/>
            <w:noWrap w:val="0"/>
            <w:vAlign w:val="center"/>
          </w:tcPr>
          <w:p>
            <w:pPr>
              <w:pStyle w:val="25"/>
              <w:bidi w:val="0"/>
              <w:rPr>
                <w:rFonts w:hint="eastAsia"/>
              </w:rPr>
            </w:pPr>
          </w:p>
        </w:tc>
        <w:tc>
          <w:tcPr>
            <w:tcW w:w="1182" w:type="dxa"/>
            <w:shd w:val="clear" w:color="auto" w:fill="auto"/>
            <w:noWrap/>
            <w:vAlign w:val="center"/>
          </w:tcPr>
          <w:p>
            <w:pPr>
              <w:pStyle w:val="25"/>
              <w:bidi w:val="0"/>
              <w:rPr>
                <w:rFonts w:hint="eastAsia"/>
              </w:rPr>
            </w:pPr>
            <w:r>
              <w:rPr>
                <w:rFonts w:hint="eastAsia"/>
              </w:rPr>
              <w:t>名山街道段</w:t>
            </w:r>
          </w:p>
        </w:tc>
        <w:tc>
          <w:tcPr>
            <w:tcW w:w="1814" w:type="dxa"/>
            <w:shd w:val="clear" w:color="auto" w:fill="auto"/>
            <w:noWrap w:val="0"/>
            <w:vAlign w:val="center"/>
          </w:tcPr>
          <w:p>
            <w:pPr>
              <w:pStyle w:val="25"/>
              <w:bidi w:val="0"/>
              <w:rPr>
                <w:rFonts w:hint="eastAsia"/>
              </w:rPr>
            </w:pPr>
            <w:r>
              <w:rPr>
                <w:rFonts w:hint="eastAsia"/>
              </w:rPr>
              <w:t>农花村</w:t>
            </w:r>
          </w:p>
        </w:tc>
        <w:tc>
          <w:tcPr>
            <w:tcW w:w="1944" w:type="dxa"/>
            <w:shd w:val="clear" w:color="auto" w:fill="auto"/>
            <w:noWrap w:val="0"/>
            <w:vAlign w:val="center"/>
          </w:tcPr>
          <w:p>
            <w:pPr>
              <w:pStyle w:val="25"/>
              <w:bidi w:val="0"/>
              <w:rPr>
                <w:rFonts w:hint="eastAsia"/>
              </w:rPr>
            </w:pPr>
            <w:r>
              <w:rPr>
                <w:rFonts w:hint="eastAsia"/>
              </w:rPr>
              <w:t>担水河大桥</w:t>
            </w:r>
          </w:p>
        </w:tc>
        <w:tc>
          <w:tcPr>
            <w:tcW w:w="1071" w:type="dxa"/>
            <w:shd w:val="clear" w:color="auto" w:fill="auto"/>
            <w:noWrap w:val="0"/>
            <w:vAlign w:val="center"/>
          </w:tcPr>
          <w:p>
            <w:pPr>
              <w:pStyle w:val="25"/>
              <w:bidi w:val="0"/>
              <w:rPr>
                <w:rFonts w:hint="eastAsia"/>
              </w:rPr>
            </w:pPr>
            <w:r>
              <w:rPr>
                <w:rFonts w:hint="eastAsia"/>
              </w:rPr>
              <w:t>平板桥</w:t>
            </w:r>
          </w:p>
        </w:tc>
        <w:tc>
          <w:tcPr>
            <w:tcW w:w="1071" w:type="dxa"/>
            <w:shd w:val="clear" w:color="auto" w:fill="auto"/>
            <w:noWrap w:val="0"/>
            <w:vAlign w:val="center"/>
          </w:tcPr>
          <w:p>
            <w:pPr>
              <w:pStyle w:val="25"/>
              <w:bidi w:val="0"/>
              <w:rPr>
                <w:rFonts w:hint="eastAsia"/>
              </w:rPr>
            </w:pPr>
            <w:r>
              <w:rPr>
                <w:rFonts w:hint="eastAsia"/>
              </w:rPr>
              <w:t>2009</w:t>
            </w:r>
          </w:p>
        </w:tc>
        <w:tc>
          <w:tcPr>
            <w:tcW w:w="1069" w:type="dxa"/>
            <w:shd w:val="clear" w:color="auto" w:fill="auto"/>
            <w:noWrap w:val="0"/>
            <w:vAlign w:val="center"/>
          </w:tcPr>
          <w:p>
            <w:pPr>
              <w:pStyle w:val="25"/>
              <w:bidi w:val="0"/>
              <w:rPr>
                <w:rFonts w:hint="eastAsia"/>
              </w:rPr>
            </w:pPr>
            <w:r>
              <w:rPr>
                <w:rFonts w:hint="eastAsia"/>
              </w:rPr>
              <w:t>否</w:t>
            </w:r>
          </w:p>
        </w:tc>
      </w:tr>
    </w:tbl>
    <w:p>
      <w:pPr>
        <w:numPr>
          <w:ilvl w:val="0"/>
          <w:numId w:val="9"/>
        </w:numPr>
        <w:bidi w:val="0"/>
        <w:ind w:left="425" w:leftChars="0" w:hanging="425" w:firstLineChars="0"/>
      </w:pPr>
      <w:r>
        <w:t>河湖水域岸线保护规划情况</w:t>
      </w:r>
    </w:p>
    <w:p>
      <w:pPr>
        <w:bidi w:val="0"/>
        <w:rPr>
          <w:rFonts w:eastAsiaTheme="minorEastAsia"/>
          <w:snapToGrid w:val="0"/>
        </w:rPr>
      </w:pPr>
      <w:r>
        <w:t>根据</w:t>
      </w:r>
      <w:r>
        <w:rPr>
          <w:rFonts w:hint="eastAsia"/>
          <w:lang w:eastAsia="zh-CN"/>
        </w:rPr>
        <w:t>丰都县</w:t>
      </w:r>
      <w:r>
        <w:t>水务部门相关资料，</w:t>
      </w:r>
      <w:r>
        <w:rPr>
          <w:rFonts w:hint="eastAsia"/>
          <w:lang w:eastAsia="zh-CN"/>
        </w:rPr>
        <w:t>丰都县</w:t>
      </w:r>
      <w:r>
        <w:t>只对城市规划区进行了河道岸线保护与利用规划，非城市规划区尚未进行河道岸线保护与利用规划。</w:t>
      </w:r>
      <w:r>
        <w:rPr>
          <w:rFonts w:hint="eastAsia"/>
          <w:lang w:eastAsia="zh-CN"/>
        </w:rPr>
        <w:t>赤溪河</w:t>
      </w:r>
      <w:r>
        <w:t>属于非城市规划区河段，未进行河道岸线保护与利用规划，同时</w:t>
      </w:r>
      <w:bookmarkStart w:id="21" w:name="_Hlk509081164"/>
      <w:r>
        <w:t>也未开展分区管理</w:t>
      </w:r>
      <w:bookmarkEnd w:id="21"/>
      <w:r>
        <w:rPr>
          <w:rFonts w:hint="eastAsia"/>
        </w:rPr>
        <w:t>，无法明确岸线保护利用功能分区</w:t>
      </w:r>
      <w:r>
        <w:t>。</w:t>
      </w:r>
    </w:p>
    <w:p>
      <w:pPr>
        <w:pStyle w:val="4"/>
        <w:bidi w:val="0"/>
        <w:rPr>
          <w:rFonts w:hint="eastAsia"/>
        </w:rPr>
      </w:pPr>
      <w:r>
        <w:rPr>
          <w:rFonts w:hint="default"/>
        </w:rPr>
        <w:t>水污染现状</w:t>
      </w:r>
    </w:p>
    <w:p>
      <w:pPr>
        <w:keepNext w:val="0"/>
        <w:keepLines w:val="0"/>
        <w:pageBreakBefore w:val="0"/>
        <w:widowControl w:val="0"/>
        <w:numPr>
          <w:ilvl w:val="0"/>
          <w:numId w:val="10"/>
        </w:numPr>
        <w:kinsoku/>
        <w:wordWrap/>
        <w:overflowPunct/>
        <w:topLinePunct w:val="0"/>
        <w:autoSpaceDE w:val="0"/>
        <w:autoSpaceDN w:val="0"/>
        <w:bidi w:val="0"/>
        <w:adjustRightInd/>
        <w:snapToGrid/>
        <w:ind w:left="0" w:firstLine="0" w:firstLineChars="0"/>
        <w:textAlignment w:val="auto"/>
        <w:rPr>
          <w:rFonts w:hint="eastAsia"/>
        </w:rPr>
      </w:pPr>
      <w:r>
        <w:rPr>
          <w:rFonts w:hint="eastAsia"/>
          <w:lang w:val="en-US" w:eastAsia="zh-CN"/>
        </w:rPr>
        <w:t>工业污染源</w:t>
      </w:r>
      <w:r>
        <w:rPr>
          <w:rFonts w:hint="eastAsia"/>
        </w:rPr>
        <w:t>情况</w:t>
      </w:r>
    </w:p>
    <w:p>
      <w:pPr>
        <w:bidi w:val="0"/>
        <w:rPr>
          <w:rFonts w:hint="default"/>
        </w:rPr>
      </w:pPr>
      <w:r>
        <w:rPr>
          <w:rFonts w:hint="default"/>
        </w:rPr>
        <w:t>根据</w:t>
      </w:r>
      <w:r>
        <w:t>现场</w:t>
      </w:r>
      <w:r>
        <w:rPr>
          <w:rFonts w:hint="default"/>
        </w:rPr>
        <w:t>调查，</w:t>
      </w:r>
      <w:r>
        <w:t>结合</w:t>
      </w:r>
      <w:r>
        <w:rPr>
          <w:rFonts w:hint="eastAsia"/>
          <w:lang w:eastAsia="zh-CN"/>
        </w:rPr>
        <w:t>丰都县</w:t>
      </w:r>
      <w:r>
        <w:t>的全国第二次污染源普查数据，</w:t>
      </w:r>
      <w:r>
        <w:rPr>
          <w:rFonts w:hint="default"/>
        </w:rPr>
        <w:t>流域内</w:t>
      </w:r>
      <w:r>
        <w:rPr>
          <w:rFonts w:hint="eastAsia"/>
          <w:lang w:val="en-US" w:eastAsia="zh-CN"/>
        </w:rPr>
        <w:t>无</w:t>
      </w:r>
      <w:r>
        <w:rPr>
          <w:rFonts w:hint="default"/>
        </w:rPr>
        <w:t>涉水企业。</w:t>
      </w:r>
    </w:p>
    <w:p>
      <w:pPr>
        <w:keepNext w:val="0"/>
        <w:keepLines w:val="0"/>
        <w:pageBreakBefore w:val="0"/>
        <w:widowControl w:val="0"/>
        <w:numPr>
          <w:ilvl w:val="0"/>
          <w:numId w:val="10"/>
        </w:numPr>
        <w:kinsoku/>
        <w:wordWrap/>
        <w:overflowPunct/>
        <w:topLinePunct w:val="0"/>
        <w:autoSpaceDE w:val="0"/>
        <w:autoSpaceDN w:val="0"/>
        <w:bidi w:val="0"/>
        <w:adjustRightInd/>
        <w:snapToGrid/>
        <w:ind w:left="0" w:firstLine="0" w:firstLineChars="0"/>
        <w:textAlignment w:val="auto"/>
        <w:rPr>
          <w:rFonts w:hint="default"/>
          <w:lang w:val="en-US" w:eastAsia="zh-CN"/>
        </w:rPr>
      </w:pPr>
      <w:r>
        <w:rPr>
          <w:rFonts w:hint="default"/>
          <w:lang w:val="en-US" w:eastAsia="zh-CN"/>
        </w:rPr>
        <w:t>农村生活污染</w:t>
      </w:r>
    </w:p>
    <w:p>
      <w:pPr>
        <w:bidi w:val="0"/>
        <w:rPr>
          <w:rFonts w:hint="default"/>
        </w:rPr>
      </w:pPr>
      <w:r>
        <w:rPr>
          <w:rFonts w:hint="default"/>
        </w:rPr>
        <w:t>①农村生活污水</w:t>
      </w:r>
    </w:p>
    <w:p>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流域内总人口11320人，场镇人口3420人，非场镇人口7900人，场镇居民生活污水经收集后排入污水处理厂，污水处理厂排污口没有设置在本次赤溪河流域内，因此场镇人口生活污水污染本次不予考虑；农村居民生活污水部分排入农田，部分排入赤溪河河道，生活污水入河系数取值为0.3。</w:t>
      </w:r>
    </w:p>
    <w:p>
      <w:pPr>
        <w:pStyle w:val="25"/>
        <w:bidi w:val="0"/>
      </w:pPr>
    </w:p>
    <w:p>
      <w:pPr>
        <w:pStyle w:val="25"/>
        <w:bidi w:val="0"/>
        <w:rPr>
          <w:rFonts w:hint="eastAsia"/>
        </w:rPr>
      </w:pPr>
      <w:r>
        <w:t>表</w:t>
      </w:r>
      <w:r>
        <w:rPr>
          <w:rFonts w:hint="eastAsia"/>
          <w:lang w:val="en-US" w:eastAsia="zh-CN"/>
        </w:rPr>
        <w:t>3</w:t>
      </w:r>
      <w:r>
        <w:rPr>
          <w:rFonts w:hint="eastAsia"/>
        </w:rPr>
        <w:t>.2-</w:t>
      </w:r>
      <w:r>
        <w:rPr>
          <w:rFonts w:hint="eastAsia"/>
          <w:lang w:val="en-US" w:eastAsia="zh-CN"/>
        </w:rPr>
        <w:t>1</w:t>
      </w:r>
      <w:r>
        <w:rPr>
          <w:rFonts w:hint="eastAsia"/>
        </w:rPr>
        <w:t xml:space="preserve">     农村人均生活污水及其污染物排放量（克/人•天）</w:t>
      </w:r>
    </w:p>
    <w:tbl>
      <w:tblPr>
        <w:tblStyle w:val="20"/>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7"/>
        <w:gridCol w:w="1930"/>
        <w:gridCol w:w="1309"/>
        <w:gridCol w:w="1430"/>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667" w:type="dxa"/>
            <w:noWrap w:val="0"/>
            <w:vAlign w:val="center"/>
          </w:tcPr>
          <w:p>
            <w:pPr>
              <w:pStyle w:val="25"/>
              <w:bidi w:val="0"/>
              <w:rPr>
                <w:rFonts w:hint="eastAsia"/>
              </w:rPr>
            </w:pPr>
            <w:r>
              <w:rPr>
                <w:rFonts w:hint="eastAsia"/>
              </w:rPr>
              <w:t>生活污水量（L/人·d）</w:t>
            </w:r>
          </w:p>
        </w:tc>
        <w:tc>
          <w:tcPr>
            <w:tcW w:w="1930" w:type="dxa"/>
            <w:noWrap w:val="0"/>
            <w:vAlign w:val="center"/>
          </w:tcPr>
          <w:p>
            <w:pPr>
              <w:pStyle w:val="25"/>
              <w:bidi w:val="0"/>
              <w:rPr>
                <w:rFonts w:hint="eastAsia"/>
              </w:rPr>
            </w:pPr>
            <w:r>
              <w:rPr>
                <w:rFonts w:hint="eastAsia"/>
              </w:rPr>
              <w:t>CODcr</w:t>
            </w:r>
          </w:p>
        </w:tc>
        <w:tc>
          <w:tcPr>
            <w:tcW w:w="1309" w:type="dxa"/>
            <w:noWrap w:val="0"/>
            <w:vAlign w:val="center"/>
          </w:tcPr>
          <w:p>
            <w:pPr>
              <w:pStyle w:val="25"/>
              <w:bidi w:val="0"/>
              <w:rPr>
                <w:rFonts w:hint="eastAsia"/>
              </w:rPr>
            </w:pPr>
            <w:r>
              <w:rPr>
                <w:rFonts w:hint="eastAsia"/>
              </w:rPr>
              <w:t>氨氮</w:t>
            </w:r>
          </w:p>
        </w:tc>
        <w:tc>
          <w:tcPr>
            <w:tcW w:w="1430" w:type="dxa"/>
            <w:noWrap w:val="0"/>
            <w:vAlign w:val="center"/>
          </w:tcPr>
          <w:p>
            <w:pPr>
              <w:pStyle w:val="25"/>
              <w:bidi w:val="0"/>
              <w:rPr>
                <w:rFonts w:hint="eastAsia"/>
              </w:rPr>
            </w:pPr>
            <w:r>
              <w:rPr>
                <w:rFonts w:hint="eastAsia"/>
              </w:rPr>
              <w:t>总磷</w:t>
            </w:r>
          </w:p>
        </w:tc>
        <w:tc>
          <w:tcPr>
            <w:tcW w:w="1430" w:type="dxa"/>
            <w:noWrap w:val="0"/>
            <w:vAlign w:val="center"/>
          </w:tcPr>
          <w:p>
            <w:pPr>
              <w:pStyle w:val="25"/>
              <w:bidi w:val="0"/>
              <w:rPr>
                <w:rFonts w:hint="eastAsia"/>
              </w:rPr>
            </w:pPr>
            <w:r>
              <w:rPr>
                <w:rFonts w:hint="eastAsia"/>
              </w:rPr>
              <w:t>入河系数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667" w:type="dxa"/>
            <w:noWrap w:val="0"/>
            <w:vAlign w:val="center"/>
          </w:tcPr>
          <w:p>
            <w:pPr>
              <w:pStyle w:val="25"/>
              <w:bidi w:val="0"/>
              <w:rPr>
                <w:rFonts w:hint="eastAsia"/>
              </w:rPr>
            </w:pPr>
            <w:r>
              <w:rPr>
                <w:rFonts w:hint="eastAsia"/>
              </w:rPr>
              <w:t>80</w:t>
            </w:r>
          </w:p>
        </w:tc>
        <w:tc>
          <w:tcPr>
            <w:tcW w:w="1930" w:type="dxa"/>
            <w:noWrap w:val="0"/>
            <w:vAlign w:val="center"/>
          </w:tcPr>
          <w:p>
            <w:pPr>
              <w:pStyle w:val="25"/>
              <w:bidi w:val="0"/>
              <w:rPr>
                <w:rFonts w:hint="eastAsia"/>
              </w:rPr>
            </w:pPr>
            <w:r>
              <w:rPr>
                <w:rFonts w:hint="eastAsia"/>
              </w:rPr>
              <w:t>16.4</w:t>
            </w:r>
          </w:p>
        </w:tc>
        <w:tc>
          <w:tcPr>
            <w:tcW w:w="1309" w:type="dxa"/>
            <w:noWrap w:val="0"/>
            <w:vAlign w:val="center"/>
          </w:tcPr>
          <w:p>
            <w:pPr>
              <w:pStyle w:val="25"/>
              <w:bidi w:val="0"/>
              <w:rPr>
                <w:rFonts w:hint="eastAsia"/>
              </w:rPr>
            </w:pPr>
            <w:r>
              <w:rPr>
                <w:rFonts w:hint="eastAsia"/>
              </w:rPr>
              <w:t>4.0</w:t>
            </w:r>
          </w:p>
        </w:tc>
        <w:tc>
          <w:tcPr>
            <w:tcW w:w="1430" w:type="dxa"/>
            <w:noWrap w:val="0"/>
            <w:vAlign w:val="center"/>
          </w:tcPr>
          <w:p>
            <w:pPr>
              <w:pStyle w:val="25"/>
              <w:bidi w:val="0"/>
              <w:rPr>
                <w:rFonts w:hint="eastAsia"/>
              </w:rPr>
            </w:pPr>
            <w:r>
              <w:rPr>
                <w:rFonts w:hint="eastAsia"/>
              </w:rPr>
              <w:t>0.44</w:t>
            </w:r>
          </w:p>
        </w:tc>
        <w:tc>
          <w:tcPr>
            <w:tcW w:w="1430" w:type="dxa"/>
            <w:noWrap w:val="0"/>
            <w:vAlign w:val="center"/>
          </w:tcPr>
          <w:p>
            <w:pPr>
              <w:pStyle w:val="25"/>
              <w:bidi w:val="0"/>
              <w:rPr>
                <w:rFonts w:hint="eastAsia"/>
              </w:rPr>
            </w:pPr>
            <w:r>
              <w:rPr>
                <w:rFonts w:hint="eastAsia"/>
              </w:rPr>
              <w:t>0.3</w:t>
            </w:r>
          </w:p>
        </w:tc>
      </w:tr>
    </w:tbl>
    <w:p>
      <w:pPr>
        <w:pStyle w:val="25"/>
        <w:bidi w:val="0"/>
      </w:pPr>
    </w:p>
    <w:p>
      <w:pPr>
        <w:pStyle w:val="25"/>
        <w:bidi w:val="0"/>
        <w:rPr>
          <w:rFonts w:hint="eastAsia"/>
        </w:rPr>
      </w:pPr>
      <w:r>
        <w:t>表</w:t>
      </w:r>
      <w:r>
        <w:rPr>
          <w:rFonts w:hint="eastAsia"/>
          <w:lang w:val="en-US" w:eastAsia="zh-CN"/>
        </w:rPr>
        <w:t>3</w:t>
      </w:r>
      <w:r>
        <w:rPr>
          <w:rFonts w:hint="eastAsia"/>
        </w:rPr>
        <w:t>.2-</w:t>
      </w:r>
      <w:r>
        <w:rPr>
          <w:rFonts w:hint="eastAsia"/>
          <w:lang w:val="en-US" w:eastAsia="zh-CN"/>
        </w:rPr>
        <w:t>2</w:t>
      </w:r>
      <w:r>
        <w:rPr>
          <w:rFonts w:hint="eastAsia"/>
        </w:rPr>
        <w:t xml:space="preserve">     农村生活污水污染负荷计算表</w:t>
      </w:r>
    </w:p>
    <w:tbl>
      <w:tblPr>
        <w:tblStyle w:val="20"/>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0"/>
        <w:gridCol w:w="3522"/>
        <w:gridCol w:w="1809"/>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0" w:type="dxa"/>
            <w:vMerge w:val="restart"/>
            <w:noWrap w:val="0"/>
            <w:vAlign w:val="center"/>
          </w:tcPr>
          <w:p>
            <w:pPr>
              <w:pStyle w:val="25"/>
              <w:bidi w:val="0"/>
              <w:rPr>
                <w:rFonts w:hint="eastAsia"/>
              </w:rPr>
            </w:pPr>
            <w:r>
              <w:rPr>
                <w:rFonts w:hint="eastAsia"/>
              </w:rPr>
              <w:t>流域</w:t>
            </w:r>
          </w:p>
        </w:tc>
        <w:tc>
          <w:tcPr>
            <w:tcW w:w="3522" w:type="dxa"/>
            <w:vMerge w:val="restart"/>
            <w:noWrap w:val="0"/>
            <w:vAlign w:val="center"/>
          </w:tcPr>
          <w:p>
            <w:pPr>
              <w:pStyle w:val="25"/>
              <w:bidi w:val="0"/>
              <w:rPr>
                <w:rFonts w:hint="eastAsia"/>
              </w:rPr>
            </w:pPr>
            <w:r>
              <w:rPr>
                <w:rFonts w:hint="eastAsia"/>
              </w:rPr>
              <w:t>农村人口</w:t>
            </w:r>
          </w:p>
        </w:tc>
        <w:tc>
          <w:tcPr>
            <w:tcW w:w="3614" w:type="dxa"/>
            <w:gridSpan w:val="2"/>
            <w:tcBorders>
              <w:right w:val="single" w:color="auto" w:sz="4" w:space="0"/>
            </w:tcBorders>
            <w:noWrap w:val="0"/>
            <w:vAlign w:val="center"/>
          </w:tcPr>
          <w:p>
            <w:pPr>
              <w:pStyle w:val="25"/>
              <w:bidi w:val="0"/>
              <w:rPr>
                <w:rFonts w:hint="eastAsia"/>
              </w:rPr>
            </w:pPr>
            <w:r>
              <w:rPr>
                <w:rFonts w:hint="eastAsia"/>
              </w:rPr>
              <w:t>污染负荷（t/a）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0" w:type="dxa"/>
            <w:vMerge w:val="continue"/>
            <w:noWrap w:val="0"/>
            <w:vAlign w:val="center"/>
          </w:tcPr>
          <w:p>
            <w:pPr>
              <w:pStyle w:val="25"/>
              <w:bidi w:val="0"/>
              <w:rPr>
                <w:rFonts w:hint="eastAsia"/>
              </w:rPr>
            </w:pPr>
          </w:p>
        </w:tc>
        <w:tc>
          <w:tcPr>
            <w:tcW w:w="3522" w:type="dxa"/>
            <w:vMerge w:val="continue"/>
            <w:noWrap w:val="0"/>
            <w:vAlign w:val="center"/>
          </w:tcPr>
          <w:p>
            <w:pPr>
              <w:pStyle w:val="25"/>
              <w:bidi w:val="0"/>
              <w:rPr>
                <w:rFonts w:hint="eastAsia"/>
              </w:rPr>
            </w:pPr>
          </w:p>
        </w:tc>
        <w:tc>
          <w:tcPr>
            <w:tcW w:w="1809" w:type="dxa"/>
            <w:noWrap w:val="0"/>
            <w:vAlign w:val="center"/>
          </w:tcPr>
          <w:p>
            <w:pPr>
              <w:pStyle w:val="25"/>
              <w:bidi w:val="0"/>
              <w:rPr>
                <w:rFonts w:hint="eastAsia"/>
              </w:rPr>
            </w:pPr>
            <w:r>
              <w:rPr>
                <w:rFonts w:hint="eastAsia"/>
              </w:rPr>
              <w:t>COD</w:t>
            </w:r>
          </w:p>
        </w:tc>
        <w:tc>
          <w:tcPr>
            <w:tcW w:w="1805" w:type="dxa"/>
            <w:noWrap w:val="0"/>
            <w:vAlign w:val="center"/>
          </w:tcPr>
          <w:p>
            <w:pPr>
              <w:pStyle w:val="25"/>
              <w:bidi w:val="0"/>
              <w:rPr>
                <w:rFonts w:hint="eastAsia"/>
              </w:rPr>
            </w:pPr>
            <w:r>
              <w:rPr>
                <w:rFonts w:hint="eastAsia"/>
              </w:rPr>
              <w:t>NH3-N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0" w:type="dxa"/>
            <w:noWrap w:val="0"/>
            <w:vAlign w:val="center"/>
          </w:tcPr>
          <w:p>
            <w:pPr>
              <w:pStyle w:val="25"/>
              <w:bidi w:val="0"/>
              <w:rPr>
                <w:rFonts w:hint="eastAsia"/>
              </w:rPr>
            </w:pPr>
            <w:r>
              <w:rPr>
                <w:rFonts w:hint="eastAsia"/>
              </w:rPr>
              <w:t>赤溪河流域</w:t>
            </w:r>
          </w:p>
        </w:tc>
        <w:tc>
          <w:tcPr>
            <w:tcW w:w="3522" w:type="dxa"/>
            <w:noWrap w:val="0"/>
            <w:vAlign w:val="center"/>
          </w:tcPr>
          <w:p>
            <w:pPr>
              <w:pStyle w:val="25"/>
              <w:bidi w:val="0"/>
              <w:rPr>
                <w:rFonts w:hint="eastAsia"/>
              </w:rPr>
            </w:pPr>
            <w:r>
              <w:rPr>
                <w:rFonts w:hint="eastAsia"/>
              </w:rPr>
              <w:t>7900</w:t>
            </w:r>
          </w:p>
        </w:tc>
        <w:tc>
          <w:tcPr>
            <w:tcW w:w="1809" w:type="dxa"/>
            <w:noWrap w:val="0"/>
            <w:vAlign w:val="center"/>
          </w:tcPr>
          <w:p>
            <w:pPr>
              <w:pStyle w:val="25"/>
              <w:bidi w:val="0"/>
              <w:rPr>
                <w:rFonts w:hint="eastAsia"/>
              </w:rPr>
            </w:pPr>
            <w:r>
              <w:rPr>
                <w:rFonts w:hint="eastAsia"/>
              </w:rPr>
              <w:t>14.19</w:t>
            </w:r>
          </w:p>
        </w:tc>
        <w:tc>
          <w:tcPr>
            <w:tcW w:w="1805" w:type="dxa"/>
            <w:noWrap w:val="0"/>
            <w:vAlign w:val="center"/>
          </w:tcPr>
          <w:p>
            <w:pPr>
              <w:pStyle w:val="25"/>
              <w:bidi w:val="0"/>
              <w:rPr>
                <w:rFonts w:hint="eastAsia"/>
              </w:rPr>
            </w:pPr>
            <w:r>
              <w:rPr>
                <w:rFonts w:hint="eastAsia"/>
              </w:rPr>
              <w:t>2.46</w:t>
            </w:r>
          </w:p>
        </w:tc>
      </w:tr>
    </w:tbl>
    <w:p>
      <w:pPr>
        <w:bidi w:val="0"/>
        <w:rPr>
          <w:rFonts w:hint="default"/>
          <w:lang w:val="en-US" w:eastAsia="zh-CN"/>
        </w:rPr>
      </w:pPr>
      <w:r>
        <w:rPr>
          <w:rFonts w:hint="default"/>
        </w:rPr>
        <w:fldChar w:fldCharType="begin"/>
      </w:r>
      <w:r>
        <w:rPr>
          <w:rFonts w:hint="default"/>
        </w:rPr>
        <w:instrText xml:space="preserve"> = 2 \* GB3 </w:instrText>
      </w:r>
      <w:r>
        <w:rPr>
          <w:rFonts w:hint="default"/>
        </w:rPr>
        <w:fldChar w:fldCharType="separate"/>
      </w:r>
      <w:r>
        <w:rPr>
          <w:rFonts w:hint="default"/>
        </w:rPr>
        <w:t>②</w:t>
      </w:r>
      <w:r>
        <w:rPr>
          <w:rFonts w:hint="default"/>
        </w:rPr>
        <w:fldChar w:fldCharType="end"/>
      </w:r>
      <w:r>
        <w:rPr>
          <w:rFonts w:hint="eastAsia"/>
          <w:lang w:val="en-US" w:eastAsia="zh-CN"/>
        </w:rPr>
        <w:t>生活垃圾</w:t>
      </w:r>
    </w:p>
    <w:p>
      <w:pPr>
        <w:bidi w:val="0"/>
        <w:rPr>
          <w:rFonts w:hint="eastAsia"/>
        </w:rPr>
      </w:pPr>
      <w:r>
        <w:rPr>
          <w:rFonts w:hint="eastAsia"/>
        </w:rPr>
        <w:t>根据调查，赤溪河流域主要分布于农村，受传统生活习惯的影响和现实排污管道、污水处理站、垃圾收集、处理等基础设施建设严重滞后的制约，垃圾处理方面，依然是各家顾各家，各人顾各人。乱倒垃圾、乱丢废弃物的现象较为普遍，严重污染了水环境。随着农村经济建设的快速发展，固体废弃物增多，再加上广大农民环境意识不强，各种包装袋、果皮等物乱扔，村里大街小巷、田边地头、水塘沟渠等随处可见。生活垃圾没有得到处理利用，大部分农村没有固定的集中垃圾堆放点。一些地方农民为了处理方便，把垃圾往河沟里随意倾倒或露天堆放，其渗滤液污染地表水和地下水，导致水环境恶化，使农村饮水安全受到了严重威胁，直接影响了农民群众的身体健康。</w:t>
      </w:r>
    </w:p>
    <w:p>
      <w:pPr>
        <w:bidi w:val="0"/>
        <w:rPr>
          <w:rFonts w:hint="eastAsia"/>
        </w:rPr>
      </w:pPr>
      <w:r>
        <w:rPr>
          <w:rFonts w:hint="eastAsia"/>
        </w:rPr>
        <w:t>农村人均生活垃圾按 0.8kg/（天•人）计算，根据国内外相关垃圾冲刷水分析资料，本规划确定每千克生活垃圾产生COD 0.05kg、氨氮 0.10 g。垃圾入河系数按5%计算，据此计算得到生活垃圾污染负荷，见表：</w:t>
      </w:r>
    </w:p>
    <w:p>
      <w:pPr>
        <w:pStyle w:val="25"/>
        <w:bidi w:val="0"/>
      </w:pPr>
    </w:p>
    <w:p>
      <w:pPr>
        <w:pStyle w:val="25"/>
        <w:bidi w:val="0"/>
      </w:pPr>
    </w:p>
    <w:p>
      <w:pPr>
        <w:pStyle w:val="25"/>
        <w:bidi w:val="0"/>
        <w:rPr>
          <w:rFonts w:hint="eastAsia"/>
        </w:rPr>
      </w:pPr>
      <w:r>
        <w:t>表</w:t>
      </w:r>
      <w:r>
        <w:rPr>
          <w:rFonts w:hint="eastAsia"/>
          <w:lang w:val="en-US" w:eastAsia="zh-CN"/>
        </w:rPr>
        <w:t>3</w:t>
      </w:r>
      <w:r>
        <w:rPr>
          <w:rFonts w:hint="eastAsia"/>
        </w:rPr>
        <w:t>.2-</w:t>
      </w:r>
      <w:r>
        <w:rPr>
          <w:rFonts w:hint="eastAsia"/>
          <w:lang w:val="en-US" w:eastAsia="zh-CN"/>
        </w:rPr>
        <w:t>3</w:t>
      </w:r>
      <w:r>
        <w:rPr>
          <w:rFonts w:hint="eastAsia"/>
        </w:rPr>
        <w:t xml:space="preserve">  生活垃圾污染物污染物排放量</w:t>
      </w:r>
    </w:p>
    <w:p>
      <w:pPr>
        <w:pStyle w:val="25"/>
        <w:bidi w:val="0"/>
      </w:pPr>
    </w:p>
    <w:tbl>
      <w:tblPr>
        <w:tblStyle w:val="20"/>
        <w:tblpPr w:leftFromText="180" w:rightFromText="180" w:vertAnchor="text" w:horzAnchor="page" w:tblpX="1230" w:tblpY="55"/>
        <w:tblOverlap w:val="never"/>
        <w:tblW w:w="975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474"/>
        <w:gridCol w:w="2729"/>
        <w:gridCol w:w="2729"/>
        <w:gridCol w:w="182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474" w:type="dxa"/>
            <w:noWrap w:val="0"/>
            <w:vAlign w:val="center"/>
          </w:tcPr>
          <w:p>
            <w:pPr>
              <w:pStyle w:val="25"/>
              <w:bidi w:val="0"/>
              <w:rPr>
                <w:rFonts w:hint="eastAsia"/>
              </w:rPr>
            </w:pPr>
            <w:r>
              <w:rPr>
                <w:rFonts w:hint="eastAsia"/>
              </w:rPr>
              <w:t>生活垃圾量</w:t>
            </w:r>
          </w:p>
          <w:p>
            <w:pPr>
              <w:pStyle w:val="25"/>
              <w:bidi w:val="0"/>
              <w:rPr>
                <w:rFonts w:hint="eastAsia"/>
              </w:rPr>
            </w:pPr>
            <w:r>
              <w:rPr>
                <w:rFonts w:hint="eastAsia"/>
              </w:rPr>
              <w:t>（kg/人·d）</w:t>
            </w:r>
          </w:p>
        </w:tc>
        <w:tc>
          <w:tcPr>
            <w:tcW w:w="2729" w:type="dxa"/>
            <w:noWrap w:val="0"/>
            <w:vAlign w:val="center"/>
          </w:tcPr>
          <w:p>
            <w:pPr>
              <w:pStyle w:val="25"/>
              <w:bidi w:val="0"/>
              <w:rPr>
                <w:rFonts w:hint="eastAsia"/>
              </w:rPr>
            </w:pPr>
            <w:r>
              <w:rPr>
                <w:rFonts w:hint="eastAsia"/>
              </w:rPr>
              <w:t>COD</w:t>
            </w:r>
          </w:p>
          <w:p>
            <w:pPr>
              <w:pStyle w:val="25"/>
              <w:bidi w:val="0"/>
              <w:rPr>
                <w:rFonts w:hint="eastAsia"/>
              </w:rPr>
            </w:pPr>
            <w:r>
              <w:rPr>
                <w:rFonts w:hint="eastAsia"/>
              </w:rPr>
              <w:t>（kg/kg垃圾）</w:t>
            </w:r>
          </w:p>
        </w:tc>
        <w:tc>
          <w:tcPr>
            <w:tcW w:w="2729" w:type="dxa"/>
            <w:noWrap w:val="0"/>
            <w:vAlign w:val="center"/>
          </w:tcPr>
          <w:p>
            <w:pPr>
              <w:pStyle w:val="25"/>
              <w:bidi w:val="0"/>
              <w:rPr>
                <w:rFonts w:hint="eastAsia"/>
              </w:rPr>
            </w:pPr>
            <w:r>
              <w:rPr>
                <w:rFonts w:hint="eastAsia"/>
              </w:rPr>
              <w:t>氨氮</w:t>
            </w:r>
          </w:p>
          <w:p>
            <w:pPr>
              <w:pStyle w:val="25"/>
              <w:bidi w:val="0"/>
              <w:rPr>
                <w:rFonts w:hint="eastAsia"/>
              </w:rPr>
            </w:pPr>
            <w:r>
              <w:rPr>
                <w:rFonts w:hint="eastAsia"/>
              </w:rPr>
              <w:t>（g/kg垃圾）</w:t>
            </w:r>
          </w:p>
        </w:tc>
        <w:tc>
          <w:tcPr>
            <w:tcW w:w="1826" w:type="dxa"/>
            <w:noWrap w:val="0"/>
            <w:vAlign w:val="center"/>
          </w:tcPr>
          <w:p>
            <w:pPr>
              <w:pStyle w:val="25"/>
              <w:bidi w:val="0"/>
              <w:rPr>
                <w:rFonts w:hint="eastAsia"/>
              </w:rPr>
            </w:pPr>
            <w:r>
              <w:rPr>
                <w:rFonts w:hint="eastAsia"/>
              </w:rPr>
              <w:t>入河系数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trPr>
        <w:tc>
          <w:tcPr>
            <w:tcW w:w="2474" w:type="dxa"/>
            <w:noWrap w:val="0"/>
            <w:vAlign w:val="center"/>
          </w:tcPr>
          <w:p>
            <w:pPr>
              <w:pStyle w:val="25"/>
              <w:bidi w:val="0"/>
              <w:rPr>
                <w:rFonts w:hint="eastAsia"/>
              </w:rPr>
            </w:pPr>
            <w:r>
              <w:rPr>
                <w:rFonts w:hint="eastAsia"/>
              </w:rPr>
              <w:t>0.8</w:t>
            </w:r>
          </w:p>
        </w:tc>
        <w:tc>
          <w:tcPr>
            <w:tcW w:w="2729" w:type="dxa"/>
            <w:noWrap w:val="0"/>
            <w:vAlign w:val="center"/>
          </w:tcPr>
          <w:p>
            <w:pPr>
              <w:pStyle w:val="25"/>
              <w:bidi w:val="0"/>
              <w:rPr>
                <w:rFonts w:hint="eastAsia"/>
              </w:rPr>
            </w:pPr>
            <w:r>
              <w:rPr>
                <w:rFonts w:hint="eastAsia"/>
              </w:rPr>
              <w:t>0.05</w:t>
            </w:r>
          </w:p>
        </w:tc>
        <w:tc>
          <w:tcPr>
            <w:tcW w:w="2729" w:type="dxa"/>
            <w:noWrap w:val="0"/>
            <w:vAlign w:val="center"/>
          </w:tcPr>
          <w:p>
            <w:pPr>
              <w:pStyle w:val="25"/>
              <w:bidi w:val="0"/>
              <w:rPr>
                <w:rFonts w:hint="eastAsia"/>
              </w:rPr>
            </w:pPr>
            <w:r>
              <w:rPr>
                <w:rFonts w:hint="eastAsia"/>
              </w:rPr>
              <w:t>0.1</w:t>
            </w:r>
          </w:p>
        </w:tc>
        <w:tc>
          <w:tcPr>
            <w:tcW w:w="1826" w:type="dxa"/>
            <w:noWrap/>
            <w:vAlign w:val="center"/>
          </w:tcPr>
          <w:p>
            <w:pPr>
              <w:pStyle w:val="25"/>
              <w:bidi w:val="0"/>
              <w:rPr>
                <w:rFonts w:hint="eastAsia"/>
              </w:rPr>
            </w:pPr>
            <w:r>
              <w:rPr>
                <w:rFonts w:hint="eastAsia"/>
              </w:rPr>
              <w:t>5%</w:t>
            </w:r>
          </w:p>
        </w:tc>
      </w:tr>
    </w:tbl>
    <w:p>
      <w:pPr>
        <w:pStyle w:val="25"/>
        <w:bidi w:val="0"/>
      </w:pPr>
    </w:p>
    <w:p>
      <w:pPr>
        <w:pStyle w:val="25"/>
        <w:bidi w:val="0"/>
        <w:rPr>
          <w:rFonts w:hint="eastAsia"/>
        </w:rPr>
      </w:pPr>
      <w:r>
        <w:t>表</w:t>
      </w:r>
      <w:r>
        <w:rPr>
          <w:rFonts w:hint="eastAsia"/>
          <w:lang w:val="en-US" w:eastAsia="zh-CN"/>
        </w:rPr>
        <w:t>3</w:t>
      </w:r>
      <w:r>
        <w:rPr>
          <w:rFonts w:hint="eastAsia"/>
        </w:rPr>
        <w:t>.2-</w:t>
      </w:r>
      <w:r>
        <w:rPr>
          <w:rFonts w:hint="eastAsia"/>
          <w:lang w:val="en-US" w:eastAsia="zh-CN"/>
        </w:rPr>
        <w:t>4</w:t>
      </w:r>
      <w:r>
        <w:rPr>
          <w:rFonts w:hint="eastAsia"/>
        </w:rPr>
        <w:t xml:space="preserve">   生活垃圾污染物污染物负荷计算表</w:t>
      </w:r>
    </w:p>
    <w:tbl>
      <w:tblPr>
        <w:tblStyle w:val="20"/>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1"/>
        <w:gridCol w:w="2850"/>
        <w:gridCol w:w="2086"/>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1" w:type="dxa"/>
            <w:vMerge w:val="restart"/>
            <w:noWrap w:val="0"/>
            <w:vAlign w:val="center"/>
          </w:tcPr>
          <w:p>
            <w:pPr>
              <w:pStyle w:val="25"/>
              <w:bidi w:val="0"/>
              <w:rPr>
                <w:rFonts w:hint="eastAsia"/>
              </w:rPr>
            </w:pPr>
            <w:r>
              <w:rPr>
                <w:rFonts w:hint="eastAsia"/>
              </w:rPr>
              <w:t>流域</w:t>
            </w:r>
          </w:p>
        </w:tc>
        <w:tc>
          <w:tcPr>
            <w:tcW w:w="2850" w:type="dxa"/>
            <w:vMerge w:val="restart"/>
            <w:noWrap w:val="0"/>
            <w:vAlign w:val="center"/>
          </w:tcPr>
          <w:p>
            <w:pPr>
              <w:pStyle w:val="25"/>
              <w:bidi w:val="0"/>
              <w:rPr>
                <w:rFonts w:hint="eastAsia"/>
              </w:rPr>
            </w:pPr>
            <w:r>
              <w:rPr>
                <w:rFonts w:hint="eastAsia"/>
              </w:rPr>
              <w:t>垃圾量</w:t>
            </w:r>
          </w:p>
          <w:p>
            <w:pPr>
              <w:pStyle w:val="25"/>
              <w:bidi w:val="0"/>
              <w:rPr>
                <w:rFonts w:hint="eastAsia"/>
              </w:rPr>
            </w:pPr>
            <w:r>
              <w:rPr>
                <w:rFonts w:hint="eastAsia"/>
              </w:rPr>
              <w:t>（t/a）</w:t>
            </w:r>
          </w:p>
        </w:tc>
        <w:tc>
          <w:tcPr>
            <w:tcW w:w="4285" w:type="dxa"/>
            <w:gridSpan w:val="2"/>
            <w:tcBorders>
              <w:right w:val="single" w:color="auto" w:sz="4" w:space="0"/>
            </w:tcBorders>
            <w:noWrap w:val="0"/>
            <w:vAlign w:val="center"/>
          </w:tcPr>
          <w:p>
            <w:pPr>
              <w:pStyle w:val="25"/>
              <w:bidi w:val="0"/>
              <w:rPr>
                <w:rFonts w:hint="eastAsia"/>
              </w:rPr>
            </w:pPr>
            <w:r>
              <w:rPr>
                <w:rFonts w:hint="eastAsia"/>
              </w:rPr>
              <w:t>污染负荷（t/a）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1" w:type="dxa"/>
            <w:vMerge w:val="continue"/>
            <w:noWrap w:val="0"/>
            <w:vAlign w:val="center"/>
          </w:tcPr>
          <w:p>
            <w:pPr>
              <w:pStyle w:val="25"/>
              <w:bidi w:val="0"/>
              <w:rPr>
                <w:rFonts w:hint="eastAsia"/>
              </w:rPr>
            </w:pPr>
          </w:p>
        </w:tc>
        <w:tc>
          <w:tcPr>
            <w:tcW w:w="2850" w:type="dxa"/>
            <w:vMerge w:val="continue"/>
            <w:noWrap w:val="0"/>
            <w:vAlign w:val="center"/>
          </w:tcPr>
          <w:p>
            <w:pPr>
              <w:pStyle w:val="25"/>
              <w:bidi w:val="0"/>
              <w:rPr>
                <w:rFonts w:hint="eastAsia"/>
              </w:rPr>
            </w:pPr>
          </w:p>
        </w:tc>
        <w:tc>
          <w:tcPr>
            <w:tcW w:w="2086" w:type="dxa"/>
            <w:noWrap w:val="0"/>
            <w:vAlign w:val="center"/>
          </w:tcPr>
          <w:p>
            <w:pPr>
              <w:pStyle w:val="25"/>
              <w:bidi w:val="0"/>
              <w:rPr>
                <w:rFonts w:hint="eastAsia"/>
              </w:rPr>
            </w:pPr>
            <w:r>
              <w:rPr>
                <w:rFonts w:hint="eastAsia"/>
              </w:rPr>
              <w:t>COD</w:t>
            </w:r>
          </w:p>
        </w:tc>
        <w:tc>
          <w:tcPr>
            <w:tcW w:w="2199" w:type="dxa"/>
            <w:noWrap w:val="0"/>
            <w:vAlign w:val="center"/>
          </w:tcPr>
          <w:p>
            <w:pPr>
              <w:pStyle w:val="25"/>
              <w:bidi w:val="0"/>
              <w:rPr>
                <w:rFonts w:hint="eastAsia"/>
              </w:rPr>
            </w:pPr>
            <w:r>
              <w:rPr>
                <w:rFonts w:hint="eastAsia"/>
              </w:rPr>
              <w:t>NH3-N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31" w:type="dxa"/>
            <w:noWrap w:val="0"/>
            <w:vAlign w:val="center"/>
          </w:tcPr>
          <w:p>
            <w:pPr>
              <w:pStyle w:val="25"/>
              <w:bidi w:val="0"/>
              <w:rPr>
                <w:rFonts w:hint="eastAsia"/>
              </w:rPr>
            </w:pPr>
            <w:r>
              <w:rPr>
                <w:rFonts w:hint="eastAsia"/>
              </w:rPr>
              <w:t>赤溪河流域</w:t>
            </w:r>
          </w:p>
        </w:tc>
        <w:tc>
          <w:tcPr>
            <w:tcW w:w="2850" w:type="dxa"/>
            <w:noWrap w:val="0"/>
            <w:vAlign w:val="center"/>
          </w:tcPr>
          <w:p>
            <w:pPr>
              <w:pStyle w:val="25"/>
              <w:bidi w:val="0"/>
              <w:rPr>
                <w:rFonts w:hint="eastAsia"/>
              </w:rPr>
            </w:pPr>
            <w:r>
              <w:rPr>
                <w:rFonts w:hint="eastAsia"/>
              </w:rPr>
              <w:t>2306.8</w:t>
            </w:r>
          </w:p>
        </w:tc>
        <w:tc>
          <w:tcPr>
            <w:tcW w:w="2086" w:type="dxa"/>
            <w:noWrap w:val="0"/>
            <w:vAlign w:val="center"/>
          </w:tcPr>
          <w:p>
            <w:pPr>
              <w:pStyle w:val="25"/>
              <w:bidi w:val="0"/>
              <w:rPr>
                <w:rFonts w:hint="eastAsia"/>
              </w:rPr>
            </w:pPr>
            <w:r>
              <w:rPr>
                <w:rFonts w:hint="eastAsia"/>
              </w:rPr>
              <w:t>5.77</w:t>
            </w:r>
          </w:p>
        </w:tc>
        <w:tc>
          <w:tcPr>
            <w:tcW w:w="2199" w:type="dxa"/>
            <w:noWrap w:val="0"/>
            <w:vAlign w:val="center"/>
          </w:tcPr>
          <w:p>
            <w:pPr>
              <w:pStyle w:val="25"/>
              <w:bidi w:val="0"/>
              <w:rPr>
                <w:rFonts w:hint="eastAsia"/>
              </w:rPr>
            </w:pPr>
            <w:r>
              <w:rPr>
                <w:rFonts w:hint="eastAsia"/>
              </w:rPr>
              <w:t>0.01</w:t>
            </w:r>
          </w:p>
        </w:tc>
      </w:tr>
    </w:tbl>
    <w:p>
      <w:pPr>
        <w:pStyle w:val="25"/>
        <w:bidi w:val="0"/>
        <w:rPr>
          <w:rFonts w:hint="default"/>
        </w:rPr>
      </w:pPr>
    </w:p>
    <w:p>
      <w:pPr>
        <w:spacing w:line="360" w:lineRule="auto"/>
        <w:ind w:firstLine="640" w:firstLineChars="200"/>
        <w:rPr>
          <w:rFonts w:hint="default" w:ascii="Times New Roman" w:hAnsi="Times New Roman" w:eastAsiaTheme="minorEastAsia"/>
          <w:snapToGrid w:val="0"/>
          <w:kern w:val="2"/>
        </w:rPr>
      </w:pPr>
      <w:r>
        <w:rPr>
          <w:rFonts w:hint="default" w:asciiTheme="minorEastAsia" w:hAnsiTheme="minorEastAsia" w:eastAsiaTheme="minorEastAsia"/>
          <w:snapToGrid w:val="0"/>
          <w:kern w:val="2"/>
        </w:rPr>
        <w:fldChar w:fldCharType="begin"/>
      </w:r>
      <w:r>
        <w:rPr>
          <w:rFonts w:hint="default" w:asciiTheme="minorEastAsia" w:hAnsiTheme="minorEastAsia" w:eastAsiaTheme="minorEastAsia"/>
          <w:snapToGrid w:val="0"/>
          <w:kern w:val="2"/>
        </w:rPr>
        <w:instrText xml:space="preserve"> = 3 \* GB3 </w:instrText>
      </w:r>
      <w:r>
        <w:rPr>
          <w:rFonts w:hint="default" w:asciiTheme="minorEastAsia" w:hAnsiTheme="minorEastAsia" w:eastAsiaTheme="minorEastAsia"/>
          <w:snapToGrid w:val="0"/>
          <w:kern w:val="2"/>
        </w:rPr>
        <w:fldChar w:fldCharType="separate"/>
      </w:r>
      <w:r>
        <w:rPr>
          <w:rFonts w:hint="default" w:asciiTheme="minorEastAsia" w:hAnsiTheme="minorEastAsia" w:eastAsiaTheme="minorEastAsia"/>
          <w:snapToGrid w:val="0"/>
          <w:kern w:val="2"/>
        </w:rPr>
        <w:t>③</w:t>
      </w:r>
      <w:r>
        <w:rPr>
          <w:rFonts w:hint="default" w:asciiTheme="minorEastAsia" w:hAnsiTheme="minorEastAsia" w:eastAsiaTheme="minorEastAsia"/>
          <w:snapToGrid w:val="0"/>
          <w:kern w:val="2"/>
        </w:rPr>
        <w:fldChar w:fldCharType="end"/>
      </w:r>
      <w:r>
        <w:rPr>
          <w:rFonts w:hint="default" w:ascii="Times New Roman" w:hAnsi="Times New Roman" w:eastAsiaTheme="minorEastAsia"/>
          <w:snapToGrid w:val="0"/>
          <w:kern w:val="2"/>
        </w:rPr>
        <w:t>农村生活污污染小结</w:t>
      </w:r>
    </w:p>
    <w:p>
      <w:pPr>
        <w:spacing w:line="360" w:lineRule="auto"/>
        <w:ind w:firstLine="640" w:firstLineChars="200"/>
        <w:rPr>
          <w:rFonts w:hint="default" w:ascii="Times New Roman" w:hAnsi="Times New Roman" w:eastAsiaTheme="minorEastAsia"/>
          <w:snapToGrid w:val="0"/>
        </w:rPr>
      </w:pPr>
      <w:r>
        <w:rPr>
          <w:rFonts w:hint="default" w:ascii="Times New Roman" w:hAnsi="Times New Roman" w:eastAsiaTheme="minorEastAsia"/>
          <w:snapToGrid w:val="0"/>
          <w:kern w:val="2"/>
        </w:rPr>
        <w:t>根据污染产生量和污染负荷削减量可知，流域内农村</w:t>
      </w:r>
      <w:r>
        <w:rPr>
          <w:rFonts w:hint="eastAsia" w:ascii="Times New Roman" w:hAnsi="Times New Roman" w:eastAsiaTheme="minorEastAsia"/>
          <w:snapToGrid w:val="0"/>
          <w:kern w:val="2"/>
          <w:lang w:val="en-US" w:eastAsia="zh-CN"/>
        </w:rPr>
        <w:t>生活</w:t>
      </w:r>
      <w:r>
        <w:rPr>
          <w:rFonts w:hint="default" w:ascii="Times New Roman" w:hAnsi="Times New Roman" w:eastAsiaTheme="minorEastAsia"/>
          <w:snapToGrid w:val="0"/>
          <w:kern w:val="2"/>
        </w:rPr>
        <w:t>污染排放负荷为COD</w:t>
      </w:r>
      <w:r>
        <w:rPr>
          <w:rFonts w:hint="default" w:ascii="Times New Roman" w:hAnsi="Times New Roman" w:eastAsiaTheme="minorEastAsia"/>
          <w:snapToGrid w:val="0"/>
          <w:color w:val="FF0000"/>
          <w:kern w:val="2"/>
          <w:highlight w:val="none"/>
        </w:rPr>
        <w:t xml:space="preserve"> </w:t>
      </w:r>
      <w:r>
        <w:rPr>
          <w:rFonts w:hint="eastAsia" w:ascii="Times New Roman" w:hAnsi="Times New Roman" w:eastAsiaTheme="minorEastAsia"/>
          <w:snapToGrid w:val="0"/>
          <w:kern w:val="2"/>
          <w:highlight w:val="none"/>
          <w:lang w:val="en-US" w:eastAsia="zh-CN"/>
        </w:rPr>
        <w:t>19.96</w:t>
      </w:r>
      <w:r>
        <w:rPr>
          <w:rFonts w:hint="default" w:ascii="Times New Roman" w:hAnsi="Times New Roman" w:eastAsiaTheme="minorEastAsia"/>
          <w:snapToGrid w:val="0"/>
          <w:kern w:val="2"/>
          <w:highlight w:val="none"/>
        </w:rPr>
        <w:t>吨/年、NH</w:t>
      </w:r>
      <w:r>
        <w:rPr>
          <w:rFonts w:hint="default" w:ascii="Times New Roman" w:hAnsi="Times New Roman" w:eastAsiaTheme="minorEastAsia"/>
          <w:snapToGrid w:val="0"/>
          <w:kern w:val="2"/>
          <w:highlight w:val="none"/>
          <w:vertAlign w:val="subscript"/>
        </w:rPr>
        <w:t>3</w:t>
      </w:r>
      <w:r>
        <w:rPr>
          <w:rFonts w:hint="default" w:ascii="Times New Roman" w:hAnsi="Times New Roman" w:eastAsiaTheme="minorEastAsia"/>
          <w:snapToGrid w:val="0"/>
          <w:kern w:val="2"/>
          <w:highlight w:val="none"/>
        </w:rPr>
        <w:t xml:space="preserve">-N </w:t>
      </w:r>
      <w:r>
        <w:rPr>
          <w:rFonts w:hint="eastAsia" w:ascii="Times New Roman" w:hAnsi="Times New Roman" w:eastAsiaTheme="minorEastAsia"/>
          <w:snapToGrid w:val="0"/>
          <w:kern w:val="2"/>
          <w:highlight w:val="none"/>
          <w:lang w:val="en-US" w:eastAsia="zh-CN"/>
        </w:rPr>
        <w:t>2.47</w:t>
      </w:r>
      <w:r>
        <w:rPr>
          <w:rFonts w:hint="default" w:ascii="Times New Roman" w:hAnsi="Times New Roman" w:eastAsiaTheme="minorEastAsia"/>
          <w:snapToGrid w:val="0"/>
          <w:kern w:val="2"/>
          <w:highlight w:val="none"/>
        </w:rPr>
        <w:t>吨/年</w:t>
      </w:r>
      <w:r>
        <w:rPr>
          <w:rFonts w:hint="default" w:ascii="Times New Roman" w:hAnsi="Times New Roman" w:eastAsiaTheme="minorEastAsia"/>
          <w:snapToGrid w:val="0"/>
          <w:kern w:val="2"/>
        </w:rPr>
        <w:t>，见下表3.2-5。</w:t>
      </w:r>
    </w:p>
    <w:p>
      <w:pPr>
        <w:pStyle w:val="25"/>
        <w:bidi w:val="0"/>
        <w:rPr>
          <w:rFonts w:hint="default"/>
        </w:rPr>
      </w:pPr>
      <w:r>
        <w:rPr>
          <w:rFonts w:hint="default"/>
        </w:rPr>
        <w:t xml:space="preserve">表3.2-5 </w:t>
      </w:r>
      <w:r>
        <w:rPr>
          <w:rFonts w:hint="eastAsia"/>
          <w:lang w:val="en-US" w:eastAsia="zh-CN"/>
        </w:rPr>
        <w:t xml:space="preserve">  </w:t>
      </w:r>
      <w:r>
        <w:rPr>
          <w:rFonts w:hint="default"/>
        </w:rPr>
        <w:t>流域农村生活污水污染入河排放负荷</w:t>
      </w:r>
    </w:p>
    <w:tbl>
      <w:tblPr>
        <w:tblStyle w:val="20"/>
        <w:tblW w:w="9762" w:type="dxa"/>
        <w:jc w:val="center"/>
        <w:tblLayout w:type="fixed"/>
        <w:tblCellMar>
          <w:top w:w="0" w:type="dxa"/>
          <w:left w:w="108" w:type="dxa"/>
          <w:bottom w:w="0" w:type="dxa"/>
          <w:right w:w="108" w:type="dxa"/>
        </w:tblCellMar>
      </w:tblPr>
      <w:tblGrid>
        <w:gridCol w:w="2229"/>
        <w:gridCol w:w="1859"/>
        <w:gridCol w:w="4184"/>
        <w:gridCol w:w="1490"/>
      </w:tblGrid>
      <w:tr>
        <w:tblPrEx>
          <w:tblCellMar>
            <w:top w:w="0" w:type="dxa"/>
            <w:left w:w="108" w:type="dxa"/>
            <w:bottom w:w="0" w:type="dxa"/>
            <w:right w:w="108" w:type="dxa"/>
          </w:tblCellMar>
        </w:tblPrEx>
        <w:trPr>
          <w:trHeight w:val="454" w:hRule="atLeast"/>
          <w:tblHeader/>
          <w:jc w:val="center"/>
        </w:trPr>
        <w:tc>
          <w:tcPr>
            <w:tcW w:w="22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5"/>
              <w:bidi w:val="0"/>
              <w:rPr>
                <w:rFonts w:hint="default"/>
              </w:rPr>
            </w:pPr>
            <w:r>
              <w:t>行政村</w:t>
            </w:r>
          </w:p>
        </w:tc>
        <w:tc>
          <w:tcPr>
            <w:tcW w:w="1859" w:type="dxa"/>
            <w:tcBorders>
              <w:top w:val="single" w:color="auto" w:sz="4" w:space="0"/>
              <w:left w:val="nil"/>
              <w:bottom w:val="single" w:color="auto" w:sz="4" w:space="0"/>
              <w:right w:val="single" w:color="auto" w:sz="4" w:space="0"/>
            </w:tcBorders>
            <w:shd w:val="clear" w:color="auto" w:fill="auto"/>
            <w:vAlign w:val="center"/>
          </w:tcPr>
          <w:p>
            <w:pPr>
              <w:pStyle w:val="25"/>
              <w:bidi w:val="0"/>
              <w:rPr>
                <w:rFonts w:hint="default"/>
              </w:rPr>
            </w:pPr>
            <w:r>
              <w:t>常住人口</w:t>
            </w:r>
          </w:p>
        </w:tc>
        <w:tc>
          <w:tcPr>
            <w:tcW w:w="4184" w:type="dxa"/>
            <w:tcBorders>
              <w:top w:val="single" w:color="auto" w:sz="4" w:space="0"/>
              <w:left w:val="nil"/>
              <w:bottom w:val="single" w:color="auto" w:sz="4" w:space="0"/>
              <w:right w:val="single" w:color="auto" w:sz="4" w:space="0"/>
            </w:tcBorders>
            <w:shd w:val="clear" w:color="auto" w:fill="auto"/>
            <w:vAlign w:val="center"/>
          </w:tcPr>
          <w:p>
            <w:pPr>
              <w:pStyle w:val="25"/>
              <w:bidi w:val="0"/>
              <w:rPr>
                <w:rFonts w:hint="default"/>
              </w:rPr>
            </w:pPr>
            <w:r>
              <w:t>入河污染负荷（吨/年）</w:t>
            </w:r>
          </w:p>
        </w:tc>
        <w:tc>
          <w:tcPr>
            <w:tcW w:w="1490" w:type="dxa"/>
            <w:tcBorders>
              <w:top w:val="single" w:color="auto" w:sz="4" w:space="0"/>
              <w:left w:val="nil"/>
              <w:bottom w:val="single" w:color="auto" w:sz="4" w:space="0"/>
              <w:right w:val="single" w:color="auto" w:sz="4" w:space="0"/>
            </w:tcBorders>
            <w:shd w:val="clear" w:color="auto" w:fill="auto"/>
            <w:vAlign w:val="center"/>
          </w:tcPr>
          <w:p>
            <w:pPr>
              <w:pStyle w:val="25"/>
              <w:bidi w:val="0"/>
            </w:pPr>
          </w:p>
        </w:tc>
      </w:tr>
      <w:tr>
        <w:tblPrEx>
          <w:tblCellMar>
            <w:top w:w="0" w:type="dxa"/>
            <w:left w:w="108" w:type="dxa"/>
            <w:bottom w:w="0" w:type="dxa"/>
            <w:right w:w="108" w:type="dxa"/>
          </w:tblCellMar>
        </w:tblPrEx>
        <w:trPr>
          <w:trHeight w:val="454" w:hRule="atLeast"/>
          <w:tblHeader/>
          <w:jc w:val="center"/>
        </w:trPr>
        <w:tc>
          <w:tcPr>
            <w:tcW w:w="2229" w:type="dxa"/>
            <w:vMerge w:val="continue"/>
            <w:tcBorders>
              <w:top w:val="single" w:color="auto" w:sz="4" w:space="0"/>
              <w:left w:val="single" w:color="auto" w:sz="4" w:space="0"/>
              <w:bottom w:val="single" w:color="auto" w:sz="4" w:space="0"/>
              <w:right w:val="single" w:color="auto" w:sz="4" w:space="0"/>
            </w:tcBorders>
            <w:vAlign w:val="center"/>
          </w:tcPr>
          <w:p>
            <w:pPr>
              <w:pStyle w:val="25"/>
              <w:bidi w:val="0"/>
              <w:rPr>
                <w:rFonts w:hint="default"/>
              </w:rPr>
            </w:pPr>
          </w:p>
        </w:tc>
        <w:tc>
          <w:tcPr>
            <w:tcW w:w="1859"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t>（人）</w:t>
            </w:r>
          </w:p>
        </w:tc>
        <w:tc>
          <w:tcPr>
            <w:tcW w:w="4184"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t>COD</w:t>
            </w:r>
          </w:p>
        </w:tc>
        <w:tc>
          <w:tcPr>
            <w:tcW w:w="1490"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t>NH3-N</w:t>
            </w:r>
          </w:p>
        </w:tc>
      </w:tr>
      <w:tr>
        <w:tblPrEx>
          <w:tblCellMar>
            <w:top w:w="0" w:type="dxa"/>
            <w:left w:w="108" w:type="dxa"/>
            <w:bottom w:w="0" w:type="dxa"/>
            <w:right w:w="108" w:type="dxa"/>
          </w:tblCellMar>
        </w:tblPrEx>
        <w:trPr>
          <w:trHeight w:val="454" w:hRule="atLeast"/>
          <w:jc w:val="center"/>
        </w:trPr>
        <w:tc>
          <w:tcPr>
            <w:tcW w:w="2229" w:type="dxa"/>
            <w:tcBorders>
              <w:top w:val="nil"/>
              <w:left w:val="single" w:color="auto" w:sz="4" w:space="0"/>
              <w:bottom w:val="single" w:color="auto" w:sz="4" w:space="0"/>
              <w:right w:val="single" w:color="auto" w:sz="4" w:space="0"/>
            </w:tcBorders>
            <w:shd w:val="clear" w:color="auto" w:fill="auto"/>
            <w:noWrap/>
            <w:vAlign w:val="center"/>
          </w:tcPr>
          <w:p>
            <w:pPr>
              <w:pStyle w:val="25"/>
              <w:bidi w:val="0"/>
              <w:rPr>
                <w:rFonts w:hint="default"/>
                <w:lang w:val="en-US" w:eastAsia="zh-CN"/>
              </w:rPr>
            </w:pPr>
            <w:r>
              <w:rPr>
                <w:rFonts w:hint="eastAsia"/>
                <w:lang w:val="en-US" w:eastAsia="zh-CN"/>
              </w:rPr>
              <w:t>赤溪河流域</w:t>
            </w:r>
          </w:p>
        </w:tc>
        <w:tc>
          <w:tcPr>
            <w:tcW w:w="1859" w:type="dxa"/>
            <w:tcBorders>
              <w:top w:val="nil"/>
              <w:left w:val="nil"/>
              <w:bottom w:val="single" w:color="auto" w:sz="4" w:space="0"/>
              <w:right w:val="single" w:color="auto" w:sz="4" w:space="0"/>
            </w:tcBorders>
            <w:shd w:val="clear" w:color="auto" w:fill="auto"/>
            <w:noWrap/>
            <w:vAlign w:val="center"/>
          </w:tcPr>
          <w:p>
            <w:pPr>
              <w:pStyle w:val="25"/>
              <w:bidi w:val="0"/>
              <w:rPr>
                <w:rFonts w:hint="default"/>
                <w:lang w:val="en-US" w:eastAsia="zh-CN"/>
              </w:rPr>
            </w:pPr>
            <w:r>
              <w:rPr>
                <w:rFonts w:hint="eastAsia"/>
                <w:lang w:val="en-US" w:eastAsia="zh-CN"/>
              </w:rPr>
              <w:t>7900</w:t>
            </w:r>
          </w:p>
        </w:tc>
        <w:tc>
          <w:tcPr>
            <w:tcW w:w="4184" w:type="dxa"/>
            <w:tcBorders>
              <w:top w:val="nil"/>
              <w:left w:val="nil"/>
              <w:bottom w:val="single" w:color="auto" w:sz="4" w:space="0"/>
              <w:right w:val="single" w:color="auto" w:sz="4" w:space="0"/>
            </w:tcBorders>
            <w:shd w:val="clear" w:color="auto" w:fill="auto"/>
            <w:noWrap/>
            <w:vAlign w:val="center"/>
          </w:tcPr>
          <w:p>
            <w:pPr>
              <w:pStyle w:val="25"/>
              <w:bidi w:val="0"/>
              <w:rPr>
                <w:rFonts w:hint="default"/>
                <w:lang w:val="en-US" w:eastAsia="zh-CN"/>
              </w:rPr>
            </w:pPr>
            <w:r>
              <w:rPr>
                <w:rFonts w:hint="eastAsia"/>
                <w:lang w:val="en-US" w:eastAsia="zh-CN"/>
              </w:rPr>
              <w:t>19.96</w:t>
            </w:r>
          </w:p>
        </w:tc>
        <w:tc>
          <w:tcPr>
            <w:tcW w:w="1490" w:type="dxa"/>
            <w:tcBorders>
              <w:top w:val="nil"/>
              <w:left w:val="nil"/>
              <w:bottom w:val="single" w:color="auto" w:sz="4" w:space="0"/>
              <w:right w:val="single" w:color="auto" w:sz="4" w:space="0"/>
            </w:tcBorders>
            <w:shd w:val="clear" w:color="auto" w:fill="auto"/>
            <w:noWrap/>
            <w:vAlign w:val="center"/>
          </w:tcPr>
          <w:p>
            <w:pPr>
              <w:pStyle w:val="25"/>
              <w:bidi w:val="0"/>
              <w:rPr>
                <w:rFonts w:hint="default"/>
                <w:lang w:val="en-US" w:eastAsia="zh-CN"/>
              </w:rPr>
            </w:pPr>
            <w:r>
              <w:rPr>
                <w:rFonts w:hint="eastAsia"/>
                <w:lang w:val="en-US" w:eastAsia="zh-CN"/>
              </w:rPr>
              <w:t>2.47</w:t>
            </w:r>
          </w:p>
        </w:tc>
      </w:tr>
    </w:tbl>
    <w:p>
      <w:pPr>
        <w:keepNext w:val="0"/>
        <w:keepLines w:val="0"/>
        <w:pageBreakBefore w:val="0"/>
        <w:widowControl w:val="0"/>
        <w:numPr>
          <w:ilvl w:val="0"/>
          <w:numId w:val="10"/>
        </w:numPr>
        <w:kinsoku/>
        <w:wordWrap/>
        <w:overflowPunct/>
        <w:topLinePunct w:val="0"/>
        <w:autoSpaceDE w:val="0"/>
        <w:autoSpaceDN w:val="0"/>
        <w:bidi w:val="0"/>
        <w:adjustRightInd/>
        <w:snapToGrid/>
        <w:ind w:left="0" w:firstLine="0" w:firstLineChars="0"/>
        <w:textAlignment w:val="auto"/>
        <w:rPr>
          <w:rFonts w:hint="eastAsia"/>
          <w:lang w:val="en-US" w:eastAsia="zh-CN"/>
        </w:rPr>
      </w:pPr>
      <w:r>
        <w:rPr>
          <w:rFonts w:hint="eastAsia"/>
          <w:lang w:val="en-US" w:eastAsia="zh-CN"/>
        </w:rPr>
        <w:t>畜禽养殖情况</w:t>
      </w:r>
    </w:p>
    <w:p>
      <w:pPr>
        <w:autoSpaceDE w:val="0"/>
        <w:autoSpaceDN w:val="0"/>
        <w:adjustRightInd w:val="0"/>
        <w:snapToGrid w:val="0"/>
        <w:spacing w:line="600" w:lineRule="exact"/>
        <w:ind w:firstLine="600" w:firstLineChars="200"/>
        <w:rPr>
          <w:rFonts w:hint="eastAsia" w:hAnsi="宋体"/>
          <w:color w:val="auto"/>
          <w:sz w:val="30"/>
          <w:szCs w:val="30"/>
          <w:lang w:val="en-US" w:eastAsia="zh-CN"/>
        </w:rPr>
      </w:pPr>
      <w:r>
        <w:rPr>
          <w:rFonts w:hint="eastAsia" w:ascii="方正仿宋_GBK" w:hAnsi="宋体" w:eastAsia="方正仿宋_GBK"/>
          <w:color w:val="auto"/>
          <w:sz w:val="30"/>
          <w:szCs w:val="30"/>
        </w:rPr>
        <w:t>赤溪河流域内共有规模化养殖企业</w:t>
      </w:r>
      <w:r>
        <w:rPr>
          <w:rFonts w:hint="eastAsia" w:hAnsi="宋体"/>
          <w:color w:val="auto"/>
          <w:sz w:val="30"/>
          <w:szCs w:val="30"/>
          <w:lang w:val="en-US" w:eastAsia="zh-CN"/>
        </w:rPr>
        <w:t>5</w:t>
      </w:r>
      <w:r>
        <w:rPr>
          <w:rFonts w:hint="eastAsia" w:ascii="方正仿宋_GBK" w:hAnsi="宋体" w:eastAsia="方正仿宋_GBK"/>
          <w:color w:val="auto"/>
          <w:sz w:val="30"/>
          <w:szCs w:val="30"/>
        </w:rPr>
        <w:t>家，分别为</w:t>
      </w:r>
      <w:r>
        <w:rPr>
          <w:rFonts w:hint="default" w:ascii="方正仿宋_GBK" w:hAnsi="宋体" w:eastAsia="方正仿宋_GBK"/>
          <w:color w:val="auto"/>
          <w:sz w:val="30"/>
          <w:szCs w:val="30"/>
        </w:rPr>
        <w:t>丰都县万民肉兔养殖专业合作社</w:t>
      </w:r>
      <w:r>
        <w:rPr>
          <w:rFonts w:hint="eastAsia" w:ascii="方正仿宋_GBK" w:hAnsi="宋体" w:eastAsia="方正仿宋_GBK"/>
          <w:color w:val="auto"/>
          <w:sz w:val="30"/>
          <w:szCs w:val="30"/>
          <w:lang w:eastAsia="zh-CN"/>
        </w:rPr>
        <w:t>、重庆市禧增农业开发有限公司、秦廷国生猪养殖场、丰都县淑华畜牧养殖场</w:t>
      </w:r>
      <w:r>
        <w:rPr>
          <w:rFonts w:hint="eastAsia" w:hAnsi="宋体"/>
          <w:color w:val="auto"/>
          <w:sz w:val="30"/>
          <w:szCs w:val="30"/>
          <w:lang w:val="en-US" w:eastAsia="zh-CN"/>
        </w:rPr>
        <w:t>和鸿态养殖场</w:t>
      </w:r>
      <w:r>
        <w:rPr>
          <w:rFonts w:hint="eastAsia" w:ascii="方正仿宋_GBK" w:hAnsi="宋体" w:eastAsia="方正仿宋_GBK"/>
          <w:color w:val="auto"/>
          <w:sz w:val="30"/>
          <w:szCs w:val="30"/>
        </w:rPr>
        <w:t>。养殖场污染处理设施多为</w:t>
      </w:r>
      <w:r>
        <w:rPr>
          <w:rFonts w:hint="eastAsia" w:hAnsi="宋体"/>
          <w:color w:val="auto"/>
          <w:sz w:val="30"/>
          <w:szCs w:val="30"/>
          <w:lang w:val="en-US" w:eastAsia="zh-CN"/>
        </w:rPr>
        <w:t>沼气池</w:t>
      </w:r>
      <w:r>
        <w:rPr>
          <w:rFonts w:hint="eastAsia" w:ascii="方正仿宋_GBK" w:hAnsi="宋体" w:eastAsia="方正仿宋_GBK"/>
          <w:color w:val="auto"/>
          <w:sz w:val="30"/>
          <w:szCs w:val="30"/>
        </w:rPr>
        <w:t>，</w:t>
      </w:r>
      <w:r>
        <w:rPr>
          <w:rFonts w:hint="eastAsia" w:hAnsi="宋体"/>
          <w:color w:val="auto"/>
          <w:sz w:val="30"/>
          <w:szCs w:val="30"/>
          <w:lang w:val="en-US" w:eastAsia="zh-CN"/>
        </w:rPr>
        <w:t>其中</w:t>
      </w:r>
      <w:r>
        <w:rPr>
          <w:rFonts w:hint="eastAsia" w:ascii="方正仿宋_GBK" w:hAnsi="宋体" w:eastAsia="方正仿宋_GBK"/>
          <w:color w:val="auto"/>
          <w:sz w:val="30"/>
          <w:szCs w:val="30"/>
          <w:lang w:eastAsia="zh-CN"/>
        </w:rPr>
        <w:t>重庆市禧增农业开发有限公司</w:t>
      </w:r>
      <w:r>
        <w:rPr>
          <w:rFonts w:hint="eastAsia" w:hAnsi="宋体"/>
          <w:color w:val="auto"/>
          <w:sz w:val="30"/>
          <w:szCs w:val="30"/>
          <w:lang w:val="en-US" w:eastAsia="zh-CN"/>
        </w:rPr>
        <w:t>污水处理工艺为“预处理+生物处理+膜处理”工艺，处理效果比较良好。</w:t>
      </w:r>
    </w:p>
    <w:tbl>
      <w:tblPr>
        <w:tblStyle w:val="21"/>
        <w:tblW w:w="9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3"/>
        <w:gridCol w:w="4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3" w:type="dxa"/>
          </w:tcPr>
          <w:p>
            <w:pPr>
              <w:pStyle w:val="25"/>
              <w:bidi w:val="0"/>
              <w:rPr>
                <w:rFonts w:hint="eastAsia"/>
                <w:lang w:eastAsia="zh-CN"/>
              </w:rPr>
            </w:pPr>
            <w:r>
              <w:rPr>
                <w:rFonts w:hint="eastAsia"/>
                <w:lang w:eastAsia="zh-CN"/>
              </w:rPr>
              <w:drawing>
                <wp:inline distT="0" distB="0" distL="114300" distR="114300">
                  <wp:extent cx="2953385" cy="2969260"/>
                  <wp:effectExtent l="0" t="0" r="18415" b="2540"/>
                  <wp:docPr id="3" name="图片 3" descr="5675a369d65e06b08b4c23c1cfd9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675a369d65e06b08b4c23c1cfd92a9"/>
                          <pic:cNvPicPr>
                            <a:picLocks noChangeAspect="1"/>
                          </pic:cNvPicPr>
                        </pic:nvPicPr>
                        <pic:blipFill>
                          <a:blip r:embed="rId13"/>
                          <a:srcRect t="24605"/>
                          <a:stretch>
                            <a:fillRect/>
                          </a:stretch>
                        </pic:blipFill>
                        <pic:spPr>
                          <a:xfrm>
                            <a:off x="0" y="0"/>
                            <a:ext cx="2953385" cy="2969260"/>
                          </a:xfrm>
                          <a:prstGeom prst="rect">
                            <a:avLst/>
                          </a:prstGeom>
                        </pic:spPr>
                      </pic:pic>
                    </a:graphicData>
                  </a:graphic>
                </wp:inline>
              </w:drawing>
            </w:r>
          </w:p>
        </w:tc>
        <w:tc>
          <w:tcPr>
            <w:tcW w:w="4883" w:type="dxa"/>
          </w:tcPr>
          <w:p>
            <w:pPr>
              <w:pStyle w:val="25"/>
              <w:bidi w:val="0"/>
              <w:rPr>
                <w:rFonts w:hint="eastAsia"/>
                <w:lang w:eastAsia="zh-CN"/>
              </w:rPr>
            </w:pPr>
            <w:r>
              <w:rPr>
                <w:rFonts w:hint="eastAsia"/>
                <w:lang w:eastAsia="zh-CN"/>
              </w:rPr>
              <w:drawing>
                <wp:inline distT="0" distB="0" distL="114300" distR="114300">
                  <wp:extent cx="2953385" cy="2953385"/>
                  <wp:effectExtent l="0" t="0" r="18415" b="18415"/>
                  <wp:docPr id="11" name="图片 11" descr="ef1938767f89d1f596ff65a68360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f1938767f89d1f596ff65a6836093e"/>
                          <pic:cNvPicPr>
                            <a:picLocks noChangeAspect="1"/>
                          </pic:cNvPicPr>
                        </pic:nvPicPr>
                        <pic:blipFill>
                          <a:blip r:embed="rId14"/>
                          <a:stretch>
                            <a:fillRect/>
                          </a:stretch>
                        </pic:blipFill>
                        <pic:spPr>
                          <a:xfrm>
                            <a:off x="0" y="0"/>
                            <a:ext cx="2953385" cy="29533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3" w:type="dxa"/>
          </w:tcPr>
          <w:p>
            <w:pPr>
              <w:pStyle w:val="25"/>
              <w:bidi w:val="0"/>
              <w:rPr>
                <w:rFonts w:hint="default"/>
                <w:lang w:val="en-US" w:eastAsia="zh-CN"/>
              </w:rPr>
            </w:pPr>
            <w:r>
              <w:rPr>
                <w:rFonts w:hint="eastAsia"/>
                <w:lang w:val="en-US" w:eastAsia="zh-CN"/>
              </w:rPr>
              <w:t>畜禽养殖污水处理设备</w:t>
            </w:r>
          </w:p>
        </w:tc>
        <w:tc>
          <w:tcPr>
            <w:tcW w:w="4883" w:type="dxa"/>
          </w:tcPr>
          <w:p>
            <w:pPr>
              <w:pStyle w:val="25"/>
              <w:bidi w:val="0"/>
              <w:rPr>
                <w:rFonts w:hint="default"/>
                <w:lang w:val="en-US"/>
              </w:rPr>
            </w:pPr>
            <w:r>
              <w:rPr>
                <w:rFonts w:hint="eastAsia"/>
                <w:lang w:val="en-US" w:eastAsia="zh-CN"/>
              </w:rPr>
              <w:t>畜禽养殖污水处理尾水监测报告</w:t>
            </w:r>
          </w:p>
        </w:tc>
      </w:tr>
    </w:tbl>
    <w:p>
      <w:pPr>
        <w:pStyle w:val="25"/>
        <w:bidi w:val="0"/>
        <w:rPr>
          <w:rFonts w:hint="eastAsia"/>
          <w:lang w:val="en-US" w:eastAsia="zh-CN"/>
        </w:rPr>
      </w:pPr>
      <w:r>
        <w:rPr>
          <w:rFonts w:hint="eastAsia"/>
          <w:lang w:val="en-US" w:eastAsia="zh-CN"/>
        </w:rPr>
        <w:t>图3.2-1  畜禽养殖污水处理情况</w:t>
      </w:r>
    </w:p>
    <w:p>
      <w:pPr>
        <w:bidi w:val="0"/>
        <w:rPr>
          <w:rFonts w:hint="eastAsia"/>
        </w:rPr>
      </w:pPr>
      <w:r>
        <w:rPr>
          <w:rFonts w:hint="eastAsia"/>
        </w:rPr>
        <w:t>根据调查，流域范围内畜禽散养量折合存栏生猪当量共计</w:t>
      </w:r>
      <w:r>
        <w:rPr>
          <w:rFonts w:hint="eastAsia"/>
          <w:lang w:val="en-US" w:eastAsia="zh-CN"/>
        </w:rPr>
        <w:t>1880</w:t>
      </w:r>
      <w:r>
        <w:rPr>
          <w:rFonts w:hint="eastAsia"/>
        </w:rPr>
        <w:t>头。</w:t>
      </w:r>
    </w:p>
    <w:p>
      <w:pPr>
        <w:pStyle w:val="25"/>
        <w:bidi w:val="0"/>
        <w:rPr>
          <w:rFonts w:hint="eastAsia"/>
        </w:rPr>
      </w:pPr>
      <w:r>
        <w:rPr>
          <w:rFonts w:hint="eastAsia"/>
          <w:lang w:val="en-US" w:eastAsia="zh-CN"/>
        </w:rPr>
        <w:t>表3.2-6    畜禽养殖统计表</w:t>
      </w:r>
      <w:r>
        <w:rPr>
          <w:rFonts w:hint="eastAsia"/>
        </w:rPr>
        <w:t xml:space="preserve"> </w:t>
      </w:r>
    </w:p>
    <w:tbl>
      <w:tblPr>
        <w:tblStyle w:val="20"/>
        <w:tblW w:w="9762" w:type="dxa"/>
        <w:tblInd w:w="0" w:type="dxa"/>
        <w:shd w:val="clear" w:color="auto" w:fill="auto"/>
        <w:tblLayout w:type="fixed"/>
        <w:tblCellMar>
          <w:top w:w="0" w:type="dxa"/>
          <w:left w:w="108" w:type="dxa"/>
          <w:bottom w:w="0" w:type="dxa"/>
          <w:right w:w="108" w:type="dxa"/>
        </w:tblCellMar>
      </w:tblPr>
      <w:tblGrid>
        <w:gridCol w:w="748"/>
        <w:gridCol w:w="3675"/>
        <w:gridCol w:w="2816"/>
        <w:gridCol w:w="2523"/>
      </w:tblGrid>
      <w:tr>
        <w:tblPrEx>
          <w:shd w:val="clear" w:color="auto" w:fill="auto"/>
          <w:tblCellMar>
            <w:top w:w="0" w:type="dxa"/>
            <w:left w:w="108" w:type="dxa"/>
            <w:bottom w:w="0" w:type="dxa"/>
            <w:right w:w="108" w:type="dxa"/>
          </w:tblCellMar>
        </w:tblPrEx>
        <w:trPr>
          <w:trHeight w:val="45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pPr>
            <w:r>
              <w:rPr>
                <w:rFonts w:hint="eastAsia"/>
                <w:lang w:val="en-US" w:eastAsia="zh-CN"/>
              </w:rPr>
              <w:t>序号</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企业名称</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位置</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年出栏量（头）</w:t>
            </w:r>
          </w:p>
        </w:tc>
      </w:tr>
      <w:tr>
        <w:tblPrEx>
          <w:tblCellMar>
            <w:top w:w="0" w:type="dxa"/>
            <w:left w:w="108" w:type="dxa"/>
            <w:bottom w:w="0" w:type="dxa"/>
            <w:right w:w="108" w:type="dxa"/>
          </w:tblCellMar>
        </w:tblPrEx>
        <w:trPr>
          <w:trHeight w:val="45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1</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丰都县万民肉兔养殖专业合作社</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树人镇万寿桥村</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3000</w:t>
            </w:r>
          </w:p>
        </w:tc>
      </w:tr>
      <w:tr>
        <w:tblPrEx>
          <w:tblCellMar>
            <w:top w:w="0" w:type="dxa"/>
            <w:left w:w="108" w:type="dxa"/>
            <w:bottom w:w="0" w:type="dxa"/>
            <w:right w:w="108" w:type="dxa"/>
          </w:tblCellMar>
        </w:tblPrEx>
        <w:trPr>
          <w:trHeight w:val="45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2</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重庆市禧增农业开发有限公司</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树人镇万寿桥村</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default"/>
                <w:lang w:val="en-US"/>
              </w:rPr>
            </w:pPr>
            <w:r>
              <w:rPr>
                <w:rFonts w:hint="eastAsia"/>
                <w:lang w:val="en-US" w:eastAsia="zh-CN"/>
              </w:rPr>
              <w:t>1500</w:t>
            </w:r>
          </w:p>
        </w:tc>
      </w:tr>
      <w:tr>
        <w:tblPrEx>
          <w:tblCellMar>
            <w:top w:w="0" w:type="dxa"/>
            <w:left w:w="108" w:type="dxa"/>
            <w:bottom w:w="0" w:type="dxa"/>
            <w:right w:w="108" w:type="dxa"/>
          </w:tblCellMar>
        </w:tblPrEx>
        <w:trPr>
          <w:trHeight w:val="45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3</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秦廷国生猪养殖场</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树人镇岩口场村</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30</w:t>
            </w:r>
          </w:p>
        </w:tc>
      </w:tr>
      <w:tr>
        <w:tblPrEx>
          <w:shd w:val="clear" w:color="auto" w:fill="auto"/>
          <w:tblCellMar>
            <w:top w:w="0" w:type="dxa"/>
            <w:left w:w="108" w:type="dxa"/>
            <w:bottom w:w="0" w:type="dxa"/>
            <w:right w:w="108" w:type="dxa"/>
          </w:tblCellMar>
        </w:tblPrEx>
        <w:trPr>
          <w:trHeight w:val="45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4</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丰都县淑华畜牧养殖场</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树人镇万寿桥村</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50</w:t>
            </w:r>
          </w:p>
        </w:tc>
      </w:tr>
      <w:tr>
        <w:tblPrEx>
          <w:shd w:val="clear" w:color="auto" w:fill="auto"/>
          <w:tblCellMar>
            <w:top w:w="0" w:type="dxa"/>
            <w:left w:w="108" w:type="dxa"/>
            <w:bottom w:w="0" w:type="dxa"/>
            <w:right w:w="108" w:type="dxa"/>
          </w:tblCellMar>
        </w:tblPrEx>
        <w:trPr>
          <w:trHeight w:val="45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5</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鸿态养殖场</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新屋村3社</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bidi w:val="0"/>
              <w:rPr>
                <w:rFonts w:hint="eastAsia"/>
              </w:rPr>
            </w:pPr>
            <w:r>
              <w:rPr>
                <w:rFonts w:hint="eastAsia"/>
                <w:lang w:val="en-US" w:eastAsia="zh-CN"/>
              </w:rPr>
              <w:t>200</w:t>
            </w:r>
          </w:p>
        </w:tc>
      </w:tr>
    </w:tbl>
    <w:p>
      <w:pPr>
        <w:bidi w:val="0"/>
        <w:rPr>
          <w:rFonts w:hint="eastAsia" w:ascii="方正仿宋_GBK" w:hAnsi="宋体" w:eastAsia="方正仿宋_GBK"/>
          <w:szCs w:val="30"/>
        </w:rPr>
      </w:pPr>
      <w:r>
        <w:rPr>
          <w:rFonts w:hint="eastAsia"/>
        </w:rPr>
        <w:t>根据国家环保总局文件《关于减免家禽业排污费等有关问题的通知》（环发（2004）43号）中，给出的禽粪便排泄系数表和禽畜粪便中的污染物平均含量，其污染物排放计量方式见表</w:t>
      </w:r>
      <w:r>
        <w:rPr>
          <w:rFonts w:hint="eastAsia"/>
          <w:lang w:val="en-US" w:eastAsia="zh-CN"/>
        </w:rPr>
        <w:t>3</w:t>
      </w:r>
      <w:r>
        <w:rPr>
          <w:rFonts w:hint="eastAsia"/>
        </w:rPr>
        <w:t>.2-</w:t>
      </w:r>
      <w:r>
        <w:rPr>
          <w:rFonts w:hint="eastAsia"/>
          <w:lang w:val="en-US" w:eastAsia="zh-CN"/>
        </w:rPr>
        <w:t>6</w:t>
      </w:r>
      <w:r>
        <w:rPr>
          <w:rFonts w:hint="eastAsia"/>
        </w:rPr>
        <w:t>、表</w:t>
      </w:r>
      <w:r>
        <w:rPr>
          <w:rFonts w:hint="eastAsia"/>
          <w:lang w:val="en-US" w:eastAsia="zh-CN"/>
        </w:rPr>
        <w:t>3</w:t>
      </w:r>
      <w:r>
        <w:rPr>
          <w:rFonts w:hint="eastAsia"/>
        </w:rPr>
        <w:t>.2-</w:t>
      </w:r>
      <w:r>
        <w:rPr>
          <w:rFonts w:hint="eastAsia"/>
          <w:lang w:val="en-US" w:eastAsia="zh-CN"/>
        </w:rPr>
        <w:t>7</w:t>
      </w:r>
      <w:r>
        <w:rPr>
          <w:rFonts w:hint="eastAsia"/>
        </w:rPr>
        <w:t>，入河系数取值0.3。</w:t>
      </w:r>
    </w:p>
    <w:p>
      <w:pPr>
        <w:autoSpaceDE w:val="0"/>
        <w:autoSpaceDN w:val="0"/>
        <w:adjustRightInd w:val="0"/>
        <w:snapToGrid w:val="0"/>
        <w:spacing w:line="600" w:lineRule="exact"/>
        <w:ind w:firstLine="480" w:firstLineChars="200"/>
        <w:rPr>
          <w:rFonts w:hint="eastAsia" w:ascii="方正仿宋_GBK" w:hAnsi="宋体" w:eastAsia="方正仿宋_GBK"/>
          <w:b/>
          <w:sz w:val="24"/>
          <w:szCs w:val="24"/>
        </w:rPr>
      </w:pPr>
      <w:r>
        <w:rPr>
          <w:rFonts w:hint="eastAsia" w:ascii="方正仿宋_GBK" w:hAnsi="宋体" w:eastAsia="方正仿宋_GBK"/>
          <w:b/>
          <w:sz w:val="24"/>
          <w:szCs w:val="24"/>
        </w:rPr>
        <w:t>注：存栏生猪当量是指：将不同品种畜禽养殖污染物产生量按照生猪养殖污染排放量折算，1头生猪当量相当于：1头商品猪（25公斤以上)、1/2头种猪或母猪、1/5匹马、1/5头肉牛、1/10头奶牛、3只羊、10头仔猪、15只鹅、30只蛋鸡、60只肉鸡、30只鸭、30只兔。</w:t>
      </w:r>
    </w:p>
    <w:p>
      <w:pPr>
        <w:pStyle w:val="25"/>
        <w:bidi w:val="0"/>
        <w:rPr>
          <w:rFonts w:hint="eastAsia"/>
        </w:rPr>
      </w:pPr>
      <w:r>
        <w:rPr>
          <w:rFonts w:hint="default"/>
        </w:rPr>
        <w:t>表3.2</w:t>
      </w:r>
      <w:r>
        <w:rPr>
          <w:rFonts w:hint="eastAsia"/>
          <w:lang w:val="en-US" w:eastAsia="zh-CN"/>
        </w:rPr>
        <w:t>-7</w:t>
      </w:r>
      <w:r>
        <w:rPr>
          <w:rFonts w:hint="default"/>
        </w:rPr>
        <w:t xml:space="preserve"> </w:t>
      </w:r>
      <w:r>
        <w:rPr>
          <w:rFonts w:hint="eastAsia"/>
          <w:lang w:val="en-US" w:eastAsia="zh-CN"/>
        </w:rPr>
        <w:t xml:space="preserve">  </w:t>
      </w:r>
      <w:r>
        <w:rPr>
          <w:rFonts w:hint="default"/>
        </w:rPr>
        <w:t>流域</w:t>
      </w:r>
      <w:r>
        <w:rPr>
          <w:rFonts w:hint="eastAsia"/>
        </w:rPr>
        <w:t>畜禽养殖</w:t>
      </w:r>
      <w:r>
        <w:rPr>
          <w:rFonts w:hint="default"/>
        </w:rPr>
        <w:t>污染的入河排放负荷</w:t>
      </w:r>
    </w:p>
    <w:tbl>
      <w:tblPr>
        <w:tblStyle w:val="20"/>
        <w:tblW w:w="9762" w:type="dxa"/>
        <w:tblInd w:w="0" w:type="dxa"/>
        <w:shd w:val="clear" w:color="auto" w:fill="auto"/>
        <w:tblLayout w:type="fixed"/>
        <w:tblCellMar>
          <w:top w:w="0" w:type="dxa"/>
          <w:left w:w="108" w:type="dxa"/>
          <w:bottom w:w="0" w:type="dxa"/>
          <w:right w:w="108" w:type="dxa"/>
        </w:tblCellMar>
      </w:tblPr>
      <w:tblGrid>
        <w:gridCol w:w="5216"/>
        <w:gridCol w:w="1744"/>
        <w:gridCol w:w="1595"/>
        <w:gridCol w:w="1207"/>
      </w:tblGrid>
      <w:tr>
        <w:tblPrEx>
          <w:shd w:val="clear" w:color="auto" w:fill="auto"/>
          <w:tblCellMar>
            <w:top w:w="0" w:type="dxa"/>
            <w:left w:w="108" w:type="dxa"/>
            <w:bottom w:w="0" w:type="dxa"/>
            <w:right w:w="108" w:type="dxa"/>
          </w:tblCellMar>
        </w:tblPrEx>
        <w:trPr>
          <w:trHeight w:val="315" w:hRule="atLeast"/>
        </w:trPr>
        <w:tc>
          <w:tcPr>
            <w:tcW w:w="521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5"/>
              <w:bidi w:val="0"/>
              <w:jc w:val="center"/>
            </w:pPr>
            <w:r>
              <w:rPr>
                <w:rFonts w:hint="eastAsia"/>
                <w:lang w:val="en-US" w:eastAsia="zh-CN"/>
              </w:rPr>
              <w:t>企业名称</w:t>
            </w:r>
          </w:p>
        </w:tc>
        <w:tc>
          <w:tcPr>
            <w:tcW w:w="1744" w:type="dxa"/>
            <w:tcBorders>
              <w:top w:val="single" w:color="000000" w:sz="8" w:space="0"/>
              <w:left w:val="nil"/>
              <w:bottom w:val="single" w:color="000000" w:sz="8" w:space="0"/>
              <w:right w:val="single" w:color="000000" w:sz="8" w:space="0"/>
            </w:tcBorders>
            <w:shd w:val="clear" w:color="auto" w:fill="auto"/>
            <w:vAlign w:val="center"/>
          </w:tcPr>
          <w:p>
            <w:pPr>
              <w:pStyle w:val="25"/>
              <w:bidi w:val="0"/>
              <w:jc w:val="center"/>
              <w:rPr>
                <w:rFonts w:hint="eastAsia"/>
              </w:rPr>
            </w:pPr>
            <w:r>
              <w:rPr>
                <w:rFonts w:hint="eastAsia"/>
                <w:lang w:val="en-US" w:eastAsia="zh-CN"/>
              </w:rPr>
              <w:t>排污量</w:t>
            </w:r>
          </w:p>
        </w:tc>
        <w:tc>
          <w:tcPr>
            <w:tcW w:w="2802" w:type="dxa"/>
            <w:gridSpan w:val="2"/>
            <w:tcBorders>
              <w:top w:val="single" w:color="000000" w:sz="8" w:space="0"/>
              <w:left w:val="nil"/>
              <w:bottom w:val="single" w:color="000000" w:sz="8" w:space="0"/>
              <w:right w:val="single" w:color="000000" w:sz="8" w:space="0"/>
            </w:tcBorders>
            <w:shd w:val="clear" w:color="auto" w:fill="auto"/>
            <w:vAlign w:val="center"/>
          </w:tcPr>
          <w:p>
            <w:pPr>
              <w:pStyle w:val="25"/>
              <w:bidi w:val="0"/>
              <w:jc w:val="center"/>
              <w:rPr>
                <w:rFonts w:hint="eastAsia"/>
              </w:rPr>
            </w:pPr>
            <w:r>
              <w:rPr>
                <w:rFonts w:hint="eastAsia"/>
                <w:lang w:val="en-US" w:eastAsia="zh-CN"/>
              </w:rPr>
              <w:t>入河污染负荷（吨</w:t>
            </w:r>
            <w:r>
              <w:rPr>
                <w:rFonts w:hint="default"/>
                <w:lang w:val="en-US" w:eastAsia="zh-CN"/>
              </w:rPr>
              <w:t>/年）</w:t>
            </w:r>
          </w:p>
        </w:tc>
      </w:tr>
      <w:tr>
        <w:tblPrEx>
          <w:shd w:val="clear" w:color="auto" w:fill="auto"/>
          <w:tblCellMar>
            <w:top w:w="0" w:type="dxa"/>
            <w:left w:w="108" w:type="dxa"/>
            <w:bottom w:w="0" w:type="dxa"/>
            <w:right w:w="108" w:type="dxa"/>
          </w:tblCellMar>
        </w:tblPrEx>
        <w:trPr>
          <w:trHeight w:val="315" w:hRule="atLeast"/>
        </w:trPr>
        <w:tc>
          <w:tcPr>
            <w:tcW w:w="521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25"/>
              <w:bidi w:val="0"/>
              <w:jc w:val="center"/>
              <w:rPr>
                <w:rFonts w:hint="eastAsia"/>
              </w:rPr>
            </w:pPr>
          </w:p>
        </w:tc>
        <w:tc>
          <w:tcPr>
            <w:tcW w:w="1744" w:type="dxa"/>
            <w:tcBorders>
              <w:top w:val="nil"/>
              <w:left w:val="nil"/>
              <w:bottom w:val="single" w:color="000000" w:sz="8" w:space="0"/>
              <w:right w:val="single" w:color="000000" w:sz="8" w:space="0"/>
            </w:tcBorders>
            <w:shd w:val="clear" w:color="auto" w:fill="auto"/>
            <w:vAlign w:val="center"/>
          </w:tcPr>
          <w:p>
            <w:pPr>
              <w:pStyle w:val="25"/>
              <w:bidi w:val="0"/>
              <w:jc w:val="center"/>
              <w:rPr>
                <w:rFonts w:hint="eastAsia"/>
              </w:rPr>
            </w:pPr>
            <w:r>
              <w:rPr>
                <w:rFonts w:hint="eastAsia"/>
                <w:lang w:val="en-US" w:eastAsia="zh-CN"/>
              </w:rPr>
              <w:t>（m</w:t>
            </w:r>
            <w:r>
              <w:rPr>
                <w:rFonts w:hint="eastAsia"/>
                <w:vertAlign w:val="superscript"/>
                <w:lang w:val="en-US" w:eastAsia="zh-CN"/>
              </w:rPr>
              <w:t>3</w:t>
            </w:r>
            <w:r>
              <w:rPr>
                <w:rFonts w:hint="eastAsia"/>
                <w:lang w:val="en-US" w:eastAsia="zh-CN"/>
              </w:rPr>
              <w:t>/a）</w:t>
            </w:r>
          </w:p>
        </w:tc>
        <w:tc>
          <w:tcPr>
            <w:tcW w:w="1595" w:type="dxa"/>
            <w:tcBorders>
              <w:top w:val="nil"/>
              <w:left w:val="nil"/>
              <w:bottom w:val="single" w:color="000000" w:sz="8" w:space="0"/>
              <w:right w:val="single" w:color="000000" w:sz="8" w:space="0"/>
            </w:tcBorders>
            <w:shd w:val="clear" w:color="auto" w:fill="auto"/>
            <w:vAlign w:val="center"/>
          </w:tcPr>
          <w:p>
            <w:pPr>
              <w:pStyle w:val="25"/>
              <w:bidi w:val="0"/>
              <w:jc w:val="center"/>
              <w:rPr>
                <w:rFonts w:hint="default"/>
              </w:rPr>
            </w:pPr>
            <w:r>
              <w:rPr>
                <w:rFonts w:hint="default"/>
                <w:lang w:val="en-US" w:eastAsia="zh-CN"/>
              </w:rPr>
              <w:t>COD</w:t>
            </w:r>
          </w:p>
        </w:tc>
        <w:tc>
          <w:tcPr>
            <w:tcW w:w="1207" w:type="dxa"/>
            <w:tcBorders>
              <w:top w:val="single" w:color="000000" w:sz="8" w:space="0"/>
              <w:left w:val="nil"/>
              <w:bottom w:val="single" w:color="000000" w:sz="8" w:space="0"/>
              <w:right w:val="single" w:color="000000" w:sz="8" w:space="0"/>
            </w:tcBorders>
            <w:shd w:val="clear" w:color="auto" w:fill="auto"/>
            <w:vAlign w:val="center"/>
          </w:tcPr>
          <w:p>
            <w:pPr>
              <w:pStyle w:val="25"/>
              <w:bidi w:val="0"/>
              <w:jc w:val="center"/>
              <w:rPr>
                <w:rFonts w:hint="default"/>
              </w:rPr>
            </w:pPr>
            <w:r>
              <w:rPr>
                <w:rFonts w:hint="default"/>
                <w:lang w:val="en-US" w:eastAsia="zh-CN"/>
              </w:rPr>
              <w:t>TN</w:t>
            </w:r>
          </w:p>
        </w:tc>
      </w:tr>
      <w:tr>
        <w:tblPrEx>
          <w:shd w:val="clear" w:color="auto" w:fill="auto"/>
          <w:tblCellMar>
            <w:top w:w="0" w:type="dxa"/>
            <w:left w:w="108" w:type="dxa"/>
            <w:bottom w:w="0" w:type="dxa"/>
            <w:right w:w="108" w:type="dxa"/>
          </w:tblCellMar>
        </w:tblPrEx>
        <w:trPr>
          <w:trHeight w:val="330" w:hRule="atLeast"/>
        </w:trPr>
        <w:tc>
          <w:tcPr>
            <w:tcW w:w="5216" w:type="dxa"/>
            <w:tcBorders>
              <w:top w:val="nil"/>
              <w:left w:val="single" w:color="000000" w:sz="8" w:space="0"/>
              <w:bottom w:val="single" w:color="000000" w:sz="8" w:space="0"/>
              <w:right w:val="single" w:color="000000" w:sz="8" w:space="0"/>
            </w:tcBorders>
            <w:shd w:val="clear" w:color="auto" w:fill="auto"/>
            <w:noWrap/>
            <w:vAlign w:val="center"/>
          </w:tcPr>
          <w:p>
            <w:pPr>
              <w:pStyle w:val="25"/>
              <w:bidi w:val="0"/>
              <w:jc w:val="center"/>
              <w:rPr>
                <w:rFonts w:hint="eastAsia"/>
              </w:rPr>
            </w:pPr>
            <w:r>
              <w:rPr>
                <w:rFonts w:hint="eastAsia"/>
                <w:lang w:val="en-US" w:eastAsia="zh-CN"/>
              </w:rPr>
              <w:t>丰都县万民肉兔养殖专业合作社</w:t>
            </w:r>
          </w:p>
        </w:tc>
        <w:tc>
          <w:tcPr>
            <w:tcW w:w="1744"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450</w:t>
            </w:r>
          </w:p>
        </w:tc>
        <w:tc>
          <w:tcPr>
            <w:tcW w:w="1595"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0.18</w:t>
            </w:r>
          </w:p>
        </w:tc>
        <w:tc>
          <w:tcPr>
            <w:tcW w:w="1207"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0.036</w:t>
            </w:r>
          </w:p>
        </w:tc>
      </w:tr>
      <w:tr>
        <w:tblPrEx>
          <w:shd w:val="clear" w:color="auto" w:fill="auto"/>
          <w:tblCellMar>
            <w:top w:w="0" w:type="dxa"/>
            <w:left w:w="108" w:type="dxa"/>
            <w:bottom w:w="0" w:type="dxa"/>
            <w:right w:w="108" w:type="dxa"/>
          </w:tblCellMar>
        </w:tblPrEx>
        <w:trPr>
          <w:trHeight w:val="315" w:hRule="atLeast"/>
        </w:trPr>
        <w:tc>
          <w:tcPr>
            <w:tcW w:w="5216" w:type="dxa"/>
            <w:tcBorders>
              <w:top w:val="nil"/>
              <w:left w:val="single" w:color="000000" w:sz="8" w:space="0"/>
              <w:bottom w:val="single" w:color="000000" w:sz="8" w:space="0"/>
              <w:right w:val="single" w:color="000000" w:sz="8" w:space="0"/>
            </w:tcBorders>
            <w:shd w:val="clear" w:color="auto" w:fill="auto"/>
            <w:noWrap/>
            <w:vAlign w:val="center"/>
          </w:tcPr>
          <w:p>
            <w:pPr>
              <w:pStyle w:val="25"/>
              <w:bidi w:val="0"/>
              <w:jc w:val="center"/>
              <w:rPr>
                <w:rFonts w:hint="eastAsia"/>
              </w:rPr>
            </w:pPr>
            <w:r>
              <w:rPr>
                <w:rFonts w:hint="eastAsia"/>
                <w:lang w:val="en-US" w:eastAsia="zh-CN"/>
              </w:rPr>
              <w:t>重庆市禧增农业开发有限公司</w:t>
            </w:r>
          </w:p>
        </w:tc>
        <w:tc>
          <w:tcPr>
            <w:tcW w:w="1744"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lang w:val="en-US"/>
              </w:rPr>
            </w:pPr>
            <w:r>
              <w:rPr>
                <w:rFonts w:hint="eastAsia"/>
                <w:lang w:val="en-US" w:eastAsia="zh-CN"/>
              </w:rPr>
              <w:t>7000</w:t>
            </w:r>
          </w:p>
        </w:tc>
        <w:tc>
          <w:tcPr>
            <w:tcW w:w="1595"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2.8</w:t>
            </w:r>
          </w:p>
        </w:tc>
        <w:tc>
          <w:tcPr>
            <w:tcW w:w="1207"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0.56</w:t>
            </w:r>
          </w:p>
        </w:tc>
      </w:tr>
      <w:tr>
        <w:tblPrEx>
          <w:shd w:val="clear" w:color="auto" w:fill="auto"/>
          <w:tblCellMar>
            <w:top w:w="0" w:type="dxa"/>
            <w:left w:w="108" w:type="dxa"/>
            <w:bottom w:w="0" w:type="dxa"/>
            <w:right w:w="108" w:type="dxa"/>
          </w:tblCellMar>
        </w:tblPrEx>
        <w:trPr>
          <w:trHeight w:val="315" w:hRule="atLeast"/>
        </w:trPr>
        <w:tc>
          <w:tcPr>
            <w:tcW w:w="5216" w:type="dxa"/>
            <w:tcBorders>
              <w:top w:val="nil"/>
              <w:left w:val="single" w:color="000000" w:sz="8" w:space="0"/>
              <w:bottom w:val="single" w:color="000000" w:sz="8" w:space="0"/>
              <w:right w:val="single" w:color="000000" w:sz="8" w:space="0"/>
            </w:tcBorders>
            <w:shd w:val="clear" w:color="auto" w:fill="auto"/>
            <w:noWrap/>
            <w:vAlign w:val="center"/>
          </w:tcPr>
          <w:p>
            <w:pPr>
              <w:pStyle w:val="25"/>
              <w:bidi w:val="0"/>
              <w:jc w:val="center"/>
              <w:rPr>
                <w:rFonts w:hint="eastAsia"/>
              </w:rPr>
            </w:pPr>
            <w:r>
              <w:rPr>
                <w:rFonts w:hint="eastAsia"/>
                <w:lang w:val="en-US" w:eastAsia="zh-CN"/>
              </w:rPr>
              <w:t>秦廷国生猪养殖场</w:t>
            </w:r>
          </w:p>
        </w:tc>
        <w:tc>
          <w:tcPr>
            <w:tcW w:w="1744" w:type="dxa"/>
            <w:tcBorders>
              <w:top w:val="nil"/>
              <w:left w:val="nil"/>
              <w:bottom w:val="single" w:color="000000" w:sz="8" w:space="0"/>
              <w:right w:val="single" w:color="000000" w:sz="8" w:space="0"/>
            </w:tcBorders>
            <w:shd w:val="clear" w:color="auto" w:fill="auto"/>
            <w:vAlign w:val="center"/>
          </w:tcPr>
          <w:p>
            <w:pPr>
              <w:pStyle w:val="25"/>
              <w:bidi w:val="0"/>
              <w:jc w:val="center"/>
              <w:rPr>
                <w:rFonts w:hint="default"/>
              </w:rPr>
            </w:pPr>
            <w:r>
              <w:rPr>
                <w:rFonts w:hint="eastAsia"/>
                <w:lang w:val="en-US" w:eastAsia="zh-CN"/>
              </w:rPr>
              <w:t>150</w:t>
            </w:r>
          </w:p>
        </w:tc>
        <w:tc>
          <w:tcPr>
            <w:tcW w:w="1595"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0.06</w:t>
            </w:r>
          </w:p>
        </w:tc>
        <w:tc>
          <w:tcPr>
            <w:tcW w:w="1207"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0.012</w:t>
            </w:r>
          </w:p>
        </w:tc>
      </w:tr>
      <w:tr>
        <w:tblPrEx>
          <w:shd w:val="clear" w:color="auto" w:fill="auto"/>
          <w:tblCellMar>
            <w:top w:w="0" w:type="dxa"/>
            <w:left w:w="108" w:type="dxa"/>
            <w:bottom w:w="0" w:type="dxa"/>
            <w:right w:w="108" w:type="dxa"/>
          </w:tblCellMar>
        </w:tblPrEx>
        <w:trPr>
          <w:trHeight w:val="315" w:hRule="atLeast"/>
        </w:trPr>
        <w:tc>
          <w:tcPr>
            <w:tcW w:w="5216" w:type="dxa"/>
            <w:tcBorders>
              <w:top w:val="nil"/>
              <w:left w:val="single" w:color="000000" w:sz="8" w:space="0"/>
              <w:bottom w:val="single" w:color="000000" w:sz="8" w:space="0"/>
              <w:right w:val="single" w:color="000000" w:sz="8" w:space="0"/>
            </w:tcBorders>
            <w:shd w:val="clear" w:color="auto" w:fill="auto"/>
            <w:noWrap/>
            <w:vAlign w:val="center"/>
          </w:tcPr>
          <w:p>
            <w:pPr>
              <w:pStyle w:val="25"/>
              <w:bidi w:val="0"/>
              <w:jc w:val="center"/>
              <w:rPr>
                <w:rFonts w:hint="eastAsia"/>
                <w:lang w:val="en-US" w:eastAsia="zh-CN"/>
              </w:rPr>
            </w:pPr>
            <w:r>
              <w:rPr>
                <w:rFonts w:hint="eastAsia"/>
                <w:lang w:val="en-US" w:eastAsia="zh-CN"/>
              </w:rPr>
              <w:t>丰都县淑华畜牧养殖场</w:t>
            </w:r>
          </w:p>
        </w:tc>
        <w:tc>
          <w:tcPr>
            <w:tcW w:w="1744" w:type="dxa"/>
            <w:tcBorders>
              <w:top w:val="nil"/>
              <w:left w:val="nil"/>
              <w:bottom w:val="single" w:color="000000" w:sz="8" w:space="0"/>
              <w:right w:val="single" w:color="000000" w:sz="8" w:space="0"/>
            </w:tcBorders>
            <w:shd w:val="clear" w:color="auto" w:fill="auto"/>
            <w:vAlign w:val="center"/>
          </w:tcPr>
          <w:p>
            <w:pPr>
              <w:pStyle w:val="25"/>
              <w:bidi w:val="0"/>
              <w:jc w:val="center"/>
              <w:rPr>
                <w:rFonts w:hint="default"/>
                <w:lang w:val="en-US" w:eastAsia="zh-CN"/>
              </w:rPr>
            </w:pPr>
            <w:r>
              <w:rPr>
                <w:rFonts w:hint="eastAsia"/>
                <w:lang w:val="en-US" w:eastAsia="zh-CN"/>
              </w:rPr>
              <w:t>240</w:t>
            </w:r>
          </w:p>
        </w:tc>
        <w:tc>
          <w:tcPr>
            <w:tcW w:w="1595"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0.096</w:t>
            </w:r>
          </w:p>
        </w:tc>
        <w:tc>
          <w:tcPr>
            <w:tcW w:w="1207"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0.0192</w:t>
            </w:r>
          </w:p>
        </w:tc>
      </w:tr>
      <w:tr>
        <w:tblPrEx>
          <w:shd w:val="clear" w:color="auto" w:fill="auto"/>
          <w:tblCellMar>
            <w:top w:w="0" w:type="dxa"/>
            <w:left w:w="108" w:type="dxa"/>
            <w:bottom w:w="0" w:type="dxa"/>
            <w:right w:w="108" w:type="dxa"/>
          </w:tblCellMar>
        </w:tblPrEx>
        <w:trPr>
          <w:trHeight w:val="315" w:hRule="atLeast"/>
        </w:trPr>
        <w:tc>
          <w:tcPr>
            <w:tcW w:w="5216" w:type="dxa"/>
            <w:tcBorders>
              <w:top w:val="nil"/>
              <w:left w:val="single" w:color="000000" w:sz="8" w:space="0"/>
              <w:bottom w:val="single" w:color="000000" w:sz="8" w:space="0"/>
              <w:right w:val="single" w:color="000000" w:sz="8" w:space="0"/>
            </w:tcBorders>
            <w:shd w:val="clear" w:color="auto" w:fill="auto"/>
            <w:noWrap/>
            <w:vAlign w:val="center"/>
          </w:tcPr>
          <w:p>
            <w:pPr>
              <w:pStyle w:val="25"/>
              <w:bidi w:val="0"/>
              <w:jc w:val="center"/>
              <w:rPr>
                <w:rFonts w:hint="eastAsia"/>
                <w:lang w:val="en-US" w:eastAsia="zh-CN"/>
              </w:rPr>
            </w:pPr>
            <w:r>
              <w:rPr>
                <w:rFonts w:hint="eastAsia"/>
                <w:lang w:val="en-US" w:eastAsia="zh-CN"/>
              </w:rPr>
              <w:t>鸿态养殖场</w:t>
            </w:r>
          </w:p>
        </w:tc>
        <w:tc>
          <w:tcPr>
            <w:tcW w:w="1744" w:type="dxa"/>
            <w:tcBorders>
              <w:top w:val="nil"/>
              <w:left w:val="nil"/>
              <w:bottom w:val="single" w:color="000000" w:sz="8" w:space="0"/>
              <w:right w:val="single" w:color="000000" w:sz="8" w:space="0"/>
            </w:tcBorders>
            <w:shd w:val="clear" w:color="auto" w:fill="auto"/>
            <w:vAlign w:val="center"/>
          </w:tcPr>
          <w:p>
            <w:pPr>
              <w:pStyle w:val="25"/>
              <w:bidi w:val="0"/>
              <w:jc w:val="center"/>
              <w:rPr>
                <w:rFonts w:hint="default"/>
                <w:lang w:val="en-US" w:eastAsia="zh-CN"/>
              </w:rPr>
            </w:pPr>
            <w:r>
              <w:rPr>
                <w:rFonts w:hint="eastAsia"/>
                <w:lang w:val="en-US" w:eastAsia="zh-CN"/>
              </w:rPr>
              <w:t>900</w:t>
            </w:r>
          </w:p>
        </w:tc>
        <w:tc>
          <w:tcPr>
            <w:tcW w:w="1595"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0.36</w:t>
            </w:r>
          </w:p>
        </w:tc>
        <w:tc>
          <w:tcPr>
            <w:tcW w:w="1207"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0.072</w:t>
            </w:r>
          </w:p>
        </w:tc>
      </w:tr>
      <w:tr>
        <w:tblPrEx>
          <w:shd w:val="clear" w:color="auto" w:fill="auto"/>
          <w:tblCellMar>
            <w:top w:w="0" w:type="dxa"/>
            <w:left w:w="108" w:type="dxa"/>
            <w:bottom w:w="0" w:type="dxa"/>
            <w:right w:w="108" w:type="dxa"/>
          </w:tblCellMar>
        </w:tblPrEx>
        <w:trPr>
          <w:trHeight w:val="330" w:hRule="atLeast"/>
        </w:trPr>
        <w:tc>
          <w:tcPr>
            <w:tcW w:w="5216" w:type="dxa"/>
            <w:tcBorders>
              <w:top w:val="nil"/>
              <w:left w:val="single" w:color="000000" w:sz="8" w:space="0"/>
              <w:bottom w:val="single" w:color="000000" w:sz="8" w:space="0"/>
              <w:right w:val="single" w:color="000000" w:sz="8" w:space="0"/>
            </w:tcBorders>
            <w:shd w:val="clear" w:color="auto" w:fill="auto"/>
            <w:noWrap/>
            <w:vAlign w:val="center"/>
          </w:tcPr>
          <w:p>
            <w:pPr>
              <w:pStyle w:val="25"/>
              <w:bidi w:val="0"/>
              <w:jc w:val="center"/>
              <w:rPr>
                <w:rFonts w:hint="eastAsia"/>
              </w:rPr>
            </w:pPr>
            <w:r>
              <w:rPr>
                <w:rFonts w:hint="eastAsia"/>
                <w:lang w:val="en-US" w:eastAsia="zh-CN"/>
              </w:rPr>
              <w:t>合计</w:t>
            </w:r>
          </w:p>
        </w:tc>
        <w:tc>
          <w:tcPr>
            <w:tcW w:w="1744"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p>
        </w:tc>
        <w:tc>
          <w:tcPr>
            <w:tcW w:w="1595"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3.496</w:t>
            </w:r>
          </w:p>
        </w:tc>
        <w:tc>
          <w:tcPr>
            <w:tcW w:w="1207" w:type="dxa"/>
            <w:tcBorders>
              <w:top w:val="nil"/>
              <w:left w:val="nil"/>
              <w:bottom w:val="single" w:color="000000" w:sz="8" w:space="0"/>
              <w:right w:val="single" w:color="000000" w:sz="8" w:space="0"/>
            </w:tcBorders>
            <w:shd w:val="clear" w:color="auto" w:fill="auto"/>
            <w:noWrap/>
            <w:vAlign w:val="center"/>
          </w:tcPr>
          <w:p>
            <w:pPr>
              <w:pStyle w:val="25"/>
              <w:bidi w:val="0"/>
              <w:jc w:val="center"/>
              <w:rPr>
                <w:rFonts w:hint="default"/>
              </w:rPr>
            </w:pPr>
            <w:r>
              <w:rPr>
                <w:rFonts w:hint="eastAsia"/>
                <w:lang w:val="en-US" w:eastAsia="zh-CN"/>
              </w:rPr>
              <w:t>0.6992</w:t>
            </w:r>
          </w:p>
        </w:tc>
      </w:tr>
    </w:tbl>
    <w:p>
      <w:pPr>
        <w:keepNext w:val="0"/>
        <w:keepLines w:val="0"/>
        <w:pageBreakBefore w:val="0"/>
        <w:widowControl w:val="0"/>
        <w:numPr>
          <w:ilvl w:val="0"/>
          <w:numId w:val="10"/>
        </w:numPr>
        <w:kinsoku/>
        <w:wordWrap/>
        <w:overflowPunct/>
        <w:topLinePunct w:val="0"/>
        <w:autoSpaceDE w:val="0"/>
        <w:autoSpaceDN w:val="0"/>
        <w:bidi w:val="0"/>
        <w:adjustRightInd/>
        <w:snapToGrid/>
        <w:ind w:left="0" w:firstLine="0" w:firstLineChars="0"/>
        <w:textAlignment w:val="auto"/>
        <w:rPr>
          <w:rFonts w:hint="eastAsia"/>
          <w:lang w:val="en-US" w:eastAsia="zh-CN"/>
        </w:rPr>
      </w:pPr>
      <w:r>
        <w:rPr>
          <w:rFonts w:hint="eastAsia"/>
          <w:lang w:val="en-US" w:eastAsia="zh-CN"/>
        </w:rPr>
        <w:t>农业面源情况</w:t>
      </w:r>
    </w:p>
    <w:p>
      <w:pPr>
        <w:bidi w:val="0"/>
        <w:rPr>
          <w:rFonts w:hint="eastAsia" w:ascii="方正仿宋_GBK" w:hAnsi="宋体" w:eastAsia="方正仿宋_GBK"/>
          <w:szCs w:val="30"/>
        </w:rPr>
      </w:pPr>
      <w:r>
        <w:rPr>
          <w:rFonts w:hint="eastAsia"/>
        </w:rPr>
        <w:t>丰都县为重庆市生态涵养发展区的重要组成部分，全市重要的农产品主产区，本次赤溪河流域种植有小麦、玉米、红苕、洋芋、水稻等粮食作物，以及蔬菜、水果、烟叶和油料等多种经济作物。椐丰都县农业生态环境检验监测站监测，2017年农作物总播种面积182.4万亩，化肥使用量2.18万t，其中氮肥0.88万t，磷肥0.34万t，钾肥0.10万t，复合肥0.86万t。按全县耕地面积77.73万亩计算，化肥平均施用强度达27.98公斤/亩。研究表明，氮肥的利用率为30%~40%，磷肥的利用率仅10%~15%，钾肥的利用率为40%~60%。</w:t>
      </w:r>
    </w:p>
    <w:p>
      <w:pPr>
        <w:bidi w:val="0"/>
        <w:rPr>
          <w:rFonts w:hint="eastAsia"/>
        </w:rPr>
      </w:pPr>
      <w:r>
        <w:rPr>
          <w:rFonts w:hint="eastAsia"/>
        </w:rPr>
        <w:t>化肥的大量使用，粗放的农田管理方式，不但造成土壤中氮磷养分比例失调，而且过量的氮磷未被作物吸收，使部分化肥随降雨、灌溉和地表径流进入河流污染了水体。</w:t>
      </w:r>
    </w:p>
    <w:p>
      <w:pPr>
        <w:bidi w:val="0"/>
        <w:rPr>
          <w:rFonts w:hint="eastAsia" w:eastAsia="方正仿宋_GBK"/>
          <w:lang w:eastAsia="zh-CN"/>
        </w:rPr>
      </w:pPr>
      <w:r>
        <w:rPr>
          <w:rFonts w:hint="eastAsia"/>
        </w:rPr>
        <w:t>参照《源强系数及应用》中选取的农田径流系数，COD为10kg/(亩•a)，NH3-N为2kg/(亩•a)，TP为1kg/(亩•a)。根据流域的实际情况，本次农田污染物入河系数取值为0.1，测算出农业面源污染负荷见表</w:t>
      </w:r>
      <w:r>
        <w:rPr>
          <w:rFonts w:hint="eastAsia"/>
          <w:lang w:val="en-US" w:eastAsia="zh-CN"/>
        </w:rPr>
        <w:t>3.2</w:t>
      </w:r>
      <w:r>
        <w:rPr>
          <w:rFonts w:hint="eastAsia"/>
        </w:rPr>
        <w:t>-8</w:t>
      </w:r>
      <w:r>
        <w:rPr>
          <w:rFonts w:hint="eastAsia"/>
          <w:lang w:eastAsia="zh-CN"/>
        </w:rPr>
        <w:t>。</w:t>
      </w:r>
    </w:p>
    <w:p>
      <w:pPr>
        <w:pStyle w:val="25"/>
        <w:bidi w:val="0"/>
        <w:rPr>
          <w:rFonts w:hint="eastAsia"/>
        </w:rPr>
      </w:pPr>
      <w:r>
        <w:t>表</w:t>
      </w:r>
      <w:r>
        <w:rPr>
          <w:rFonts w:hint="eastAsia"/>
          <w:lang w:val="en-US" w:eastAsia="zh-CN"/>
        </w:rPr>
        <w:t>3</w:t>
      </w:r>
      <w:r>
        <w:rPr>
          <w:rFonts w:hint="eastAsia"/>
        </w:rPr>
        <w:t>.2-8    农业面源污染负荷计算表</w:t>
      </w:r>
    </w:p>
    <w:tbl>
      <w:tblPr>
        <w:tblStyle w:val="20"/>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0"/>
        <w:gridCol w:w="3522"/>
        <w:gridCol w:w="1809"/>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0" w:type="dxa"/>
            <w:vMerge w:val="restart"/>
            <w:noWrap w:val="0"/>
            <w:vAlign w:val="center"/>
          </w:tcPr>
          <w:p>
            <w:pPr>
              <w:pStyle w:val="25"/>
              <w:bidi w:val="0"/>
              <w:rPr>
                <w:rFonts w:hint="eastAsia"/>
              </w:rPr>
            </w:pPr>
            <w:r>
              <w:rPr>
                <w:rFonts w:hint="eastAsia"/>
              </w:rPr>
              <w:t>流域</w:t>
            </w:r>
          </w:p>
        </w:tc>
        <w:tc>
          <w:tcPr>
            <w:tcW w:w="3522" w:type="dxa"/>
            <w:vMerge w:val="restart"/>
            <w:noWrap w:val="0"/>
            <w:vAlign w:val="center"/>
          </w:tcPr>
          <w:p>
            <w:pPr>
              <w:pStyle w:val="25"/>
              <w:bidi w:val="0"/>
              <w:rPr>
                <w:rFonts w:hint="eastAsia"/>
              </w:rPr>
            </w:pPr>
            <w:r>
              <w:rPr>
                <w:rFonts w:hint="eastAsia"/>
              </w:rPr>
              <w:t>灌溉面积（亩）</w:t>
            </w:r>
          </w:p>
        </w:tc>
        <w:tc>
          <w:tcPr>
            <w:tcW w:w="3614" w:type="dxa"/>
            <w:gridSpan w:val="2"/>
            <w:tcBorders>
              <w:right w:val="single" w:color="auto" w:sz="4" w:space="0"/>
            </w:tcBorders>
            <w:noWrap w:val="0"/>
            <w:vAlign w:val="center"/>
          </w:tcPr>
          <w:p>
            <w:pPr>
              <w:pStyle w:val="25"/>
              <w:bidi w:val="0"/>
              <w:rPr>
                <w:rFonts w:hint="eastAsia"/>
              </w:rPr>
            </w:pPr>
            <w:r>
              <w:rPr>
                <w:rFonts w:hint="eastAsia"/>
              </w:rPr>
              <w:t>污染负荷（t/a）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0" w:type="dxa"/>
            <w:vMerge w:val="continue"/>
            <w:noWrap w:val="0"/>
            <w:vAlign w:val="center"/>
          </w:tcPr>
          <w:p>
            <w:pPr>
              <w:pStyle w:val="25"/>
              <w:bidi w:val="0"/>
              <w:rPr>
                <w:rFonts w:hint="eastAsia"/>
              </w:rPr>
            </w:pPr>
          </w:p>
        </w:tc>
        <w:tc>
          <w:tcPr>
            <w:tcW w:w="3522" w:type="dxa"/>
            <w:vMerge w:val="continue"/>
            <w:noWrap w:val="0"/>
            <w:vAlign w:val="center"/>
          </w:tcPr>
          <w:p>
            <w:pPr>
              <w:pStyle w:val="25"/>
              <w:bidi w:val="0"/>
              <w:rPr>
                <w:rFonts w:hint="eastAsia"/>
              </w:rPr>
            </w:pPr>
          </w:p>
        </w:tc>
        <w:tc>
          <w:tcPr>
            <w:tcW w:w="1809" w:type="dxa"/>
            <w:noWrap w:val="0"/>
            <w:vAlign w:val="center"/>
          </w:tcPr>
          <w:p>
            <w:pPr>
              <w:pStyle w:val="25"/>
              <w:bidi w:val="0"/>
              <w:rPr>
                <w:rFonts w:hint="eastAsia"/>
              </w:rPr>
            </w:pPr>
            <w:r>
              <w:rPr>
                <w:rFonts w:hint="eastAsia"/>
              </w:rPr>
              <w:t>COD</w:t>
            </w:r>
          </w:p>
        </w:tc>
        <w:tc>
          <w:tcPr>
            <w:tcW w:w="1805" w:type="dxa"/>
            <w:noWrap w:val="0"/>
            <w:vAlign w:val="center"/>
          </w:tcPr>
          <w:p>
            <w:pPr>
              <w:pStyle w:val="25"/>
              <w:bidi w:val="0"/>
              <w:rPr>
                <w:rFonts w:hint="eastAsia"/>
              </w:rPr>
            </w:pPr>
            <w:r>
              <w:rPr>
                <w:rFonts w:hint="eastAsia"/>
              </w:rPr>
              <w:t>NH3-N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0" w:type="dxa"/>
            <w:noWrap w:val="0"/>
            <w:vAlign w:val="center"/>
          </w:tcPr>
          <w:p>
            <w:pPr>
              <w:pStyle w:val="25"/>
              <w:bidi w:val="0"/>
              <w:rPr>
                <w:rFonts w:hint="eastAsia"/>
              </w:rPr>
            </w:pPr>
            <w:r>
              <w:rPr>
                <w:rFonts w:hint="eastAsia"/>
              </w:rPr>
              <w:t>赤溪河流域</w:t>
            </w:r>
          </w:p>
        </w:tc>
        <w:tc>
          <w:tcPr>
            <w:tcW w:w="3522" w:type="dxa"/>
            <w:noWrap w:val="0"/>
            <w:vAlign w:val="center"/>
          </w:tcPr>
          <w:p>
            <w:pPr>
              <w:pStyle w:val="25"/>
              <w:bidi w:val="0"/>
              <w:rPr>
                <w:rFonts w:hint="eastAsia"/>
              </w:rPr>
            </w:pPr>
            <w:r>
              <w:rPr>
                <w:rFonts w:hint="eastAsia"/>
              </w:rPr>
              <w:t>14260</w:t>
            </w:r>
          </w:p>
        </w:tc>
        <w:tc>
          <w:tcPr>
            <w:tcW w:w="1809" w:type="dxa"/>
            <w:noWrap w:val="0"/>
            <w:vAlign w:val="center"/>
          </w:tcPr>
          <w:p>
            <w:pPr>
              <w:pStyle w:val="25"/>
              <w:bidi w:val="0"/>
              <w:rPr>
                <w:rFonts w:hint="eastAsia"/>
              </w:rPr>
            </w:pPr>
            <w:r>
              <w:rPr>
                <w:rFonts w:hint="eastAsia"/>
              </w:rPr>
              <w:t>14.26</w:t>
            </w:r>
          </w:p>
        </w:tc>
        <w:tc>
          <w:tcPr>
            <w:tcW w:w="1805" w:type="dxa"/>
            <w:noWrap w:val="0"/>
            <w:vAlign w:val="center"/>
          </w:tcPr>
          <w:p>
            <w:pPr>
              <w:pStyle w:val="25"/>
              <w:bidi w:val="0"/>
              <w:rPr>
                <w:rFonts w:hint="eastAsia"/>
              </w:rPr>
            </w:pPr>
            <w:r>
              <w:rPr>
                <w:rFonts w:hint="eastAsia"/>
              </w:rPr>
              <w:t>1.85</w:t>
            </w:r>
          </w:p>
        </w:tc>
      </w:tr>
    </w:tbl>
    <w:p>
      <w:pPr>
        <w:keepNext w:val="0"/>
        <w:keepLines w:val="0"/>
        <w:pageBreakBefore w:val="0"/>
        <w:widowControl w:val="0"/>
        <w:numPr>
          <w:ilvl w:val="0"/>
          <w:numId w:val="10"/>
        </w:numPr>
        <w:kinsoku/>
        <w:wordWrap/>
        <w:overflowPunct/>
        <w:topLinePunct w:val="0"/>
        <w:autoSpaceDE w:val="0"/>
        <w:autoSpaceDN w:val="0"/>
        <w:bidi w:val="0"/>
        <w:adjustRightInd/>
        <w:snapToGrid/>
        <w:ind w:left="0" w:firstLine="0" w:firstLineChars="0"/>
        <w:textAlignment w:val="auto"/>
        <w:rPr>
          <w:rFonts w:hint="default"/>
          <w:lang w:val="en-US" w:eastAsia="zh-CN"/>
        </w:rPr>
      </w:pPr>
      <w:r>
        <w:rPr>
          <w:rFonts w:hint="default"/>
          <w:lang w:val="en-US" w:eastAsia="zh-CN"/>
        </w:rPr>
        <w:t>污染特征分析</w:t>
      </w:r>
    </w:p>
    <w:p>
      <w:pPr>
        <w:bidi w:val="0"/>
        <w:rPr>
          <w:rFonts w:hint="default"/>
        </w:rPr>
      </w:pPr>
      <w:r>
        <w:rPr>
          <w:rFonts w:hint="default"/>
        </w:rPr>
        <w:t xml:space="preserve">根据流域污染调查，综合流域点源、面源、内源排放负荷和境外污染输入负荷，2020年流域污染负荷为COD </w:t>
      </w:r>
      <w:r>
        <w:rPr>
          <w:rFonts w:hint="eastAsia"/>
          <w:lang w:eastAsia="zh-CN"/>
        </w:rPr>
        <w:t>：</w:t>
      </w:r>
      <w:r>
        <w:rPr>
          <w:rFonts w:hint="eastAsia"/>
          <w:lang w:val="en-US" w:eastAsia="zh-CN"/>
        </w:rPr>
        <w:t>37.72</w:t>
      </w:r>
      <w:r>
        <w:rPr>
          <w:rFonts w:hint="default"/>
        </w:rPr>
        <w:t>吨</w:t>
      </w:r>
      <w:r>
        <w:t>/年</w:t>
      </w:r>
      <w:r>
        <w:rPr>
          <w:rFonts w:hint="default"/>
        </w:rPr>
        <w:t>、NH</w:t>
      </w:r>
      <w:r>
        <w:rPr>
          <w:rFonts w:hint="default"/>
          <w:vertAlign w:val="subscript"/>
        </w:rPr>
        <w:t>3</w:t>
      </w:r>
      <w:r>
        <w:rPr>
          <w:rFonts w:hint="default"/>
        </w:rPr>
        <w:t xml:space="preserve">-N </w:t>
      </w:r>
      <w:r>
        <w:rPr>
          <w:rFonts w:hint="eastAsia"/>
          <w:lang w:eastAsia="zh-CN"/>
        </w:rPr>
        <w:t>：</w:t>
      </w:r>
      <w:r>
        <w:rPr>
          <w:rFonts w:hint="eastAsia"/>
          <w:lang w:val="en-US" w:eastAsia="zh-CN"/>
        </w:rPr>
        <w:t>5.02</w:t>
      </w:r>
      <w:r>
        <w:rPr>
          <w:rFonts w:hint="default"/>
        </w:rPr>
        <w:t>（见下表3.2-</w:t>
      </w:r>
      <w:r>
        <w:rPr>
          <w:rFonts w:hint="eastAsia"/>
          <w:lang w:val="en-US" w:eastAsia="zh-CN"/>
        </w:rPr>
        <w:t>9</w:t>
      </w:r>
      <w:r>
        <w:rPr>
          <w:rFonts w:hint="default"/>
        </w:rPr>
        <w:t>）。</w:t>
      </w:r>
    </w:p>
    <w:p>
      <w:pPr>
        <w:pStyle w:val="25"/>
        <w:bidi w:val="0"/>
        <w:rPr>
          <w:rFonts w:hint="default"/>
        </w:rPr>
      </w:pPr>
      <w:r>
        <w:rPr>
          <w:rFonts w:hint="default"/>
        </w:rPr>
        <w:t>表3.2-</w:t>
      </w:r>
      <w:r>
        <w:rPr>
          <w:rFonts w:hint="eastAsia"/>
          <w:lang w:val="en-US" w:eastAsia="zh-CN"/>
        </w:rPr>
        <w:t>9</w:t>
      </w:r>
      <w:r>
        <w:rPr>
          <w:rFonts w:hint="default"/>
        </w:rPr>
        <w:t xml:space="preserve"> </w:t>
      </w:r>
      <w:r>
        <w:rPr>
          <w:rFonts w:hint="eastAsia"/>
          <w:lang w:val="en-US" w:eastAsia="zh-CN"/>
        </w:rPr>
        <w:t xml:space="preserve">  </w:t>
      </w:r>
      <w:r>
        <w:rPr>
          <w:rFonts w:hint="default"/>
        </w:rPr>
        <w:t>流域污染负荷汇总表</w:t>
      </w:r>
    </w:p>
    <w:tbl>
      <w:tblPr>
        <w:tblStyle w:val="20"/>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389"/>
        <w:gridCol w:w="1740"/>
        <w:gridCol w:w="2150"/>
        <w:gridCol w:w="1738"/>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389" w:type="dxa"/>
            <w:vMerge w:val="restart"/>
            <w:shd w:val="clear" w:color="auto" w:fill="auto"/>
            <w:vAlign w:val="center"/>
          </w:tcPr>
          <w:p>
            <w:pPr>
              <w:pStyle w:val="25"/>
              <w:bidi w:val="0"/>
              <w:jc w:val="center"/>
            </w:pPr>
            <w:r>
              <w:rPr>
                <w:rFonts w:hint="eastAsia"/>
                <w:lang w:val="en-US" w:eastAsia="zh-CN"/>
              </w:rPr>
              <w:t>污染源</w:t>
            </w:r>
          </w:p>
        </w:tc>
        <w:tc>
          <w:tcPr>
            <w:tcW w:w="3890" w:type="dxa"/>
            <w:gridSpan w:val="2"/>
            <w:shd w:val="clear" w:color="auto" w:fill="auto"/>
            <w:vAlign w:val="center"/>
          </w:tcPr>
          <w:p>
            <w:pPr>
              <w:pStyle w:val="25"/>
              <w:bidi w:val="0"/>
              <w:jc w:val="center"/>
              <w:rPr>
                <w:rFonts w:hint="default"/>
              </w:rPr>
            </w:pPr>
            <w:r>
              <w:rPr>
                <w:rFonts w:hint="default"/>
                <w:lang w:val="en-US" w:eastAsia="zh-CN"/>
              </w:rPr>
              <w:t>COD</w:t>
            </w:r>
          </w:p>
        </w:tc>
        <w:tc>
          <w:tcPr>
            <w:tcW w:w="3483" w:type="dxa"/>
            <w:gridSpan w:val="2"/>
            <w:shd w:val="clear" w:color="auto" w:fill="auto"/>
            <w:vAlign w:val="center"/>
          </w:tcPr>
          <w:p>
            <w:pPr>
              <w:pStyle w:val="25"/>
              <w:bidi w:val="0"/>
              <w:jc w:val="center"/>
              <w:rPr>
                <w:rFonts w:hint="default"/>
              </w:rPr>
            </w:pPr>
            <w:r>
              <w:rPr>
                <w:rFonts w:hint="default"/>
                <w:lang w:val="en-US" w:eastAsia="zh-CN"/>
              </w:rPr>
              <w:t>NH3-N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389" w:type="dxa"/>
            <w:vMerge w:val="continue"/>
            <w:shd w:val="clear" w:color="auto" w:fill="auto"/>
            <w:vAlign w:val="center"/>
          </w:tcPr>
          <w:p>
            <w:pPr>
              <w:pStyle w:val="25"/>
              <w:bidi w:val="0"/>
              <w:jc w:val="center"/>
              <w:rPr>
                <w:rFonts w:hint="eastAsia"/>
              </w:rPr>
            </w:pPr>
          </w:p>
        </w:tc>
        <w:tc>
          <w:tcPr>
            <w:tcW w:w="1740" w:type="dxa"/>
            <w:shd w:val="clear" w:color="auto" w:fill="auto"/>
            <w:vAlign w:val="center"/>
          </w:tcPr>
          <w:p>
            <w:pPr>
              <w:pStyle w:val="25"/>
              <w:bidi w:val="0"/>
              <w:jc w:val="center"/>
              <w:rPr>
                <w:rFonts w:hint="eastAsia"/>
              </w:rPr>
            </w:pPr>
            <w:r>
              <w:rPr>
                <w:rFonts w:hint="eastAsia"/>
                <w:lang w:val="en-US" w:eastAsia="zh-CN"/>
              </w:rPr>
              <w:t>量</w:t>
            </w:r>
          </w:p>
        </w:tc>
        <w:tc>
          <w:tcPr>
            <w:tcW w:w="2150" w:type="dxa"/>
            <w:shd w:val="clear" w:color="auto" w:fill="auto"/>
            <w:vAlign w:val="center"/>
          </w:tcPr>
          <w:p>
            <w:pPr>
              <w:pStyle w:val="25"/>
              <w:bidi w:val="0"/>
              <w:jc w:val="center"/>
              <w:rPr>
                <w:rFonts w:hint="eastAsia"/>
              </w:rPr>
            </w:pPr>
            <w:r>
              <w:rPr>
                <w:rFonts w:hint="eastAsia"/>
                <w:lang w:val="en-US" w:eastAsia="zh-CN"/>
              </w:rPr>
              <w:t>比例</w:t>
            </w:r>
          </w:p>
        </w:tc>
        <w:tc>
          <w:tcPr>
            <w:tcW w:w="1738" w:type="dxa"/>
            <w:shd w:val="clear" w:color="auto" w:fill="auto"/>
            <w:vAlign w:val="center"/>
          </w:tcPr>
          <w:p>
            <w:pPr>
              <w:pStyle w:val="25"/>
              <w:bidi w:val="0"/>
              <w:jc w:val="center"/>
              <w:rPr>
                <w:rFonts w:hint="eastAsia"/>
              </w:rPr>
            </w:pPr>
            <w:r>
              <w:rPr>
                <w:rFonts w:hint="eastAsia"/>
                <w:lang w:val="en-US" w:eastAsia="zh-CN"/>
              </w:rPr>
              <w:t>量</w:t>
            </w:r>
          </w:p>
        </w:tc>
        <w:tc>
          <w:tcPr>
            <w:tcW w:w="1745" w:type="dxa"/>
            <w:shd w:val="clear" w:color="auto" w:fill="auto"/>
            <w:vAlign w:val="center"/>
          </w:tcPr>
          <w:p>
            <w:pPr>
              <w:pStyle w:val="25"/>
              <w:bidi w:val="0"/>
              <w:jc w:val="center"/>
              <w:rPr>
                <w:rFonts w:hint="eastAsia"/>
              </w:rPr>
            </w:pPr>
            <w:r>
              <w:rPr>
                <w:rFonts w:hint="eastAsia"/>
                <w:lang w:val="en-US"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389" w:type="dxa"/>
            <w:vMerge w:val="continue"/>
            <w:shd w:val="clear" w:color="auto" w:fill="auto"/>
            <w:vAlign w:val="center"/>
          </w:tcPr>
          <w:p>
            <w:pPr>
              <w:pStyle w:val="25"/>
              <w:bidi w:val="0"/>
              <w:jc w:val="center"/>
              <w:rPr>
                <w:rFonts w:hint="eastAsia"/>
              </w:rPr>
            </w:pPr>
          </w:p>
        </w:tc>
        <w:tc>
          <w:tcPr>
            <w:tcW w:w="1740" w:type="dxa"/>
            <w:shd w:val="clear" w:color="auto" w:fill="auto"/>
            <w:vAlign w:val="center"/>
          </w:tcPr>
          <w:p>
            <w:pPr>
              <w:pStyle w:val="25"/>
              <w:bidi w:val="0"/>
              <w:jc w:val="center"/>
              <w:rPr>
                <w:rFonts w:hint="eastAsia"/>
              </w:rPr>
            </w:pPr>
            <w:r>
              <w:rPr>
                <w:rFonts w:hint="eastAsia"/>
                <w:lang w:val="en-US" w:eastAsia="zh-CN"/>
              </w:rPr>
              <w:t>（吨</w:t>
            </w:r>
            <w:r>
              <w:rPr>
                <w:rFonts w:hint="default"/>
                <w:lang w:val="en-US" w:eastAsia="zh-CN"/>
              </w:rPr>
              <w:t>/</w:t>
            </w:r>
            <w:r>
              <w:rPr>
                <w:rFonts w:hint="eastAsia"/>
                <w:lang w:val="en-US" w:eastAsia="zh-CN"/>
              </w:rPr>
              <w:t>年）</w:t>
            </w:r>
          </w:p>
        </w:tc>
        <w:tc>
          <w:tcPr>
            <w:tcW w:w="2150" w:type="dxa"/>
            <w:shd w:val="clear" w:color="auto" w:fill="auto"/>
            <w:vAlign w:val="center"/>
          </w:tcPr>
          <w:p>
            <w:pPr>
              <w:pStyle w:val="25"/>
              <w:bidi w:val="0"/>
              <w:jc w:val="center"/>
              <w:rPr>
                <w:rFonts w:hint="eastAsia"/>
              </w:rPr>
            </w:pPr>
            <w:r>
              <w:rPr>
                <w:rFonts w:hint="eastAsia"/>
                <w:lang w:val="en-US" w:eastAsia="zh-CN"/>
              </w:rPr>
              <w:t>（</w:t>
            </w:r>
            <w:r>
              <w:rPr>
                <w:rFonts w:hint="default"/>
                <w:lang w:val="en-US" w:eastAsia="zh-CN"/>
              </w:rPr>
              <w:t>%</w:t>
            </w:r>
            <w:r>
              <w:rPr>
                <w:rFonts w:hint="eastAsia"/>
                <w:lang w:val="en-US" w:eastAsia="zh-CN"/>
              </w:rPr>
              <w:t>）</w:t>
            </w:r>
          </w:p>
        </w:tc>
        <w:tc>
          <w:tcPr>
            <w:tcW w:w="1738" w:type="dxa"/>
            <w:shd w:val="clear" w:color="auto" w:fill="auto"/>
            <w:vAlign w:val="center"/>
          </w:tcPr>
          <w:p>
            <w:pPr>
              <w:pStyle w:val="25"/>
              <w:bidi w:val="0"/>
              <w:jc w:val="center"/>
              <w:rPr>
                <w:rFonts w:hint="eastAsia"/>
              </w:rPr>
            </w:pPr>
            <w:r>
              <w:rPr>
                <w:rFonts w:hint="eastAsia"/>
                <w:lang w:val="en-US" w:eastAsia="zh-CN"/>
              </w:rPr>
              <w:t>（吨</w:t>
            </w:r>
            <w:r>
              <w:rPr>
                <w:rFonts w:hint="default"/>
                <w:lang w:val="en-US" w:eastAsia="zh-CN"/>
              </w:rPr>
              <w:t>/</w:t>
            </w:r>
            <w:r>
              <w:rPr>
                <w:rFonts w:hint="eastAsia"/>
                <w:lang w:val="en-US" w:eastAsia="zh-CN"/>
              </w:rPr>
              <w:t>年）</w:t>
            </w:r>
          </w:p>
        </w:tc>
        <w:tc>
          <w:tcPr>
            <w:tcW w:w="1745" w:type="dxa"/>
            <w:shd w:val="clear" w:color="auto" w:fill="auto"/>
            <w:vAlign w:val="center"/>
          </w:tcPr>
          <w:p>
            <w:pPr>
              <w:pStyle w:val="25"/>
              <w:bidi w:val="0"/>
              <w:jc w:val="center"/>
              <w:rPr>
                <w:rFonts w:hint="eastAsia"/>
              </w:rPr>
            </w:pPr>
            <w:r>
              <w:rPr>
                <w:rFonts w:hint="eastAsia"/>
                <w:lang w:val="en-US" w:eastAsia="zh-CN"/>
              </w:rPr>
              <w:t>（</w:t>
            </w:r>
            <w:r>
              <w:rPr>
                <w:rFonts w:hint="default"/>
                <w:lang w:val="en-US" w:eastAsia="zh-CN"/>
              </w:rPr>
              <w:t>%</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389" w:type="dxa"/>
            <w:shd w:val="clear" w:color="auto" w:fill="auto"/>
            <w:noWrap/>
            <w:vAlign w:val="center"/>
          </w:tcPr>
          <w:p>
            <w:pPr>
              <w:pStyle w:val="25"/>
              <w:bidi w:val="0"/>
              <w:jc w:val="center"/>
              <w:rPr>
                <w:rFonts w:hint="default"/>
              </w:rPr>
            </w:pPr>
            <w:r>
              <w:rPr>
                <w:rFonts w:hint="default"/>
                <w:lang w:val="en-US" w:eastAsia="zh-CN"/>
              </w:rPr>
              <w:t>农村生活污染</w:t>
            </w:r>
          </w:p>
        </w:tc>
        <w:tc>
          <w:tcPr>
            <w:tcW w:w="1740" w:type="dxa"/>
            <w:shd w:val="clear" w:color="auto" w:fill="auto"/>
            <w:noWrap/>
            <w:vAlign w:val="center"/>
          </w:tcPr>
          <w:p>
            <w:pPr>
              <w:pStyle w:val="25"/>
              <w:bidi w:val="0"/>
              <w:jc w:val="center"/>
              <w:rPr>
                <w:rFonts w:hint="default"/>
              </w:rPr>
            </w:pPr>
            <w:r>
              <w:rPr>
                <w:rFonts w:hint="default"/>
                <w:lang w:val="en-US" w:eastAsia="zh-CN"/>
              </w:rPr>
              <w:t>19.96</w:t>
            </w:r>
          </w:p>
        </w:tc>
        <w:tc>
          <w:tcPr>
            <w:tcW w:w="2150" w:type="dxa"/>
            <w:shd w:val="clear" w:color="auto" w:fill="auto"/>
            <w:noWrap/>
            <w:vAlign w:val="center"/>
          </w:tcPr>
          <w:p>
            <w:pPr>
              <w:pStyle w:val="25"/>
              <w:bidi w:val="0"/>
              <w:jc w:val="center"/>
              <w:rPr>
                <w:rFonts w:hint="default"/>
              </w:rPr>
            </w:pPr>
            <w:r>
              <w:rPr>
                <w:rFonts w:hint="default"/>
                <w:lang w:val="en-US" w:eastAsia="zh-CN"/>
              </w:rPr>
              <w:t>53</w:t>
            </w:r>
          </w:p>
        </w:tc>
        <w:tc>
          <w:tcPr>
            <w:tcW w:w="1738" w:type="dxa"/>
            <w:shd w:val="clear" w:color="auto" w:fill="auto"/>
            <w:noWrap/>
            <w:vAlign w:val="center"/>
          </w:tcPr>
          <w:p>
            <w:pPr>
              <w:pStyle w:val="25"/>
              <w:bidi w:val="0"/>
              <w:jc w:val="center"/>
              <w:rPr>
                <w:rFonts w:hint="default"/>
              </w:rPr>
            </w:pPr>
            <w:r>
              <w:rPr>
                <w:rFonts w:hint="default"/>
                <w:lang w:val="en-US" w:eastAsia="zh-CN"/>
              </w:rPr>
              <w:t>2.47</w:t>
            </w:r>
          </w:p>
        </w:tc>
        <w:tc>
          <w:tcPr>
            <w:tcW w:w="1745" w:type="dxa"/>
            <w:shd w:val="clear" w:color="auto" w:fill="auto"/>
            <w:noWrap/>
            <w:vAlign w:val="center"/>
          </w:tcPr>
          <w:p>
            <w:pPr>
              <w:pStyle w:val="25"/>
              <w:bidi w:val="0"/>
              <w:jc w:val="center"/>
              <w:rPr>
                <w:rFonts w:hint="default"/>
              </w:rPr>
            </w:pPr>
            <w:r>
              <w:rPr>
                <w:rFonts w:hint="default"/>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389" w:type="dxa"/>
            <w:shd w:val="clear" w:color="auto" w:fill="auto"/>
            <w:noWrap/>
            <w:vAlign w:val="center"/>
          </w:tcPr>
          <w:p>
            <w:pPr>
              <w:pStyle w:val="25"/>
              <w:bidi w:val="0"/>
              <w:jc w:val="center"/>
              <w:rPr>
                <w:rFonts w:hint="default"/>
              </w:rPr>
            </w:pPr>
            <w:r>
              <w:rPr>
                <w:rFonts w:hint="default"/>
                <w:lang w:val="en-US" w:eastAsia="zh-CN"/>
              </w:rPr>
              <w:t>农业面源污染</w:t>
            </w:r>
          </w:p>
        </w:tc>
        <w:tc>
          <w:tcPr>
            <w:tcW w:w="1740" w:type="dxa"/>
            <w:shd w:val="clear" w:color="auto" w:fill="auto"/>
            <w:noWrap/>
            <w:vAlign w:val="center"/>
          </w:tcPr>
          <w:p>
            <w:pPr>
              <w:pStyle w:val="25"/>
              <w:bidi w:val="0"/>
              <w:jc w:val="center"/>
              <w:rPr>
                <w:rFonts w:hint="default"/>
              </w:rPr>
            </w:pPr>
            <w:r>
              <w:rPr>
                <w:rFonts w:hint="default"/>
                <w:lang w:val="en-US" w:eastAsia="zh-CN"/>
              </w:rPr>
              <w:t>14.26</w:t>
            </w:r>
          </w:p>
        </w:tc>
        <w:tc>
          <w:tcPr>
            <w:tcW w:w="2150" w:type="dxa"/>
            <w:shd w:val="clear" w:color="auto" w:fill="auto"/>
            <w:noWrap/>
            <w:vAlign w:val="center"/>
          </w:tcPr>
          <w:p>
            <w:pPr>
              <w:pStyle w:val="25"/>
              <w:bidi w:val="0"/>
              <w:jc w:val="center"/>
              <w:rPr>
                <w:rFonts w:hint="default"/>
              </w:rPr>
            </w:pPr>
            <w:r>
              <w:rPr>
                <w:rFonts w:hint="default"/>
                <w:lang w:val="en-US" w:eastAsia="zh-CN"/>
              </w:rPr>
              <w:t>38</w:t>
            </w:r>
          </w:p>
        </w:tc>
        <w:tc>
          <w:tcPr>
            <w:tcW w:w="1738" w:type="dxa"/>
            <w:shd w:val="clear" w:color="auto" w:fill="auto"/>
            <w:noWrap/>
            <w:vAlign w:val="center"/>
          </w:tcPr>
          <w:p>
            <w:pPr>
              <w:pStyle w:val="25"/>
              <w:bidi w:val="0"/>
              <w:jc w:val="center"/>
              <w:rPr>
                <w:rFonts w:hint="default"/>
              </w:rPr>
            </w:pPr>
            <w:r>
              <w:rPr>
                <w:rFonts w:hint="default"/>
                <w:lang w:val="en-US" w:eastAsia="zh-CN"/>
              </w:rPr>
              <w:t>1.85</w:t>
            </w:r>
          </w:p>
        </w:tc>
        <w:tc>
          <w:tcPr>
            <w:tcW w:w="1745" w:type="dxa"/>
            <w:shd w:val="clear" w:color="auto" w:fill="auto"/>
            <w:noWrap/>
            <w:vAlign w:val="center"/>
          </w:tcPr>
          <w:p>
            <w:pPr>
              <w:pStyle w:val="25"/>
              <w:bidi w:val="0"/>
              <w:jc w:val="center"/>
              <w:rPr>
                <w:rFonts w:hint="default"/>
              </w:rPr>
            </w:pPr>
            <w:r>
              <w:rPr>
                <w:rFonts w:hint="default"/>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389" w:type="dxa"/>
            <w:shd w:val="clear" w:color="auto" w:fill="auto"/>
            <w:noWrap/>
            <w:vAlign w:val="center"/>
          </w:tcPr>
          <w:p>
            <w:pPr>
              <w:pStyle w:val="25"/>
              <w:bidi w:val="0"/>
              <w:jc w:val="center"/>
              <w:rPr>
                <w:rFonts w:hint="default"/>
              </w:rPr>
            </w:pPr>
            <w:r>
              <w:rPr>
                <w:rFonts w:hint="default"/>
                <w:lang w:val="en-US" w:eastAsia="zh-CN"/>
              </w:rPr>
              <w:t>畜禽养殖污染</w:t>
            </w:r>
          </w:p>
        </w:tc>
        <w:tc>
          <w:tcPr>
            <w:tcW w:w="1740" w:type="dxa"/>
            <w:shd w:val="clear" w:color="auto" w:fill="auto"/>
            <w:noWrap/>
            <w:vAlign w:val="center"/>
          </w:tcPr>
          <w:p>
            <w:pPr>
              <w:pStyle w:val="25"/>
              <w:bidi w:val="0"/>
              <w:jc w:val="center"/>
              <w:rPr>
                <w:rFonts w:hint="default"/>
              </w:rPr>
            </w:pPr>
            <w:r>
              <w:rPr>
                <w:rFonts w:hint="default"/>
                <w:lang w:val="en-US" w:eastAsia="zh-CN"/>
              </w:rPr>
              <w:t>3.50</w:t>
            </w:r>
          </w:p>
        </w:tc>
        <w:tc>
          <w:tcPr>
            <w:tcW w:w="2150" w:type="dxa"/>
            <w:shd w:val="clear" w:color="auto" w:fill="auto"/>
            <w:noWrap/>
            <w:vAlign w:val="center"/>
          </w:tcPr>
          <w:p>
            <w:pPr>
              <w:pStyle w:val="25"/>
              <w:bidi w:val="0"/>
              <w:jc w:val="center"/>
              <w:rPr>
                <w:rFonts w:hint="default"/>
              </w:rPr>
            </w:pPr>
            <w:r>
              <w:rPr>
                <w:rFonts w:hint="default"/>
                <w:lang w:val="en-US" w:eastAsia="zh-CN"/>
              </w:rPr>
              <w:t>9</w:t>
            </w:r>
          </w:p>
        </w:tc>
        <w:tc>
          <w:tcPr>
            <w:tcW w:w="1738" w:type="dxa"/>
            <w:shd w:val="clear" w:color="auto" w:fill="auto"/>
            <w:noWrap/>
            <w:vAlign w:val="center"/>
          </w:tcPr>
          <w:p>
            <w:pPr>
              <w:pStyle w:val="25"/>
              <w:bidi w:val="0"/>
              <w:jc w:val="center"/>
              <w:rPr>
                <w:rFonts w:hint="default"/>
              </w:rPr>
            </w:pPr>
            <w:r>
              <w:rPr>
                <w:rFonts w:hint="default"/>
                <w:lang w:val="en-US" w:eastAsia="zh-CN"/>
              </w:rPr>
              <w:t>0.70</w:t>
            </w:r>
          </w:p>
        </w:tc>
        <w:tc>
          <w:tcPr>
            <w:tcW w:w="1745" w:type="dxa"/>
            <w:shd w:val="clear" w:color="auto" w:fill="auto"/>
            <w:noWrap/>
            <w:vAlign w:val="center"/>
          </w:tcPr>
          <w:p>
            <w:pPr>
              <w:pStyle w:val="25"/>
              <w:bidi w:val="0"/>
              <w:jc w:val="center"/>
              <w:rPr>
                <w:rFonts w:hint="default"/>
              </w:rPr>
            </w:pPr>
            <w:r>
              <w:rPr>
                <w:rFonts w:hint="default"/>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389" w:type="dxa"/>
            <w:shd w:val="clear" w:color="auto" w:fill="auto"/>
            <w:noWrap/>
            <w:vAlign w:val="center"/>
          </w:tcPr>
          <w:p>
            <w:pPr>
              <w:pStyle w:val="25"/>
              <w:bidi w:val="0"/>
              <w:jc w:val="center"/>
              <w:rPr>
                <w:rFonts w:hint="default"/>
              </w:rPr>
            </w:pPr>
            <w:r>
              <w:rPr>
                <w:rFonts w:hint="default"/>
                <w:lang w:val="en-US" w:eastAsia="zh-CN"/>
              </w:rPr>
              <w:t>总计</w:t>
            </w:r>
          </w:p>
        </w:tc>
        <w:tc>
          <w:tcPr>
            <w:tcW w:w="1740" w:type="dxa"/>
            <w:shd w:val="clear" w:color="auto" w:fill="auto"/>
            <w:noWrap/>
            <w:vAlign w:val="center"/>
          </w:tcPr>
          <w:p>
            <w:pPr>
              <w:pStyle w:val="25"/>
              <w:bidi w:val="0"/>
              <w:jc w:val="center"/>
              <w:rPr>
                <w:rFonts w:hint="default"/>
              </w:rPr>
            </w:pPr>
            <w:r>
              <w:rPr>
                <w:rFonts w:hint="default"/>
                <w:lang w:val="en-US" w:eastAsia="zh-CN"/>
              </w:rPr>
              <w:t>37.72</w:t>
            </w:r>
          </w:p>
        </w:tc>
        <w:tc>
          <w:tcPr>
            <w:tcW w:w="2150" w:type="dxa"/>
            <w:shd w:val="clear" w:color="auto" w:fill="auto"/>
            <w:noWrap/>
            <w:vAlign w:val="center"/>
          </w:tcPr>
          <w:p>
            <w:pPr>
              <w:pStyle w:val="25"/>
              <w:bidi w:val="0"/>
              <w:jc w:val="center"/>
              <w:rPr>
                <w:rFonts w:hint="default"/>
              </w:rPr>
            </w:pPr>
            <w:r>
              <w:rPr>
                <w:rFonts w:hint="default"/>
                <w:lang w:val="en-US" w:eastAsia="zh-CN"/>
              </w:rPr>
              <w:t>100</w:t>
            </w:r>
          </w:p>
        </w:tc>
        <w:tc>
          <w:tcPr>
            <w:tcW w:w="1738" w:type="dxa"/>
            <w:shd w:val="clear" w:color="auto" w:fill="auto"/>
            <w:noWrap/>
            <w:vAlign w:val="center"/>
          </w:tcPr>
          <w:p>
            <w:pPr>
              <w:pStyle w:val="25"/>
              <w:bidi w:val="0"/>
              <w:jc w:val="center"/>
              <w:rPr>
                <w:rFonts w:hint="default"/>
              </w:rPr>
            </w:pPr>
            <w:r>
              <w:rPr>
                <w:rFonts w:hint="default"/>
                <w:lang w:val="en-US" w:eastAsia="zh-CN"/>
              </w:rPr>
              <w:t>5.02</w:t>
            </w:r>
          </w:p>
        </w:tc>
        <w:tc>
          <w:tcPr>
            <w:tcW w:w="1745" w:type="dxa"/>
            <w:shd w:val="clear" w:color="auto" w:fill="auto"/>
            <w:noWrap/>
            <w:vAlign w:val="center"/>
          </w:tcPr>
          <w:p>
            <w:pPr>
              <w:pStyle w:val="25"/>
              <w:bidi w:val="0"/>
              <w:jc w:val="center"/>
              <w:rPr>
                <w:rFonts w:hint="default"/>
              </w:rPr>
            </w:pPr>
            <w:r>
              <w:rPr>
                <w:rFonts w:hint="default"/>
                <w:lang w:val="en-US" w:eastAsia="zh-CN"/>
              </w:rPr>
              <w:t>100</w:t>
            </w:r>
          </w:p>
        </w:tc>
      </w:tr>
    </w:tbl>
    <w:p>
      <w:pPr>
        <w:pStyle w:val="25"/>
        <w:bidi w:val="0"/>
        <w:rPr>
          <w:rFonts w:hint="default"/>
        </w:rPr>
      </w:pPr>
    </w:p>
    <w:p>
      <w:pPr>
        <w:pStyle w:val="4"/>
        <w:bidi w:val="0"/>
        <w:rPr>
          <w:rFonts w:hint="default"/>
        </w:rPr>
      </w:pPr>
      <w:r>
        <w:rPr>
          <w:rFonts w:hint="default"/>
        </w:rPr>
        <w:t>水环境现状</w:t>
      </w:r>
    </w:p>
    <w:p>
      <w:pPr>
        <w:numPr>
          <w:ilvl w:val="0"/>
          <w:numId w:val="11"/>
        </w:numPr>
        <w:bidi w:val="0"/>
        <w:ind w:left="425" w:leftChars="0" w:hanging="425" w:firstLineChars="0"/>
        <w:rPr>
          <w:rFonts w:hint="default"/>
        </w:rPr>
      </w:pPr>
      <w:r>
        <w:rPr>
          <w:rFonts w:hint="default"/>
        </w:rPr>
        <w:t>水环境监测情况</w:t>
      </w:r>
    </w:p>
    <w:p>
      <w:pPr>
        <w:bidi w:val="0"/>
        <w:rPr>
          <w:rFonts w:hint="eastAsia"/>
        </w:rPr>
      </w:pPr>
      <w:r>
        <w:t>根据</w:t>
      </w:r>
      <w:r>
        <w:rPr>
          <w:rFonts w:hint="eastAsia"/>
          <w:lang w:eastAsia="zh-CN"/>
        </w:rPr>
        <w:t>赤溪河</w:t>
      </w:r>
      <w:r>
        <w:t>2019年9月-12月例行检测报告，共设置</w:t>
      </w:r>
      <w:r>
        <w:rPr>
          <w:rFonts w:hint="eastAsia"/>
          <w:lang w:val="en-US" w:eastAsia="zh-CN"/>
        </w:rPr>
        <w:t>2</w:t>
      </w:r>
      <w:r>
        <w:t>个监测断面，</w:t>
      </w:r>
      <w:r>
        <w:rPr>
          <w:rFonts w:hint="eastAsia"/>
        </w:rPr>
        <w:t>分别位于高跳蹬、溜沙坡处。丰都县水质监测中心对赤溪河以上两个断面河水</w:t>
      </w:r>
      <w:r>
        <w:rPr>
          <w:rFonts w:hint="eastAsia"/>
          <w:lang w:val="en-US" w:eastAsia="zh-CN"/>
        </w:rPr>
        <w:t>每月</w:t>
      </w:r>
      <w:r>
        <w:rPr>
          <w:rFonts w:hint="eastAsia"/>
        </w:rPr>
        <w:t>进行检测。</w:t>
      </w:r>
      <w:r>
        <w:t>监测指标为《地表水环境质量标准》（GB3838-2002）表1中的</w:t>
      </w:r>
      <w:r>
        <w:rPr>
          <w:rFonts w:hint="eastAsia"/>
        </w:rPr>
        <w:t>评价参数包括水温、总氮、粪大肠菌群</w:t>
      </w:r>
      <w:r>
        <w:rPr>
          <w:rFonts w:hint="eastAsia"/>
          <w:lang w:val="en-US" w:eastAsia="zh-CN"/>
        </w:rPr>
        <w:t>、</w:t>
      </w:r>
      <w:r>
        <w:rPr>
          <w:rFonts w:hint="eastAsia"/>
        </w:rPr>
        <w:t>pH、</w:t>
      </w:r>
      <w:r>
        <w:rPr>
          <w:rFonts w:hint="eastAsia"/>
          <w:lang w:val="en-US" w:eastAsia="zh-CN"/>
        </w:rPr>
        <w:t>电导率、</w:t>
      </w:r>
      <w:r>
        <w:rPr>
          <w:rFonts w:hint="eastAsia"/>
        </w:rPr>
        <w:t>高锰酸盐指数、化学需氧量、五日生化需氧量、氨氮、总磷、铜、锌、氟化物、硒、砷、汞、镉、六价铬、铅、挥发酚、氰化物、石油类、阴离子表面活性剂、硫化物等</w:t>
      </w:r>
      <w:r>
        <w:rPr>
          <w:rFonts w:hint="eastAsia"/>
          <w:lang w:val="en-US" w:eastAsia="zh-CN"/>
        </w:rPr>
        <w:t>3</w:t>
      </w:r>
      <w:r>
        <w:rPr>
          <w:rFonts w:hint="eastAsia"/>
        </w:rPr>
        <w:t>1项。</w:t>
      </w:r>
    </w:p>
    <w:p>
      <w:pPr>
        <w:numPr>
          <w:ilvl w:val="0"/>
          <w:numId w:val="11"/>
        </w:numPr>
        <w:bidi w:val="0"/>
        <w:ind w:left="425" w:leftChars="0" w:hanging="425" w:firstLineChars="0"/>
        <w:rPr>
          <w:rFonts w:hint="default"/>
        </w:rPr>
      </w:pPr>
      <w:r>
        <w:rPr>
          <w:rFonts w:hint="default"/>
        </w:rPr>
        <w:t>水环境质量分析</w:t>
      </w:r>
    </w:p>
    <w:p>
      <w:pPr>
        <w:bidi w:val="0"/>
        <w:rPr>
          <w:rFonts w:hint="default"/>
        </w:rPr>
      </w:pPr>
      <w:r>
        <w:rPr>
          <w:rFonts w:hint="default"/>
        </w:rPr>
        <w:t>根据《</w:t>
      </w:r>
      <w:r>
        <w:t>重庆市</w:t>
      </w:r>
      <w:r>
        <w:rPr>
          <w:rFonts w:hint="eastAsia"/>
          <w:lang w:val="en-US" w:eastAsia="zh-CN"/>
        </w:rPr>
        <w:t>丰都县</w:t>
      </w:r>
      <w:r>
        <w:rPr>
          <w:rFonts w:hint="default"/>
        </w:rPr>
        <w:t>水功能区划报告》，</w:t>
      </w:r>
      <w:r>
        <w:rPr>
          <w:rFonts w:hint="eastAsia"/>
          <w:lang w:eastAsia="zh-CN"/>
        </w:rPr>
        <w:t>赤溪河</w:t>
      </w:r>
      <w:r>
        <w:rPr>
          <w:rFonts w:hint="default"/>
        </w:rPr>
        <w:t>水域适用功能类别为Ⅲ类。按照《地表水环境质量标准》（GB3838-2002）要求，采用单因子评价法对断面指标进行评价水质，将单项指标均值分别与GB3838-2002水质标准对照，确定该项目的水质类别，以单项指标污染最重的来确定该项目所在断面的水质类别。评价结果见表3.2-1</w:t>
      </w:r>
      <w:r>
        <w:rPr>
          <w:rFonts w:hint="eastAsia"/>
          <w:lang w:val="en-US" w:eastAsia="zh-CN"/>
        </w:rPr>
        <w:t>0</w:t>
      </w:r>
      <w:r>
        <w:rPr>
          <w:rFonts w:hint="default"/>
        </w:rPr>
        <w:t>。</w:t>
      </w:r>
    </w:p>
    <w:p>
      <w:pPr>
        <w:pStyle w:val="25"/>
        <w:bidi w:val="0"/>
        <w:rPr>
          <w:rFonts w:hint="eastAsia"/>
          <w:lang w:val="en-US" w:eastAsia="zh-CN"/>
        </w:rPr>
      </w:pPr>
      <w:r>
        <w:rPr>
          <w:rFonts w:hint="default"/>
        </w:rPr>
        <w:t>表3.2</w:t>
      </w:r>
      <w:r>
        <w:rPr>
          <w:rFonts w:hint="eastAsia"/>
          <w:lang w:val="en-US" w:eastAsia="zh-CN"/>
        </w:rPr>
        <w:t>-10   监测数据统计</w:t>
      </w:r>
    </w:p>
    <w:tbl>
      <w:tblPr>
        <w:tblStyle w:val="20"/>
        <w:tblW w:w="9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42"/>
        <w:gridCol w:w="685"/>
        <w:gridCol w:w="687"/>
        <w:gridCol w:w="916"/>
        <w:gridCol w:w="1599"/>
        <w:gridCol w:w="1830"/>
        <w:gridCol w:w="877"/>
        <w:gridCol w:w="877"/>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1142" w:type="dxa"/>
            <w:vMerge w:val="restart"/>
            <w:shd w:val="clear" w:color="auto" w:fill="auto"/>
            <w:noWrap/>
            <w:vAlign w:val="center"/>
          </w:tcPr>
          <w:p>
            <w:pPr>
              <w:pStyle w:val="25"/>
              <w:bidi w:val="0"/>
              <w:jc w:val="center"/>
            </w:pPr>
            <w:r>
              <w:rPr>
                <w:rFonts w:hint="default"/>
                <w:lang w:val="en-US" w:eastAsia="zh-CN"/>
              </w:rPr>
              <w:t>断面名称</w:t>
            </w:r>
          </w:p>
        </w:tc>
        <w:tc>
          <w:tcPr>
            <w:tcW w:w="685" w:type="dxa"/>
            <w:vMerge w:val="restart"/>
            <w:shd w:val="clear" w:color="auto" w:fill="auto"/>
            <w:noWrap/>
            <w:vAlign w:val="center"/>
          </w:tcPr>
          <w:p>
            <w:pPr>
              <w:pStyle w:val="25"/>
              <w:bidi w:val="0"/>
              <w:jc w:val="center"/>
              <w:rPr>
                <w:rFonts w:hint="eastAsia"/>
              </w:rPr>
            </w:pPr>
            <w:r>
              <w:rPr>
                <w:rFonts w:hint="eastAsia"/>
                <w:lang w:val="en-US" w:eastAsia="zh-CN"/>
              </w:rPr>
              <w:t>年度</w:t>
            </w:r>
          </w:p>
        </w:tc>
        <w:tc>
          <w:tcPr>
            <w:tcW w:w="687" w:type="dxa"/>
            <w:vMerge w:val="restart"/>
            <w:shd w:val="clear" w:color="auto" w:fill="auto"/>
            <w:noWrap/>
            <w:vAlign w:val="center"/>
          </w:tcPr>
          <w:p>
            <w:pPr>
              <w:pStyle w:val="25"/>
              <w:bidi w:val="0"/>
              <w:jc w:val="center"/>
              <w:rPr>
                <w:rFonts w:hint="eastAsia"/>
              </w:rPr>
            </w:pPr>
            <w:r>
              <w:rPr>
                <w:rFonts w:hint="eastAsia"/>
                <w:lang w:val="en-US" w:eastAsia="zh-CN"/>
              </w:rPr>
              <w:t>月份</w:t>
            </w:r>
          </w:p>
        </w:tc>
        <w:tc>
          <w:tcPr>
            <w:tcW w:w="916" w:type="dxa"/>
            <w:shd w:val="clear" w:color="auto" w:fill="auto"/>
            <w:noWrap/>
            <w:vAlign w:val="center"/>
          </w:tcPr>
          <w:p>
            <w:pPr>
              <w:pStyle w:val="25"/>
              <w:bidi w:val="0"/>
              <w:jc w:val="center"/>
              <w:rPr>
                <w:rFonts w:hint="default"/>
              </w:rPr>
            </w:pPr>
            <w:r>
              <w:rPr>
                <w:rFonts w:hint="default"/>
                <w:lang w:val="en-US" w:eastAsia="zh-CN"/>
              </w:rPr>
              <w:t>溶解氧</w:t>
            </w:r>
          </w:p>
        </w:tc>
        <w:tc>
          <w:tcPr>
            <w:tcW w:w="1599" w:type="dxa"/>
            <w:shd w:val="clear" w:color="auto" w:fill="auto"/>
            <w:noWrap/>
            <w:vAlign w:val="center"/>
          </w:tcPr>
          <w:p>
            <w:pPr>
              <w:pStyle w:val="25"/>
              <w:bidi w:val="0"/>
              <w:jc w:val="center"/>
              <w:rPr>
                <w:rFonts w:hint="default"/>
              </w:rPr>
            </w:pPr>
            <w:r>
              <w:rPr>
                <w:rFonts w:hint="default"/>
                <w:lang w:val="en-US" w:eastAsia="zh-CN"/>
              </w:rPr>
              <w:t>高锰酸盐指数</w:t>
            </w:r>
          </w:p>
        </w:tc>
        <w:tc>
          <w:tcPr>
            <w:tcW w:w="1830" w:type="dxa"/>
            <w:shd w:val="clear" w:color="auto" w:fill="auto"/>
            <w:noWrap/>
            <w:vAlign w:val="center"/>
          </w:tcPr>
          <w:p>
            <w:pPr>
              <w:pStyle w:val="25"/>
              <w:bidi w:val="0"/>
              <w:jc w:val="center"/>
              <w:rPr>
                <w:rFonts w:hint="default"/>
              </w:rPr>
            </w:pPr>
            <w:r>
              <w:rPr>
                <w:rFonts w:hint="default"/>
                <w:lang w:val="en-US" w:eastAsia="zh-CN"/>
              </w:rPr>
              <w:t>五日生化需氧量</w:t>
            </w:r>
          </w:p>
        </w:tc>
        <w:tc>
          <w:tcPr>
            <w:tcW w:w="877" w:type="dxa"/>
            <w:shd w:val="clear" w:color="auto" w:fill="auto"/>
            <w:noWrap/>
            <w:vAlign w:val="center"/>
          </w:tcPr>
          <w:p>
            <w:pPr>
              <w:pStyle w:val="25"/>
              <w:bidi w:val="0"/>
              <w:jc w:val="center"/>
              <w:rPr>
                <w:rFonts w:hint="default"/>
              </w:rPr>
            </w:pPr>
            <w:r>
              <w:rPr>
                <w:rFonts w:hint="default"/>
                <w:lang w:val="en-US" w:eastAsia="zh-CN"/>
              </w:rPr>
              <w:t>氨氮</w:t>
            </w:r>
          </w:p>
        </w:tc>
        <w:tc>
          <w:tcPr>
            <w:tcW w:w="877" w:type="dxa"/>
            <w:shd w:val="clear" w:color="auto" w:fill="auto"/>
            <w:noWrap/>
            <w:vAlign w:val="center"/>
          </w:tcPr>
          <w:p>
            <w:pPr>
              <w:pStyle w:val="25"/>
              <w:bidi w:val="0"/>
              <w:jc w:val="center"/>
              <w:rPr>
                <w:rFonts w:hint="default"/>
              </w:rPr>
            </w:pPr>
            <w:r>
              <w:rPr>
                <w:rFonts w:hint="default"/>
                <w:lang w:val="en-US" w:eastAsia="zh-CN"/>
              </w:rPr>
              <w:t>总磷</w:t>
            </w:r>
          </w:p>
        </w:tc>
        <w:tc>
          <w:tcPr>
            <w:tcW w:w="1143" w:type="dxa"/>
            <w:vMerge w:val="restart"/>
            <w:shd w:val="clear" w:color="auto" w:fill="auto"/>
            <w:noWrap/>
            <w:vAlign w:val="center"/>
          </w:tcPr>
          <w:p>
            <w:pPr>
              <w:pStyle w:val="25"/>
              <w:bidi w:val="0"/>
              <w:jc w:val="center"/>
              <w:rPr>
                <w:rFonts w:hint="eastAsia"/>
              </w:rPr>
            </w:pPr>
            <w:r>
              <w:rPr>
                <w:rFonts w:hint="eastAsia"/>
                <w:lang w:val="en-US" w:eastAsia="zh-CN"/>
              </w:rPr>
              <w:t>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vMerge w:val="continue"/>
            <w:shd w:val="clear" w:color="auto" w:fill="auto"/>
            <w:noWrap/>
            <w:vAlign w:val="center"/>
          </w:tcPr>
          <w:p>
            <w:pPr>
              <w:pStyle w:val="25"/>
              <w:bidi w:val="0"/>
              <w:jc w:val="center"/>
              <w:rPr>
                <w:rFonts w:hint="default"/>
              </w:rPr>
            </w:pPr>
          </w:p>
        </w:tc>
        <w:tc>
          <w:tcPr>
            <w:tcW w:w="685" w:type="dxa"/>
            <w:vMerge w:val="continue"/>
            <w:shd w:val="clear" w:color="auto" w:fill="auto"/>
            <w:noWrap/>
            <w:vAlign w:val="center"/>
          </w:tcPr>
          <w:p>
            <w:pPr>
              <w:pStyle w:val="25"/>
              <w:bidi w:val="0"/>
              <w:jc w:val="center"/>
              <w:rPr>
                <w:rFonts w:hint="eastAsia"/>
              </w:rPr>
            </w:pPr>
          </w:p>
        </w:tc>
        <w:tc>
          <w:tcPr>
            <w:tcW w:w="687" w:type="dxa"/>
            <w:vMerge w:val="continue"/>
            <w:shd w:val="clear" w:color="auto" w:fill="auto"/>
            <w:noWrap/>
            <w:vAlign w:val="center"/>
          </w:tcPr>
          <w:p>
            <w:pPr>
              <w:pStyle w:val="25"/>
              <w:bidi w:val="0"/>
              <w:jc w:val="center"/>
              <w:rPr>
                <w:rFonts w:hint="eastAsia"/>
              </w:rPr>
            </w:pPr>
          </w:p>
        </w:tc>
        <w:tc>
          <w:tcPr>
            <w:tcW w:w="916" w:type="dxa"/>
            <w:shd w:val="clear" w:color="auto" w:fill="auto"/>
            <w:noWrap/>
            <w:vAlign w:val="center"/>
          </w:tcPr>
          <w:p>
            <w:pPr>
              <w:pStyle w:val="25"/>
              <w:bidi w:val="0"/>
              <w:jc w:val="center"/>
              <w:rPr>
                <w:rFonts w:hint="default"/>
              </w:rPr>
            </w:pPr>
            <w:r>
              <w:rPr>
                <w:rFonts w:hint="default"/>
                <w:lang w:val="en-US" w:eastAsia="zh-CN"/>
              </w:rPr>
              <w:t>(mg/L)</w:t>
            </w:r>
          </w:p>
        </w:tc>
        <w:tc>
          <w:tcPr>
            <w:tcW w:w="1599" w:type="dxa"/>
            <w:shd w:val="clear" w:color="auto" w:fill="auto"/>
            <w:noWrap/>
            <w:vAlign w:val="center"/>
          </w:tcPr>
          <w:p>
            <w:pPr>
              <w:pStyle w:val="25"/>
              <w:bidi w:val="0"/>
              <w:jc w:val="center"/>
              <w:rPr>
                <w:rFonts w:hint="default"/>
              </w:rPr>
            </w:pPr>
            <w:r>
              <w:rPr>
                <w:rFonts w:hint="default"/>
                <w:lang w:val="en-US" w:eastAsia="zh-CN"/>
              </w:rPr>
              <w:t>(mg/L)</w:t>
            </w:r>
          </w:p>
        </w:tc>
        <w:tc>
          <w:tcPr>
            <w:tcW w:w="1830" w:type="dxa"/>
            <w:shd w:val="clear" w:color="auto" w:fill="auto"/>
            <w:noWrap/>
            <w:vAlign w:val="center"/>
          </w:tcPr>
          <w:p>
            <w:pPr>
              <w:pStyle w:val="25"/>
              <w:bidi w:val="0"/>
              <w:jc w:val="center"/>
              <w:rPr>
                <w:rFonts w:hint="default"/>
              </w:rPr>
            </w:pPr>
            <w:r>
              <w:rPr>
                <w:rFonts w:hint="default"/>
                <w:lang w:val="en-US" w:eastAsia="zh-CN"/>
              </w:rPr>
              <w:t>(mg/L)</w:t>
            </w:r>
          </w:p>
        </w:tc>
        <w:tc>
          <w:tcPr>
            <w:tcW w:w="877" w:type="dxa"/>
            <w:shd w:val="clear" w:color="auto" w:fill="auto"/>
            <w:noWrap/>
            <w:vAlign w:val="center"/>
          </w:tcPr>
          <w:p>
            <w:pPr>
              <w:pStyle w:val="25"/>
              <w:bidi w:val="0"/>
              <w:jc w:val="center"/>
              <w:rPr>
                <w:rFonts w:hint="default"/>
              </w:rPr>
            </w:pPr>
            <w:r>
              <w:rPr>
                <w:rFonts w:hint="default"/>
                <w:lang w:val="en-US" w:eastAsia="zh-CN"/>
              </w:rPr>
              <w:t>(mg/L)</w:t>
            </w:r>
          </w:p>
        </w:tc>
        <w:tc>
          <w:tcPr>
            <w:tcW w:w="877" w:type="dxa"/>
            <w:shd w:val="clear" w:color="auto" w:fill="auto"/>
            <w:noWrap/>
            <w:vAlign w:val="center"/>
          </w:tcPr>
          <w:p>
            <w:pPr>
              <w:pStyle w:val="25"/>
              <w:bidi w:val="0"/>
              <w:jc w:val="center"/>
              <w:rPr>
                <w:rFonts w:hint="default"/>
              </w:rPr>
            </w:pPr>
            <w:r>
              <w:rPr>
                <w:rFonts w:hint="default"/>
                <w:lang w:val="en-US" w:eastAsia="zh-CN"/>
              </w:rPr>
              <w:t>(mg/L)</w:t>
            </w:r>
          </w:p>
        </w:tc>
        <w:tc>
          <w:tcPr>
            <w:tcW w:w="1143" w:type="dxa"/>
            <w:vMerge w:val="continue"/>
            <w:shd w:val="clear" w:color="auto" w:fill="auto"/>
            <w:noWrap/>
            <w:vAlign w:val="center"/>
          </w:tcPr>
          <w:p>
            <w:pPr>
              <w:pStyle w:val="25"/>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restart"/>
            <w:shd w:val="clear" w:color="auto" w:fill="auto"/>
            <w:noWrap/>
            <w:vAlign w:val="center"/>
          </w:tcPr>
          <w:p>
            <w:pPr>
              <w:pStyle w:val="25"/>
              <w:bidi w:val="0"/>
              <w:jc w:val="center"/>
              <w:rPr>
                <w:rFonts w:hint="default"/>
              </w:rPr>
            </w:pPr>
            <w:r>
              <w:rPr>
                <w:rFonts w:hint="default"/>
                <w:lang w:val="en-US" w:eastAsia="zh-CN"/>
              </w:rPr>
              <w:t>2019</w:t>
            </w:r>
          </w:p>
        </w:tc>
        <w:tc>
          <w:tcPr>
            <w:tcW w:w="687" w:type="dxa"/>
            <w:shd w:val="clear" w:color="auto" w:fill="auto"/>
            <w:noWrap/>
            <w:vAlign w:val="center"/>
          </w:tcPr>
          <w:p>
            <w:pPr>
              <w:pStyle w:val="25"/>
              <w:bidi w:val="0"/>
              <w:jc w:val="center"/>
              <w:rPr>
                <w:rFonts w:hint="default"/>
              </w:rPr>
            </w:pPr>
            <w:r>
              <w:rPr>
                <w:rFonts w:hint="default"/>
                <w:lang w:val="en-US" w:eastAsia="zh-CN"/>
              </w:rPr>
              <w:t>1</w:t>
            </w:r>
          </w:p>
        </w:tc>
        <w:tc>
          <w:tcPr>
            <w:tcW w:w="916" w:type="dxa"/>
            <w:shd w:val="clear" w:color="auto" w:fill="auto"/>
            <w:noWrap/>
            <w:vAlign w:val="center"/>
          </w:tcPr>
          <w:p>
            <w:pPr>
              <w:pStyle w:val="25"/>
              <w:bidi w:val="0"/>
              <w:jc w:val="center"/>
              <w:rPr>
                <w:rFonts w:hint="default"/>
              </w:rPr>
            </w:pPr>
            <w:r>
              <w:rPr>
                <w:rFonts w:hint="default"/>
                <w:lang w:val="en-US" w:eastAsia="zh-CN"/>
              </w:rPr>
              <w:t>7.21</w:t>
            </w:r>
          </w:p>
        </w:tc>
        <w:tc>
          <w:tcPr>
            <w:tcW w:w="1599" w:type="dxa"/>
            <w:shd w:val="clear" w:color="auto" w:fill="auto"/>
            <w:noWrap/>
            <w:vAlign w:val="center"/>
          </w:tcPr>
          <w:p>
            <w:pPr>
              <w:pStyle w:val="25"/>
              <w:bidi w:val="0"/>
              <w:jc w:val="center"/>
              <w:rPr>
                <w:rFonts w:hint="default"/>
              </w:rPr>
            </w:pPr>
            <w:r>
              <w:rPr>
                <w:rFonts w:hint="default"/>
                <w:lang w:val="en-US" w:eastAsia="zh-CN"/>
              </w:rPr>
              <w:t>1.5</w:t>
            </w:r>
          </w:p>
        </w:tc>
        <w:tc>
          <w:tcPr>
            <w:tcW w:w="1830" w:type="dxa"/>
            <w:shd w:val="clear" w:color="auto" w:fill="auto"/>
            <w:noWrap/>
            <w:vAlign w:val="center"/>
          </w:tcPr>
          <w:p>
            <w:pPr>
              <w:pStyle w:val="25"/>
              <w:bidi w:val="0"/>
              <w:jc w:val="center"/>
              <w:rPr>
                <w:rFonts w:hint="default"/>
              </w:rPr>
            </w:pPr>
            <w:r>
              <w:rPr>
                <w:rFonts w:hint="default"/>
                <w:lang w:val="en-US" w:eastAsia="zh-CN"/>
              </w:rPr>
              <w:t>0.9</w:t>
            </w:r>
          </w:p>
        </w:tc>
        <w:tc>
          <w:tcPr>
            <w:tcW w:w="877" w:type="dxa"/>
            <w:shd w:val="clear" w:color="auto" w:fill="auto"/>
            <w:noWrap/>
            <w:vAlign w:val="center"/>
          </w:tcPr>
          <w:p>
            <w:pPr>
              <w:pStyle w:val="25"/>
              <w:bidi w:val="0"/>
              <w:jc w:val="center"/>
              <w:rPr>
                <w:rFonts w:hint="default"/>
              </w:rPr>
            </w:pPr>
            <w:r>
              <w:rPr>
                <w:rFonts w:hint="default"/>
                <w:lang w:val="en-US" w:eastAsia="zh-CN"/>
              </w:rPr>
              <w:t>0.13</w:t>
            </w:r>
          </w:p>
        </w:tc>
        <w:tc>
          <w:tcPr>
            <w:tcW w:w="877" w:type="dxa"/>
            <w:shd w:val="clear" w:color="auto" w:fill="auto"/>
            <w:noWrap/>
            <w:vAlign w:val="center"/>
          </w:tcPr>
          <w:p>
            <w:pPr>
              <w:pStyle w:val="25"/>
              <w:bidi w:val="0"/>
              <w:jc w:val="center"/>
              <w:rPr>
                <w:rFonts w:hint="default"/>
              </w:rPr>
            </w:pPr>
            <w:r>
              <w:rPr>
                <w:rFonts w:hint="default"/>
                <w:lang w:val="en-US" w:eastAsia="zh-CN"/>
              </w:rPr>
              <w:t>0.07</w:t>
            </w:r>
          </w:p>
        </w:tc>
        <w:tc>
          <w:tcPr>
            <w:tcW w:w="1143" w:type="dxa"/>
            <w:shd w:val="clear" w:color="auto" w:fill="auto"/>
            <w:noWrap/>
            <w:vAlign w:val="center"/>
          </w:tcPr>
          <w:p>
            <w:pPr>
              <w:pStyle w:val="25"/>
              <w:bidi w:val="0"/>
              <w:jc w:val="center"/>
            </w:pPr>
            <w:r>
              <w:rPr>
                <w:rFonts w:hint="eastAsia"/>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2</w:t>
            </w:r>
          </w:p>
        </w:tc>
        <w:tc>
          <w:tcPr>
            <w:tcW w:w="916" w:type="dxa"/>
            <w:shd w:val="clear" w:color="auto" w:fill="auto"/>
            <w:noWrap/>
            <w:vAlign w:val="center"/>
          </w:tcPr>
          <w:p>
            <w:pPr>
              <w:pStyle w:val="25"/>
              <w:bidi w:val="0"/>
              <w:jc w:val="center"/>
              <w:rPr>
                <w:rFonts w:hint="default"/>
              </w:rPr>
            </w:pPr>
            <w:r>
              <w:rPr>
                <w:rFonts w:hint="default"/>
                <w:lang w:val="en-US" w:eastAsia="zh-CN"/>
              </w:rPr>
              <w:t>7.18</w:t>
            </w:r>
          </w:p>
        </w:tc>
        <w:tc>
          <w:tcPr>
            <w:tcW w:w="1599" w:type="dxa"/>
            <w:shd w:val="clear" w:color="auto" w:fill="auto"/>
            <w:noWrap/>
            <w:vAlign w:val="center"/>
          </w:tcPr>
          <w:p>
            <w:pPr>
              <w:pStyle w:val="25"/>
              <w:bidi w:val="0"/>
              <w:jc w:val="center"/>
              <w:rPr>
                <w:rFonts w:hint="default"/>
              </w:rPr>
            </w:pPr>
            <w:r>
              <w:rPr>
                <w:rFonts w:hint="default"/>
                <w:lang w:val="en-US" w:eastAsia="zh-CN"/>
              </w:rPr>
              <w:t>2.2</w:t>
            </w:r>
          </w:p>
        </w:tc>
        <w:tc>
          <w:tcPr>
            <w:tcW w:w="1830" w:type="dxa"/>
            <w:shd w:val="clear" w:color="auto" w:fill="auto"/>
            <w:noWrap/>
            <w:vAlign w:val="center"/>
          </w:tcPr>
          <w:p>
            <w:pPr>
              <w:pStyle w:val="25"/>
              <w:bidi w:val="0"/>
              <w:jc w:val="center"/>
              <w:rPr>
                <w:rFonts w:hint="default"/>
              </w:rPr>
            </w:pPr>
            <w:r>
              <w:rPr>
                <w:rFonts w:hint="default"/>
                <w:lang w:val="en-US" w:eastAsia="zh-CN"/>
              </w:rPr>
              <w:t>2.0</w:t>
            </w:r>
          </w:p>
        </w:tc>
        <w:tc>
          <w:tcPr>
            <w:tcW w:w="877" w:type="dxa"/>
            <w:shd w:val="clear" w:color="auto" w:fill="auto"/>
            <w:noWrap/>
            <w:vAlign w:val="center"/>
          </w:tcPr>
          <w:p>
            <w:pPr>
              <w:pStyle w:val="25"/>
              <w:bidi w:val="0"/>
              <w:jc w:val="center"/>
              <w:rPr>
                <w:rFonts w:hint="default"/>
              </w:rPr>
            </w:pPr>
            <w:r>
              <w:rPr>
                <w:rFonts w:hint="default"/>
                <w:lang w:val="en-US" w:eastAsia="zh-CN"/>
              </w:rPr>
              <w:t>0.08</w:t>
            </w:r>
          </w:p>
        </w:tc>
        <w:tc>
          <w:tcPr>
            <w:tcW w:w="877" w:type="dxa"/>
            <w:shd w:val="clear" w:color="auto" w:fill="auto"/>
            <w:noWrap/>
            <w:vAlign w:val="center"/>
          </w:tcPr>
          <w:p>
            <w:pPr>
              <w:pStyle w:val="25"/>
              <w:bidi w:val="0"/>
              <w:jc w:val="center"/>
              <w:rPr>
                <w:rFonts w:hint="default"/>
              </w:rPr>
            </w:pPr>
            <w:r>
              <w:rPr>
                <w:rFonts w:hint="default"/>
                <w:lang w:val="en-US" w:eastAsia="zh-CN"/>
              </w:rPr>
              <w:t>0.08</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3</w:t>
            </w:r>
          </w:p>
        </w:tc>
        <w:tc>
          <w:tcPr>
            <w:tcW w:w="916" w:type="dxa"/>
            <w:shd w:val="clear" w:color="auto" w:fill="auto"/>
            <w:noWrap/>
            <w:vAlign w:val="center"/>
          </w:tcPr>
          <w:p>
            <w:pPr>
              <w:pStyle w:val="25"/>
              <w:bidi w:val="0"/>
              <w:jc w:val="center"/>
              <w:rPr>
                <w:rFonts w:hint="default"/>
              </w:rPr>
            </w:pPr>
            <w:r>
              <w:rPr>
                <w:rFonts w:hint="default"/>
                <w:lang w:val="en-US" w:eastAsia="zh-CN"/>
              </w:rPr>
              <w:t>8.46</w:t>
            </w:r>
          </w:p>
        </w:tc>
        <w:tc>
          <w:tcPr>
            <w:tcW w:w="1599" w:type="dxa"/>
            <w:shd w:val="clear" w:color="auto" w:fill="auto"/>
            <w:noWrap/>
            <w:vAlign w:val="center"/>
          </w:tcPr>
          <w:p>
            <w:pPr>
              <w:pStyle w:val="25"/>
              <w:bidi w:val="0"/>
              <w:jc w:val="center"/>
              <w:rPr>
                <w:rFonts w:hint="default"/>
              </w:rPr>
            </w:pPr>
            <w:r>
              <w:rPr>
                <w:rFonts w:hint="default"/>
                <w:lang w:val="en-US" w:eastAsia="zh-CN"/>
              </w:rPr>
              <w:t>2.2</w:t>
            </w:r>
          </w:p>
        </w:tc>
        <w:tc>
          <w:tcPr>
            <w:tcW w:w="1830" w:type="dxa"/>
            <w:shd w:val="clear" w:color="auto" w:fill="auto"/>
            <w:noWrap/>
            <w:vAlign w:val="center"/>
          </w:tcPr>
          <w:p>
            <w:pPr>
              <w:pStyle w:val="25"/>
              <w:bidi w:val="0"/>
              <w:jc w:val="center"/>
              <w:rPr>
                <w:rFonts w:hint="default"/>
              </w:rPr>
            </w:pPr>
            <w:r>
              <w:rPr>
                <w:rFonts w:hint="default"/>
                <w:lang w:val="en-US" w:eastAsia="zh-CN"/>
              </w:rPr>
              <w:t>1.8</w:t>
            </w:r>
          </w:p>
        </w:tc>
        <w:tc>
          <w:tcPr>
            <w:tcW w:w="877" w:type="dxa"/>
            <w:shd w:val="clear" w:color="auto" w:fill="auto"/>
            <w:noWrap/>
            <w:vAlign w:val="center"/>
          </w:tcPr>
          <w:p>
            <w:pPr>
              <w:pStyle w:val="25"/>
              <w:bidi w:val="0"/>
              <w:jc w:val="center"/>
              <w:rPr>
                <w:rFonts w:hint="default"/>
              </w:rPr>
            </w:pPr>
            <w:r>
              <w:rPr>
                <w:rFonts w:hint="default"/>
                <w:lang w:val="en-US" w:eastAsia="zh-CN"/>
              </w:rPr>
              <w:t>0.14</w:t>
            </w:r>
          </w:p>
        </w:tc>
        <w:tc>
          <w:tcPr>
            <w:tcW w:w="877" w:type="dxa"/>
            <w:shd w:val="clear" w:color="auto" w:fill="auto"/>
            <w:noWrap/>
            <w:vAlign w:val="center"/>
          </w:tcPr>
          <w:p>
            <w:pPr>
              <w:pStyle w:val="25"/>
              <w:bidi w:val="0"/>
              <w:jc w:val="center"/>
              <w:rPr>
                <w:rFonts w:hint="default"/>
              </w:rPr>
            </w:pPr>
            <w:r>
              <w:rPr>
                <w:rFonts w:hint="default"/>
                <w:lang w:val="en-US" w:eastAsia="zh-CN"/>
              </w:rPr>
              <w:t>0.05</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4</w:t>
            </w:r>
          </w:p>
        </w:tc>
        <w:tc>
          <w:tcPr>
            <w:tcW w:w="916" w:type="dxa"/>
            <w:shd w:val="clear" w:color="auto" w:fill="auto"/>
            <w:noWrap/>
            <w:vAlign w:val="center"/>
          </w:tcPr>
          <w:p>
            <w:pPr>
              <w:pStyle w:val="25"/>
              <w:bidi w:val="0"/>
              <w:jc w:val="center"/>
              <w:rPr>
                <w:rFonts w:hint="default"/>
              </w:rPr>
            </w:pPr>
            <w:r>
              <w:rPr>
                <w:rFonts w:hint="default"/>
                <w:lang w:val="en-US" w:eastAsia="zh-CN"/>
              </w:rPr>
              <w:t>7.64</w:t>
            </w:r>
          </w:p>
        </w:tc>
        <w:tc>
          <w:tcPr>
            <w:tcW w:w="1599" w:type="dxa"/>
            <w:shd w:val="clear" w:color="auto" w:fill="auto"/>
            <w:noWrap/>
            <w:vAlign w:val="center"/>
          </w:tcPr>
          <w:p>
            <w:pPr>
              <w:pStyle w:val="25"/>
              <w:bidi w:val="0"/>
              <w:jc w:val="center"/>
              <w:rPr>
                <w:rFonts w:hint="default"/>
              </w:rPr>
            </w:pPr>
            <w:r>
              <w:rPr>
                <w:rFonts w:hint="default"/>
                <w:lang w:val="en-US" w:eastAsia="zh-CN"/>
              </w:rPr>
              <w:t>2.2</w:t>
            </w:r>
          </w:p>
        </w:tc>
        <w:tc>
          <w:tcPr>
            <w:tcW w:w="1830" w:type="dxa"/>
            <w:shd w:val="clear" w:color="auto" w:fill="auto"/>
            <w:noWrap/>
            <w:vAlign w:val="center"/>
          </w:tcPr>
          <w:p>
            <w:pPr>
              <w:pStyle w:val="25"/>
              <w:bidi w:val="0"/>
              <w:jc w:val="center"/>
              <w:rPr>
                <w:rFonts w:hint="default"/>
              </w:rPr>
            </w:pPr>
            <w:r>
              <w:rPr>
                <w:rFonts w:hint="default"/>
                <w:lang w:val="en-US" w:eastAsia="zh-CN"/>
              </w:rPr>
              <w:t>1.3</w:t>
            </w:r>
          </w:p>
        </w:tc>
        <w:tc>
          <w:tcPr>
            <w:tcW w:w="877" w:type="dxa"/>
            <w:shd w:val="clear" w:color="auto" w:fill="auto"/>
            <w:noWrap/>
            <w:vAlign w:val="center"/>
          </w:tcPr>
          <w:p>
            <w:pPr>
              <w:pStyle w:val="25"/>
              <w:bidi w:val="0"/>
              <w:jc w:val="center"/>
              <w:rPr>
                <w:rFonts w:hint="default"/>
              </w:rPr>
            </w:pPr>
            <w:r>
              <w:rPr>
                <w:rFonts w:hint="default"/>
                <w:lang w:val="en-US" w:eastAsia="zh-CN"/>
              </w:rPr>
              <w:t>0.28</w:t>
            </w:r>
          </w:p>
        </w:tc>
        <w:tc>
          <w:tcPr>
            <w:tcW w:w="877" w:type="dxa"/>
            <w:shd w:val="clear" w:color="auto" w:fill="auto"/>
            <w:noWrap/>
            <w:vAlign w:val="center"/>
          </w:tcPr>
          <w:p>
            <w:pPr>
              <w:pStyle w:val="25"/>
              <w:bidi w:val="0"/>
              <w:jc w:val="center"/>
              <w:rPr>
                <w:rFonts w:hint="default"/>
              </w:rPr>
            </w:pPr>
            <w:r>
              <w:rPr>
                <w:rFonts w:hint="default"/>
                <w:lang w:val="en-US" w:eastAsia="zh-CN"/>
              </w:rPr>
              <w:t>0.03</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5</w:t>
            </w:r>
          </w:p>
        </w:tc>
        <w:tc>
          <w:tcPr>
            <w:tcW w:w="916" w:type="dxa"/>
            <w:shd w:val="clear" w:color="auto" w:fill="auto"/>
            <w:noWrap/>
            <w:vAlign w:val="center"/>
          </w:tcPr>
          <w:p>
            <w:pPr>
              <w:pStyle w:val="25"/>
              <w:bidi w:val="0"/>
              <w:jc w:val="center"/>
              <w:rPr>
                <w:rFonts w:hint="default"/>
              </w:rPr>
            </w:pPr>
            <w:r>
              <w:rPr>
                <w:rFonts w:hint="default"/>
                <w:lang w:val="en-US" w:eastAsia="zh-CN"/>
              </w:rPr>
              <w:t>8.67</w:t>
            </w:r>
          </w:p>
        </w:tc>
        <w:tc>
          <w:tcPr>
            <w:tcW w:w="1599" w:type="dxa"/>
            <w:shd w:val="clear" w:color="auto" w:fill="auto"/>
            <w:noWrap/>
            <w:vAlign w:val="center"/>
          </w:tcPr>
          <w:p>
            <w:pPr>
              <w:pStyle w:val="25"/>
              <w:bidi w:val="0"/>
              <w:jc w:val="center"/>
              <w:rPr>
                <w:rFonts w:hint="default"/>
              </w:rPr>
            </w:pPr>
            <w:r>
              <w:rPr>
                <w:rFonts w:hint="default"/>
                <w:lang w:val="en-US" w:eastAsia="zh-CN"/>
              </w:rPr>
              <w:t>3.0</w:t>
            </w:r>
          </w:p>
        </w:tc>
        <w:tc>
          <w:tcPr>
            <w:tcW w:w="1830" w:type="dxa"/>
            <w:shd w:val="clear" w:color="auto" w:fill="auto"/>
            <w:noWrap/>
            <w:vAlign w:val="center"/>
          </w:tcPr>
          <w:p>
            <w:pPr>
              <w:pStyle w:val="25"/>
              <w:bidi w:val="0"/>
              <w:jc w:val="center"/>
              <w:rPr>
                <w:rFonts w:hint="default"/>
              </w:rPr>
            </w:pPr>
            <w:r>
              <w:rPr>
                <w:rFonts w:hint="default"/>
                <w:lang w:val="en-US" w:eastAsia="zh-CN"/>
              </w:rPr>
              <w:t>1.7</w:t>
            </w:r>
          </w:p>
        </w:tc>
        <w:tc>
          <w:tcPr>
            <w:tcW w:w="877" w:type="dxa"/>
            <w:shd w:val="clear" w:color="auto" w:fill="auto"/>
            <w:noWrap/>
            <w:vAlign w:val="center"/>
          </w:tcPr>
          <w:p>
            <w:pPr>
              <w:pStyle w:val="25"/>
              <w:bidi w:val="0"/>
              <w:jc w:val="center"/>
              <w:rPr>
                <w:rFonts w:hint="default"/>
              </w:rPr>
            </w:pPr>
            <w:r>
              <w:rPr>
                <w:rFonts w:hint="default"/>
                <w:lang w:val="en-US" w:eastAsia="zh-CN"/>
              </w:rPr>
              <w:t>0.31</w:t>
            </w:r>
          </w:p>
        </w:tc>
        <w:tc>
          <w:tcPr>
            <w:tcW w:w="877" w:type="dxa"/>
            <w:shd w:val="clear" w:color="auto" w:fill="auto"/>
            <w:noWrap/>
            <w:vAlign w:val="center"/>
          </w:tcPr>
          <w:p>
            <w:pPr>
              <w:pStyle w:val="25"/>
              <w:bidi w:val="0"/>
              <w:jc w:val="center"/>
              <w:rPr>
                <w:rFonts w:hint="default"/>
              </w:rPr>
            </w:pPr>
            <w:r>
              <w:rPr>
                <w:rFonts w:hint="default"/>
                <w:lang w:val="en-US" w:eastAsia="zh-CN"/>
              </w:rPr>
              <w:t>0.12</w:t>
            </w:r>
          </w:p>
        </w:tc>
        <w:tc>
          <w:tcPr>
            <w:tcW w:w="1143" w:type="dxa"/>
            <w:shd w:val="clear" w:color="auto" w:fill="auto"/>
            <w:noWrap/>
            <w:vAlign w:val="center"/>
          </w:tcPr>
          <w:p>
            <w:pPr>
              <w:pStyle w:val="25"/>
              <w:bidi w:val="0"/>
              <w:jc w:val="center"/>
              <w:rPr>
                <w:rFonts w:hint="default"/>
              </w:rPr>
            </w:pPr>
            <w:r>
              <w:rPr>
                <w:rFonts w:hint="default"/>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6</w:t>
            </w:r>
          </w:p>
        </w:tc>
        <w:tc>
          <w:tcPr>
            <w:tcW w:w="916" w:type="dxa"/>
            <w:shd w:val="clear" w:color="auto" w:fill="auto"/>
            <w:noWrap/>
            <w:vAlign w:val="center"/>
          </w:tcPr>
          <w:p>
            <w:pPr>
              <w:pStyle w:val="25"/>
              <w:bidi w:val="0"/>
              <w:jc w:val="center"/>
              <w:rPr>
                <w:rFonts w:hint="default"/>
              </w:rPr>
            </w:pPr>
            <w:r>
              <w:rPr>
                <w:rFonts w:hint="default"/>
                <w:lang w:val="en-US" w:eastAsia="zh-CN"/>
              </w:rPr>
              <w:t>7.91</w:t>
            </w:r>
          </w:p>
        </w:tc>
        <w:tc>
          <w:tcPr>
            <w:tcW w:w="1599" w:type="dxa"/>
            <w:shd w:val="clear" w:color="auto" w:fill="auto"/>
            <w:noWrap/>
            <w:vAlign w:val="center"/>
          </w:tcPr>
          <w:p>
            <w:pPr>
              <w:pStyle w:val="25"/>
              <w:bidi w:val="0"/>
              <w:jc w:val="center"/>
              <w:rPr>
                <w:rFonts w:hint="default"/>
              </w:rPr>
            </w:pPr>
            <w:r>
              <w:rPr>
                <w:rFonts w:hint="default"/>
                <w:lang w:val="en-US" w:eastAsia="zh-CN"/>
              </w:rPr>
              <w:t>2.5</w:t>
            </w:r>
          </w:p>
        </w:tc>
        <w:tc>
          <w:tcPr>
            <w:tcW w:w="1830" w:type="dxa"/>
            <w:shd w:val="clear" w:color="auto" w:fill="auto"/>
            <w:noWrap/>
            <w:vAlign w:val="center"/>
          </w:tcPr>
          <w:p>
            <w:pPr>
              <w:pStyle w:val="25"/>
              <w:bidi w:val="0"/>
              <w:jc w:val="center"/>
              <w:rPr>
                <w:rFonts w:hint="default"/>
              </w:rPr>
            </w:pPr>
            <w:r>
              <w:rPr>
                <w:rFonts w:hint="default"/>
                <w:lang w:val="en-US" w:eastAsia="zh-CN"/>
              </w:rPr>
              <w:t>1.7</w:t>
            </w:r>
          </w:p>
        </w:tc>
        <w:tc>
          <w:tcPr>
            <w:tcW w:w="877" w:type="dxa"/>
            <w:shd w:val="clear" w:color="auto" w:fill="auto"/>
            <w:noWrap/>
            <w:vAlign w:val="center"/>
          </w:tcPr>
          <w:p>
            <w:pPr>
              <w:pStyle w:val="25"/>
              <w:bidi w:val="0"/>
              <w:jc w:val="center"/>
              <w:rPr>
                <w:rFonts w:hint="default"/>
              </w:rPr>
            </w:pPr>
            <w:r>
              <w:rPr>
                <w:rFonts w:hint="default"/>
                <w:lang w:val="en-US" w:eastAsia="zh-CN"/>
              </w:rPr>
              <w:t>0.27</w:t>
            </w:r>
          </w:p>
        </w:tc>
        <w:tc>
          <w:tcPr>
            <w:tcW w:w="877" w:type="dxa"/>
            <w:shd w:val="clear" w:color="auto" w:fill="auto"/>
            <w:noWrap/>
            <w:vAlign w:val="center"/>
          </w:tcPr>
          <w:p>
            <w:pPr>
              <w:pStyle w:val="25"/>
              <w:bidi w:val="0"/>
              <w:jc w:val="center"/>
              <w:rPr>
                <w:rFonts w:hint="default"/>
              </w:rPr>
            </w:pPr>
            <w:r>
              <w:rPr>
                <w:rFonts w:hint="default"/>
                <w:lang w:val="en-US" w:eastAsia="zh-CN"/>
              </w:rPr>
              <w:t>0.08</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7</w:t>
            </w:r>
          </w:p>
        </w:tc>
        <w:tc>
          <w:tcPr>
            <w:tcW w:w="916" w:type="dxa"/>
            <w:shd w:val="clear" w:color="auto" w:fill="auto"/>
            <w:noWrap/>
            <w:vAlign w:val="center"/>
          </w:tcPr>
          <w:p>
            <w:pPr>
              <w:pStyle w:val="25"/>
              <w:bidi w:val="0"/>
              <w:jc w:val="center"/>
              <w:rPr>
                <w:rFonts w:hint="default"/>
              </w:rPr>
            </w:pPr>
            <w:r>
              <w:rPr>
                <w:rFonts w:hint="default"/>
                <w:lang w:val="en-US" w:eastAsia="zh-CN"/>
              </w:rPr>
              <w:t>7.55</w:t>
            </w:r>
          </w:p>
        </w:tc>
        <w:tc>
          <w:tcPr>
            <w:tcW w:w="1599" w:type="dxa"/>
            <w:shd w:val="clear" w:color="auto" w:fill="auto"/>
            <w:noWrap/>
            <w:vAlign w:val="center"/>
          </w:tcPr>
          <w:p>
            <w:pPr>
              <w:pStyle w:val="25"/>
              <w:bidi w:val="0"/>
              <w:jc w:val="center"/>
              <w:rPr>
                <w:rFonts w:hint="default"/>
              </w:rPr>
            </w:pPr>
            <w:r>
              <w:rPr>
                <w:rFonts w:hint="default"/>
                <w:lang w:val="en-US" w:eastAsia="zh-CN"/>
              </w:rPr>
              <w:t>2.8</w:t>
            </w:r>
          </w:p>
        </w:tc>
        <w:tc>
          <w:tcPr>
            <w:tcW w:w="1830" w:type="dxa"/>
            <w:shd w:val="clear" w:color="auto" w:fill="auto"/>
            <w:noWrap/>
            <w:vAlign w:val="center"/>
          </w:tcPr>
          <w:p>
            <w:pPr>
              <w:pStyle w:val="25"/>
              <w:bidi w:val="0"/>
              <w:jc w:val="center"/>
              <w:rPr>
                <w:rFonts w:hint="default"/>
              </w:rPr>
            </w:pPr>
            <w:r>
              <w:rPr>
                <w:rFonts w:hint="default"/>
                <w:lang w:val="en-US" w:eastAsia="zh-CN"/>
              </w:rPr>
              <w:t>2.2</w:t>
            </w:r>
          </w:p>
        </w:tc>
        <w:tc>
          <w:tcPr>
            <w:tcW w:w="877" w:type="dxa"/>
            <w:shd w:val="clear" w:color="auto" w:fill="auto"/>
            <w:noWrap/>
            <w:vAlign w:val="center"/>
          </w:tcPr>
          <w:p>
            <w:pPr>
              <w:pStyle w:val="25"/>
              <w:bidi w:val="0"/>
              <w:jc w:val="center"/>
              <w:rPr>
                <w:rFonts w:hint="default"/>
              </w:rPr>
            </w:pPr>
            <w:r>
              <w:rPr>
                <w:rFonts w:hint="default"/>
                <w:lang w:val="en-US" w:eastAsia="zh-CN"/>
              </w:rPr>
              <w:t>0.15</w:t>
            </w:r>
          </w:p>
        </w:tc>
        <w:tc>
          <w:tcPr>
            <w:tcW w:w="877" w:type="dxa"/>
            <w:shd w:val="clear" w:color="auto" w:fill="auto"/>
            <w:noWrap/>
            <w:vAlign w:val="center"/>
          </w:tcPr>
          <w:p>
            <w:pPr>
              <w:pStyle w:val="25"/>
              <w:bidi w:val="0"/>
              <w:jc w:val="center"/>
              <w:rPr>
                <w:rFonts w:hint="default"/>
              </w:rPr>
            </w:pPr>
            <w:r>
              <w:rPr>
                <w:rFonts w:hint="default"/>
                <w:lang w:val="en-US" w:eastAsia="zh-CN"/>
              </w:rPr>
              <w:t>0.10</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8</w:t>
            </w:r>
          </w:p>
        </w:tc>
        <w:tc>
          <w:tcPr>
            <w:tcW w:w="916" w:type="dxa"/>
            <w:shd w:val="clear" w:color="auto" w:fill="auto"/>
            <w:noWrap/>
            <w:vAlign w:val="center"/>
          </w:tcPr>
          <w:p>
            <w:pPr>
              <w:pStyle w:val="25"/>
              <w:bidi w:val="0"/>
              <w:jc w:val="center"/>
              <w:rPr>
                <w:rFonts w:hint="default"/>
              </w:rPr>
            </w:pPr>
            <w:r>
              <w:rPr>
                <w:rFonts w:hint="default"/>
                <w:lang w:val="en-US" w:eastAsia="zh-CN"/>
              </w:rPr>
              <w:t>8.71</w:t>
            </w:r>
          </w:p>
        </w:tc>
        <w:tc>
          <w:tcPr>
            <w:tcW w:w="1599" w:type="dxa"/>
            <w:shd w:val="clear" w:color="auto" w:fill="auto"/>
            <w:noWrap/>
            <w:vAlign w:val="center"/>
          </w:tcPr>
          <w:p>
            <w:pPr>
              <w:pStyle w:val="25"/>
              <w:bidi w:val="0"/>
              <w:jc w:val="center"/>
              <w:rPr>
                <w:rFonts w:hint="default"/>
              </w:rPr>
            </w:pPr>
            <w:r>
              <w:rPr>
                <w:rFonts w:hint="default"/>
                <w:lang w:val="en-US" w:eastAsia="zh-CN"/>
              </w:rPr>
              <w:t>5.2</w:t>
            </w:r>
          </w:p>
        </w:tc>
        <w:tc>
          <w:tcPr>
            <w:tcW w:w="1830" w:type="dxa"/>
            <w:shd w:val="clear" w:color="auto" w:fill="auto"/>
            <w:noWrap/>
            <w:vAlign w:val="center"/>
          </w:tcPr>
          <w:p>
            <w:pPr>
              <w:pStyle w:val="25"/>
              <w:bidi w:val="0"/>
              <w:jc w:val="center"/>
              <w:rPr>
                <w:rFonts w:hint="default"/>
              </w:rPr>
            </w:pPr>
            <w:r>
              <w:rPr>
                <w:rFonts w:hint="default"/>
                <w:lang w:val="en-US" w:eastAsia="zh-CN"/>
              </w:rPr>
              <w:t>3.7</w:t>
            </w:r>
          </w:p>
        </w:tc>
        <w:tc>
          <w:tcPr>
            <w:tcW w:w="877" w:type="dxa"/>
            <w:shd w:val="clear" w:color="auto" w:fill="auto"/>
            <w:noWrap/>
            <w:vAlign w:val="center"/>
          </w:tcPr>
          <w:p>
            <w:pPr>
              <w:pStyle w:val="25"/>
              <w:bidi w:val="0"/>
              <w:jc w:val="center"/>
              <w:rPr>
                <w:rFonts w:hint="default"/>
              </w:rPr>
            </w:pPr>
            <w:r>
              <w:rPr>
                <w:rFonts w:hint="default"/>
                <w:lang w:val="en-US" w:eastAsia="zh-CN"/>
              </w:rPr>
              <w:t>0.25</w:t>
            </w:r>
          </w:p>
        </w:tc>
        <w:tc>
          <w:tcPr>
            <w:tcW w:w="877" w:type="dxa"/>
            <w:shd w:val="clear" w:color="auto" w:fill="auto"/>
            <w:noWrap/>
            <w:vAlign w:val="center"/>
          </w:tcPr>
          <w:p>
            <w:pPr>
              <w:pStyle w:val="25"/>
              <w:bidi w:val="0"/>
              <w:jc w:val="center"/>
              <w:rPr>
                <w:rFonts w:hint="default"/>
              </w:rPr>
            </w:pPr>
            <w:r>
              <w:rPr>
                <w:rFonts w:hint="default"/>
                <w:lang w:val="en-US" w:eastAsia="zh-CN"/>
              </w:rPr>
              <w:t>0.14</w:t>
            </w:r>
          </w:p>
        </w:tc>
        <w:tc>
          <w:tcPr>
            <w:tcW w:w="1143" w:type="dxa"/>
            <w:shd w:val="clear" w:color="auto" w:fill="auto"/>
            <w:noWrap/>
            <w:vAlign w:val="center"/>
          </w:tcPr>
          <w:p>
            <w:pPr>
              <w:pStyle w:val="25"/>
              <w:bidi w:val="0"/>
              <w:jc w:val="center"/>
              <w:rPr>
                <w:rFonts w:hint="eastAsia"/>
              </w:rPr>
            </w:pPr>
            <w:r>
              <w:rPr>
                <w:rFonts w:hint="eastAsia"/>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9</w:t>
            </w:r>
          </w:p>
        </w:tc>
        <w:tc>
          <w:tcPr>
            <w:tcW w:w="916" w:type="dxa"/>
            <w:shd w:val="clear" w:color="auto" w:fill="auto"/>
            <w:noWrap/>
            <w:vAlign w:val="center"/>
          </w:tcPr>
          <w:p>
            <w:pPr>
              <w:pStyle w:val="25"/>
              <w:bidi w:val="0"/>
              <w:jc w:val="center"/>
              <w:rPr>
                <w:rFonts w:hint="default"/>
              </w:rPr>
            </w:pPr>
            <w:r>
              <w:rPr>
                <w:rFonts w:hint="default"/>
                <w:lang w:val="en-US" w:eastAsia="zh-CN"/>
              </w:rPr>
              <w:t>7.62</w:t>
            </w:r>
          </w:p>
        </w:tc>
        <w:tc>
          <w:tcPr>
            <w:tcW w:w="1599" w:type="dxa"/>
            <w:shd w:val="clear" w:color="auto" w:fill="auto"/>
            <w:noWrap/>
            <w:vAlign w:val="center"/>
          </w:tcPr>
          <w:p>
            <w:pPr>
              <w:pStyle w:val="25"/>
              <w:bidi w:val="0"/>
              <w:jc w:val="center"/>
              <w:rPr>
                <w:rFonts w:hint="default"/>
              </w:rPr>
            </w:pPr>
            <w:r>
              <w:rPr>
                <w:rFonts w:hint="default"/>
                <w:lang w:val="en-US" w:eastAsia="zh-CN"/>
              </w:rPr>
              <w:t>2.6</w:t>
            </w:r>
          </w:p>
        </w:tc>
        <w:tc>
          <w:tcPr>
            <w:tcW w:w="1830" w:type="dxa"/>
            <w:shd w:val="clear" w:color="auto" w:fill="auto"/>
            <w:noWrap/>
            <w:vAlign w:val="center"/>
          </w:tcPr>
          <w:p>
            <w:pPr>
              <w:pStyle w:val="25"/>
              <w:bidi w:val="0"/>
              <w:jc w:val="center"/>
              <w:rPr>
                <w:rFonts w:hint="default"/>
              </w:rPr>
            </w:pPr>
            <w:r>
              <w:rPr>
                <w:rFonts w:hint="default"/>
                <w:lang w:val="en-US" w:eastAsia="zh-CN"/>
              </w:rPr>
              <w:t>1.2</w:t>
            </w:r>
          </w:p>
        </w:tc>
        <w:tc>
          <w:tcPr>
            <w:tcW w:w="877" w:type="dxa"/>
            <w:shd w:val="clear" w:color="auto" w:fill="auto"/>
            <w:noWrap/>
            <w:vAlign w:val="center"/>
          </w:tcPr>
          <w:p>
            <w:pPr>
              <w:pStyle w:val="25"/>
              <w:bidi w:val="0"/>
              <w:jc w:val="center"/>
              <w:rPr>
                <w:rFonts w:hint="default"/>
              </w:rPr>
            </w:pPr>
            <w:r>
              <w:rPr>
                <w:rFonts w:hint="default"/>
                <w:lang w:val="en-US" w:eastAsia="zh-CN"/>
              </w:rPr>
              <w:t>0.15</w:t>
            </w:r>
          </w:p>
        </w:tc>
        <w:tc>
          <w:tcPr>
            <w:tcW w:w="877" w:type="dxa"/>
            <w:shd w:val="clear" w:color="auto" w:fill="auto"/>
            <w:noWrap/>
            <w:vAlign w:val="center"/>
          </w:tcPr>
          <w:p>
            <w:pPr>
              <w:pStyle w:val="25"/>
              <w:bidi w:val="0"/>
              <w:jc w:val="center"/>
              <w:rPr>
                <w:rFonts w:hint="default"/>
              </w:rPr>
            </w:pPr>
            <w:r>
              <w:rPr>
                <w:rFonts w:hint="default"/>
                <w:lang w:val="en-US" w:eastAsia="zh-CN"/>
              </w:rPr>
              <w:t>0.11</w:t>
            </w:r>
          </w:p>
        </w:tc>
        <w:tc>
          <w:tcPr>
            <w:tcW w:w="1143" w:type="dxa"/>
            <w:shd w:val="clear" w:color="auto" w:fill="auto"/>
            <w:noWrap/>
            <w:vAlign w:val="center"/>
          </w:tcPr>
          <w:p>
            <w:pPr>
              <w:pStyle w:val="25"/>
              <w:bidi w:val="0"/>
              <w:jc w:val="center"/>
              <w:rPr>
                <w:rFonts w:hint="default"/>
              </w:rPr>
            </w:pPr>
            <w:r>
              <w:rPr>
                <w:rFonts w:hint="default"/>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10</w:t>
            </w:r>
          </w:p>
        </w:tc>
        <w:tc>
          <w:tcPr>
            <w:tcW w:w="916" w:type="dxa"/>
            <w:shd w:val="clear" w:color="auto" w:fill="auto"/>
            <w:noWrap/>
            <w:vAlign w:val="center"/>
          </w:tcPr>
          <w:p>
            <w:pPr>
              <w:pStyle w:val="25"/>
              <w:bidi w:val="0"/>
              <w:jc w:val="center"/>
              <w:rPr>
                <w:rFonts w:hint="default"/>
              </w:rPr>
            </w:pPr>
            <w:r>
              <w:rPr>
                <w:rFonts w:hint="default"/>
                <w:lang w:val="en-US" w:eastAsia="zh-CN"/>
              </w:rPr>
              <w:t>7.58</w:t>
            </w:r>
          </w:p>
        </w:tc>
        <w:tc>
          <w:tcPr>
            <w:tcW w:w="1599" w:type="dxa"/>
            <w:shd w:val="clear" w:color="auto" w:fill="auto"/>
            <w:noWrap/>
            <w:vAlign w:val="center"/>
          </w:tcPr>
          <w:p>
            <w:pPr>
              <w:pStyle w:val="25"/>
              <w:bidi w:val="0"/>
              <w:jc w:val="center"/>
              <w:rPr>
                <w:rFonts w:hint="default"/>
              </w:rPr>
            </w:pPr>
            <w:r>
              <w:rPr>
                <w:rFonts w:hint="default"/>
                <w:lang w:val="en-US" w:eastAsia="zh-CN"/>
              </w:rPr>
              <w:t>2.4</w:t>
            </w:r>
          </w:p>
        </w:tc>
        <w:tc>
          <w:tcPr>
            <w:tcW w:w="1830" w:type="dxa"/>
            <w:shd w:val="clear" w:color="auto" w:fill="auto"/>
            <w:noWrap/>
            <w:vAlign w:val="center"/>
          </w:tcPr>
          <w:p>
            <w:pPr>
              <w:pStyle w:val="25"/>
              <w:bidi w:val="0"/>
              <w:jc w:val="center"/>
              <w:rPr>
                <w:rFonts w:hint="default"/>
              </w:rPr>
            </w:pPr>
            <w:r>
              <w:rPr>
                <w:rFonts w:hint="default"/>
                <w:lang w:val="en-US" w:eastAsia="zh-CN"/>
              </w:rPr>
              <w:t>1.4</w:t>
            </w:r>
          </w:p>
        </w:tc>
        <w:tc>
          <w:tcPr>
            <w:tcW w:w="877" w:type="dxa"/>
            <w:shd w:val="clear" w:color="auto" w:fill="auto"/>
            <w:noWrap/>
            <w:vAlign w:val="center"/>
          </w:tcPr>
          <w:p>
            <w:pPr>
              <w:pStyle w:val="25"/>
              <w:bidi w:val="0"/>
              <w:jc w:val="center"/>
              <w:rPr>
                <w:rFonts w:hint="default"/>
              </w:rPr>
            </w:pPr>
            <w:r>
              <w:rPr>
                <w:rFonts w:hint="default"/>
                <w:lang w:val="en-US" w:eastAsia="zh-CN"/>
              </w:rPr>
              <w:t>0.22</w:t>
            </w:r>
          </w:p>
        </w:tc>
        <w:tc>
          <w:tcPr>
            <w:tcW w:w="877" w:type="dxa"/>
            <w:shd w:val="clear" w:color="auto" w:fill="auto"/>
            <w:noWrap/>
            <w:vAlign w:val="center"/>
          </w:tcPr>
          <w:p>
            <w:pPr>
              <w:pStyle w:val="25"/>
              <w:bidi w:val="0"/>
              <w:jc w:val="center"/>
              <w:rPr>
                <w:rFonts w:hint="default"/>
              </w:rPr>
            </w:pPr>
            <w:r>
              <w:rPr>
                <w:rFonts w:hint="default"/>
                <w:lang w:val="en-US" w:eastAsia="zh-CN"/>
              </w:rPr>
              <w:t>0.05</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11</w:t>
            </w:r>
          </w:p>
        </w:tc>
        <w:tc>
          <w:tcPr>
            <w:tcW w:w="916" w:type="dxa"/>
            <w:shd w:val="clear" w:color="auto" w:fill="auto"/>
            <w:noWrap/>
            <w:vAlign w:val="center"/>
          </w:tcPr>
          <w:p>
            <w:pPr>
              <w:pStyle w:val="25"/>
              <w:bidi w:val="0"/>
              <w:jc w:val="center"/>
              <w:rPr>
                <w:rFonts w:hint="default"/>
              </w:rPr>
            </w:pPr>
            <w:r>
              <w:rPr>
                <w:rFonts w:hint="default"/>
                <w:lang w:val="en-US" w:eastAsia="zh-CN"/>
              </w:rPr>
              <w:t>7.98</w:t>
            </w:r>
          </w:p>
        </w:tc>
        <w:tc>
          <w:tcPr>
            <w:tcW w:w="1599" w:type="dxa"/>
            <w:shd w:val="clear" w:color="auto" w:fill="auto"/>
            <w:noWrap/>
            <w:vAlign w:val="center"/>
          </w:tcPr>
          <w:p>
            <w:pPr>
              <w:pStyle w:val="25"/>
              <w:bidi w:val="0"/>
              <w:jc w:val="center"/>
              <w:rPr>
                <w:rFonts w:hint="default"/>
              </w:rPr>
            </w:pPr>
            <w:r>
              <w:rPr>
                <w:rFonts w:hint="default"/>
                <w:lang w:val="en-US" w:eastAsia="zh-CN"/>
              </w:rPr>
              <w:t>1.9</w:t>
            </w:r>
          </w:p>
        </w:tc>
        <w:tc>
          <w:tcPr>
            <w:tcW w:w="1830" w:type="dxa"/>
            <w:shd w:val="clear" w:color="auto" w:fill="auto"/>
            <w:noWrap/>
            <w:vAlign w:val="center"/>
          </w:tcPr>
          <w:p>
            <w:pPr>
              <w:pStyle w:val="25"/>
              <w:bidi w:val="0"/>
              <w:jc w:val="center"/>
              <w:rPr>
                <w:rFonts w:hint="default"/>
              </w:rPr>
            </w:pPr>
            <w:r>
              <w:rPr>
                <w:rFonts w:hint="default"/>
                <w:lang w:val="en-US" w:eastAsia="zh-CN"/>
              </w:rPr>
              <w:t>1.3</w:t>
            </w:r>
          </w:p>
        </w:tc>
        <w:tc>
          <w:tcPr>
            <w:tcW w:w="877" w:type="dxa"/>
            <w:shd w:val="clear" w:color="auto" w:fill="auto"/>
            <w:noWrap/>
            <w:vAlign w:val="center"/>
          </w:tcPr>
          <w:p>
            <w:pPr>
              <w:pStyle w:val="25"/>
              <w:bidi w:val="0"/>
              <w:jc w:val="center"/>
              <w:rPr>
                <w:rFonts w:hint="default"/>
              </w:rPr>
            </w:pPr>
            <w:r>
              <w:rPr>
                <w:rFonts w:hint="default"/>
                <w:lang w:val="en-US" w:eastAsia="zh-CN"/>
              </w:rPr>
              <w:t>0.19</w:t>
            </w:r>
          </w:p>
        </w:tc>
        <w:tc>
          <w:tcPr>
            <w:tcW w:w="877" w:type="dxa"/>
            <w:shd w:val="clear" w:color="auto" w:fill="auto"/>
            <w:noWrap/>
            <w:vAlign w:val="center"/>
          </w:tcPr>
          <w:p>
            <w:pPr>
              <w:pStyle w:val="25"/>
              <w:bidi w:val="0"/>
              <w:jc w:val="center"/>
              <w:rPr>
                <w:rFonts w:hint="default"/>
              </w:rPr>
            </w:pPr>
            <w:r>
              <w:rPr>
                <w:rFonts w:hint="default"/>
                <w:lang w:val="en-US" w:eastAsia="zh-CN"/>
              </w:rPr>
              <w:t>0.06</w:t>
            </w:r>
          </w:p>
        </w:tc>
        <w:tc>
          <w:tcPr>
            <w:tcW w:w="1143" w:type="dxa"/>
            <w:shd w:val="clear" w:color="auto" w:fill="auto"/>
            <w:noWrap/>
            <w:vAlign w:val="center"/>
          </w:tcPr>
          <w:p>
            <w:pPr>
              <w:pStyle w:val="25"/>
              <w:bidi w:val="0"/>
              <w:jc w:val="center"/>
              <w:rPr>
                <w:rFonts w:hint="eastAsia"/>
              </w:rPr>
            </w:pPr>
            <w:r>
              <w:rPr>
                <w:rFonts w:hint="eastAsia"/>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12</w:t>
            </w:r>
          </w:p>
        </w:tc>
        <w:tc>
          <w:tcPr>
            <w:tcW w:w="916" w:type="dxa"/>
            <w:shd w:val="clear" w:color="auto" w:fill="auto"/>
            <w:noWrap/>
            <w:vAlign w:val="center"/>
          </w:tcPr>
          <w:p>
            <w:pPr>
              <w:pStyle w:val="25"/>
              <w:bidi w:val="0"/>
              <w:jc w:val="center"/>
              <w:rPr>
                <w:rFonts w:hint="default"/>
              </w:rPr>
            </w:pPr>
            <w:r>
              <w:rPr>
                <w:rFonts w:hint="default"/>
                <w:lang w:val="en-US" w:eastAsia="zh-CN"/>
              </w:rPr>
              <w:t>7.08</w:t>
            </w:r>
          </w:p>
        </w:tc>
        <w:tc>
          <w:tcPr>
            <w:tcW w:w="1599" w:type="dxa"/>
            <w:shd w:val="clear" w:color="auto" w:fill="auto"/>
            <w:noWrap/>
            <w:vAlign w:val="center"/>
          </w:tcPr>
          <w:p>
            <w:pPr>
              <w:pStyle w:val="25"/>
              <w:bidi w:val="0"/>
              <w:jc w:val="center"/>
              <w:rPr>
                <w:rFonts w:hint="default"/>
              </w:rPr>
            </w:pPr>
            <w:r>
              <w:rPr>
                <w:rFonts w:hint="default"/>
                <w:lang w:val="en-US" w:eastAsia="zh-CN"/>
              </w:rPr>
              <w:t>1.6</w:t>
            </w:r>
          </w:p>
        </w:tc>
        <w:tc>
          <w:tcPr>
            <w:tcW w:w="1830" w:type="dxa"/>
            <w:shd w:val="clear" w:color="auto" w:fill="auto"/>
            <w:noWrap/>
            <w:vAlign w:val="center"/>
          </w:tcPr>
          <w:p>
            <w:pPr>
              <w:pStyle w:val="25"/>
              <w:bidi w:val="0"/>
              <w:jc w:val="center"/>
              <w:rPr>
                <w:rFonts w:hint="default"/>
              </w:rPr>
            </w:pPr>
            <w:r>
              <w:rPr>
                <w:rFonts w:hint="default"/>
                <w:lang w:val="en-US" w:eastAsia="zh-CN"/>
              </w:rPr>
              <w:t>1.1</w:t>
            </w:r>
          </w:p>
        </w:tc>
        <w:tc>
          <w:tcPr>
            <w:tcW w:w="877" w:type="dxa"/>
            <w:shd w:val="clear" w:color="auto" w:fill="auto"/>
            <w:noWrap/>
            <w:vAlign w:val="center"/>
          </w:tcPr>
          <w:p>
            <w:pPr>
              <w:pStyle w:val="25"/>
              <w:bidi w:val="0"/>
              <w:jc w:val="center"/>
              <w:rPr>
                <w:rFonts w:hint="default"/>
              </w:rPr>
            </w:pPr>
            <w:r>
              <w:rPr>
                <w:rFonts w:hint="default"/>
                <w:lang w:val="en-US" w:eastAsia="zh-CN"/>
              </w:rPr>
              <w:t>0.22</w:t>
            </w:r>
          </w:p>
        </w:tc>
        <w:tc>
          <w:tcPr>
            <w:tcW w:w="877" w:type="dxa"/>
            <w:shd w:val="clear" w:color="auto" w:fill="auto"/>
            <w:noWrap/>
            <w:vAlign w:val="center"/>
          </w:tcPr>
          <w:p>
            <w:pPr>
              <w:pStyle w:val="25"/>
              <w:bidi w:val="0"/>
              <w:jc w:val="center"/>
              <w:rPr>
                <w:rFonts w:hint="default"/>
              </w:rPr>
            </w:pPr>
            <w:r>
              <w:rPr>
                <w:rFonts w:hint="default"/>
                <w:lang w:val="en-US" w:eastAsia="zh-CN"/>
              </w:rPr>
              <w:t>0.06</w:t>
            </w:r>
          </w:p>
        </w:tc>
        <w:tc>
          <w:tcPr>
            <w:tcW w:w="1143" w:type="dxa"/>
            <w:shd w:val="clear" w:color="auto" w:fill="auto"/>
            <w:noWrap/>
            <w:vAlign w:val="center"/>
          </w:tcPr>
          <w:p>
            <w:pPr>
              <w:pStyle w:val="25"/>
              <w:bidi w:val="0"/>
              <w:jc w:val="center"/>
              <w:rPr>
                <w:rFonts w:hint="eastAsia"/>
              </w:rPr>
            </w:pPr>
            <w:r>
              <w:rPr>
                <w:rFonts w:hint="eastAsia"/>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w:t>
            </w:r>
          </w:p>
        </w:tc>
        <w:tc>
          <w:tcPr>
            <w:tcW w:w="916" w:type="dxa"/>
            <w:shd w:val="clear" w:color="auto" w:fill="auto"/>
            <w:noWrap/>
            <w:vAlign w:val="center"/>
          </w:tcPr>
          <w:p>
            <w:pPr>
              <w:pStyle w:val="25"/>
              <w:bidi w:val="0"/>
              <w:jc w:val="center"/>
              <w:rPr>
                <w:rFonts w:hint="default"/>
              </w:rPr>
            </w:pPr>
            <w:r>
              <w:rPr>
                <w:rFonts w:hint="default"/>
                <w:lang w:val="en-US" w:eastAsia="zh-CN"/>
              </w:rPr>
              <w:t>8.13</w:t>
            </w:r>
          </w:p>
        </w:tc>
        <w:tc>
          <w:tcPr>
            <w:tcW w:w="1599" w:type="dxa"/>
            <w:shd w:val="clear" w:color="auto" w:fill="auto"/>
            <w:noWrap/>
            <w:vAlign w:val="center"/>
          </w:tcPr>
          <w:p>
            <w:pPr>
              <w:pStyle w:val="25"/>
              <w:bidi w:val="0"/>
              <w:jc w:val="center"/>
              <w:rPr>
                <w:rFonts w:hint="default"/>
              </w:rPr>
            </w:pPr>
            <w:r>
              <w:rPr>
                <w:rFonts w:hint="default"/>
                <w:lang w:val="en-US" w:eastAsia="zh-CN"/>
              </w:rPr>
              <w:t>2.1</w:t>
            </w:r>
          </w:p>
        </w:tc>
        <w:tc>
          <w:tcPr>
            <w:tcW w:w="1830" w:type="dxa"/>
            <w:shd w:val="clear" w:color="auto" w:fill="auto"/>
            <w:noWrap/>
            <w:vAlign w:val="center"/>
          </w:tcPr>
          <w:p>
            <w:pPr>
              <w:pStyle w:val="25"/>
              <w:bidi w:val="0"/>
              <w:jc w:val="center"/>
              <w:rPr>
                <w:rFonts w:hint="default"/>
              </w:rPr>
            </w:pPr>
            <w:r>
              <w:rPr>
                <w:rFonts w:hint="default"/>
                <w:lang w:val="en-US" w:eastAsia="zh-CN"/>
              </w:rPr>
              <w:t>0.6</w:t>
            </w:r>
          </w:p>
        </w:tc>
        <w:tc>
          <w:tcPr>
            <w:tcW w:w="877" w:type="dxa"/>
            <w:shd w:val="clear" w:color="auto" w:fill="auto"/>
            <w:noWrap/>
            <w:vAlign w:val="center"/>
          </w:tcPr>
          <w:p>
            <w:pPr>
              <w:pStyle w:val="25"/>
              <w:bidi w:val="0"/>
              <w:jc w:val="center"/>
              <w:rPr>
                <w:rFonts w:hint="default"/>
              </w:rPr>
            </w:pPr>
            <w:r>
              <w:rPr>
                <w:rFonts w:hint="default"/>
                <w:lang w:val="en-US" w:eastAsia="zh-CN"/>
              </w:rPr>
              <w:t>0.22</w:t>
            </w:r>
          </w:p>
        </w:tc>
        <w:tc>
          <w:tcPr>
            <w:tcW w:w="877" w:type="dxa"/>
            <w:shd w:val="clear" w:color="auto" w:fill="auto"/>
            <w:noWrap/>
            <w:vAlign w:val="center"/>
          </w:tcPr>
          <w:p>
            <w:pPr>
              <w:pStyle w:val="25"/>
              <w:bidi w:val="0"/>
              <w:jc w:val="center"/>
              <w:rPr>
                <w:rFonts w:hint="default"/>
              </w:rPr>
            </w:pPr>
            <w:r>
              <w:rPr>
                <w:rFonts w:hint="default"/>
                <w:lang w:val="en-US" w:eastAsia="zh-CN"/>
              </w:rPr>
              <w:t>0.08</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2</w:t>
            </w:r>
          </w:p>
        </w:tc>
        <w:tc>
          <w:tcPr>
            <w:tcW w:w="916" w:type="dxa"/>
            <w:shd w:val="clear" w:color="auto" w:fill="auto"/>
            <w:noWrap/>
            <w:vAlign w:val="center"/>
          </w:tcPr>
          <w:p>
            <w:pPr>
              <w:pStyle w:val="25"/>
              <w:bidi w:val="0"/>
              <w:jc w:val="center"/>
              <w:rPr>
                <w:rFonts w:hint="default"/>
              </w:rPr>
            </w:pPr>
            <w:r>
              <w:rPr>
                <w:rFonts w:hint="default"/>
                <w:lang w:val="en-US" w:eastAsia="zh-CN"/>
              </w:rPr>
              <w:t>10.36</w:t>
            </w:r>
          </w:p>
        </w:tc>
        <w:tc>
          <w:tcPr>
            <w:tcW w:w="1599" w:type="dxa"/>
            <w:shd w:val="clear" w:color="auto" w:fill="auto"/>
            <w:noWrap/>
            <w:vAlign w:val="center"/>
          </w:tcPr>
          <w:p>
            <w:pPr>
              <w:pStyle w:val="25"/>
              <w:bidi w:val="0"/>
              <w:jc w:val="center"/>
              <w:rPr>
                <w:rFonts w:hint="default"/>
              </w:rPr>
            </w:pPr>
            <w:r>
              <w:rPr>
                <w:rFonts w:hint="default"/>
                <w:lang w:val="en-US" w:eastAsia="zh-CN"/>
              </w:rPr>
              <w:t>1.7</w:t>
            </w:r>
          </w:p>
        </w:tc>
        <w:tc>
          <w:tcPr>
            <w:tcW w:w="1830" w:type="dxa"/>
            <w:shd w:val="clear" w:color="auto" w:fill="auto"/>
            <w:noWrap/>
            <w:vAlign w:val="center"/>
          </w:tcPr>
          <w:p>
            <w:pPr>
              <w:pStyle w:val="25"/>
              <w:bidi w:val="0"/>
              <w:jc w:val="center"/>
              <w:rPr>
                <w:rFonts w:hint="default"/>
              </w:rPr>
            </w:pPr>
            <w:r>
              <w:rPr>
                <w:rFonts w:hint="default"/>
                <w:lang w:val="en-US" w:eastAsia="zh-CN"/>
              </w:rPr>
              <w:t>1.0</w:t>
            </w:r>
          </w:p>
        </w:tc>
        <w:tc>
          <w:tcPr>
            <w:tcW w:w="877" w:type="dxa"/>
            <w:shd w:val="clear" w:color="auto" w:fill="auto"/>
            <w:noWrap/>
            <w:vAlign w:val="center"/>
          </w:tcPr>
          <w:p>
            <w:pPr>
              <w:pStyle w:val="25"/>
              <w:bidi w:val="0"/>
              <w:jc w:val="center"/>
              <w:rPr>
                <w:rFonts w:hint="default"/>
              </w:rPr>
            </w:pPr>
            <w:r>
              <w:rPr>
                <w:rFonts w:hint="default"/>
                <w:lang w:val="en-US" w:eastAsia="zh-CN"/>
              </w:rPr>
              <w:t>0.17</w:t>
            </w:r>
          </w:p>
        </w:tc>
        <w:tc>
          <w:tcPr>
            <w:tcW w:w="877" w:type="dxa"/>
            <w:shd w:val="clear" w:color="auto" w:fill="auto"/>
            <w:noWrap/>
            <w:vAlign w:val="center"/>
          </w:tcPr>
          <w:p>
            <w:pPr>
              <w:pStyle w:val="25"/>
              <w:bidi w:val="0"/>
              <w:jc w:val="center"/>
              <w:rPr>
                <w:rFonts w:hint="default"/>
              </w:rPr>
            </w:pPr>
            <w:r>
              <w:rPr>
                <w:rFonts w:hint="default"/>
                <w:lang w:val="en-US" w:eastAsia="zh-CN"/>
              </w:rPr>
              <w:t>0.12</w:t>
            </w:r>
          </w:p>
        </w:tc>
        <w:tc>
          <w:tcPr>
            <w:tcW w:w="1143" w:type="dxa"/>
            <w:shd w:val="clear" w:color="auto" w:fill="auto"/>
            <w:noWrap/>
            <w:vAlign w:val="center"/>
          </w:tcPr>
          <w:p>
            <w:pPr>
              <w:pStyle w:val="25"/>
              <w:bidi w:val="0"/>
              <w:jc w:val="center"/>
              <w:rPr>
                <w:rFonts w:hint="eastAsia"/>
              </w:rPr>
            </w:pPr>
            <w:r>
              <w:rPr>
                <w:rFonts w:hint="eastAsia"/>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3</w:t>
            </w:r>
          </w:p>
        </w:tc>
        <w:tc>
          <w:tcPr>
            <w:tcW w:w="916" w:type="dxa"/>
            <w:shd w:val="clear" w:color="auto" w:fill="auto"/>
            <w:noWrap/>
            <w:vAlign w:val="center"/>
          </w:tcPr>
          <w:p>
            <w:pPr>
              <w:pStyle w:val="25"/>
              <w:bidi w:val="0"/>
              <w:jc w:val="center"/>
              <w:rPr>
                <w:rFonts w:hint="default"/>
              </w:rPr>
            </w:pPr>
            <w:r>
              <w:rPr>
                <w:rFonts w:hint="default"/>
                <w:lang w:val="en-US" w:eastAsia="zh-CN"/>
              </w:rPr>
              <w:t>10.16</w:t>
            </w:r>
          </w:p>
        </w:tc>
        <w:tc>
          <w:tcPr>
            <w:tcW w:w="1599" w:type="dxa"/>
            <w:shd w:val="clear" w:color="auto" w:fill="auto"/>
            <w:noWrap/>
            <w:vAlign w:val="center"/>
          </w:tcPr>
          <w:p>
            <w:pPr>
              <w:pStyle w:val="25"/>
              <w:bidi w:val="0"/>
              <w:jc w:val="center"/>
              <w:rPr>
                <w:rFonts w:hint="default"/>
              </w:rPr>
            </w:pPr>
            <w:r>
              <w:rPr>
                <w:rFonts w:hint="default"/>
                <w:lang w:val="en-US" w:eastAsia="zh-CN"/>
              </w:rPr>
              <w:t>2.9</w:t>
            </w:r>
          </w:p>
        </w:tc>
        <w:tc>
          <w:tcPr>
            <w:tcW w:w="1830" w:type="dxa"/>
            <w:shd w:val="clear" w:color="auto" w:fill="auto"/>
            <w:noWrap/>
            <w:vAlign w:val="center"/>
          </w:tcPr>
          <w:p>
            <w:pPr>
              <w:pStyle w:val="25"/>
              <w:bidi w:val="0"/>
              <w:jc w:val="center"/>
              <w:rPr>
                <w:rFonts w:hint="default"/>
              </w:rPr>
            </w:pPr>
            <w:r>
              <w:rPr>
                <w:rFonts w:hint="default"/>
                <w:lang w:val="en-US" w:eastAsia="zh-CN"/>
              </w:rPr>
              <w:t>1.3</w:t>
            </w:r>
          </w:p>
        </w:tc>
        <w:tc>
          <w:tcPr>
            <w:tcW w:w="877" w:type="dxa"/>
            <w:shd w:val="clear" w:color="auto" w:fill="auto"/>
            <w:noWrap/>
            <w:vAlign w:val="center"/>
          </w:tcPr>
          <w:p>
            <w:pPr>
              <w:pStyle w:val="25"/>
              <w:bidi w:val="0"/>
              <w:jc w:val="center"/>
              <w:rPr>
                <w:rFonts w:hint="default"/>
              </w:rPr>
            </w:pPr>
            <w:r>
              <w:rPr>
                <w:rFonts w:hint="default"/>
                <w:lang w:val="en-US" w:eastAsia="zh-CN"/>
              </w:rPr>
              <w:t>0.32</w:t>
            </w:r>
          </w:p>
        </w:tc>
        <w:tc>
          <w:tcPr>
            <w:tcW w:w="877" w:type="dxa"/>
            <w:shd w:val="clear" w:color="auto" w:fill="auto"/>
            <w:noWrap/>
            <w:vAlign w:val="center"/>
          </w:tcPr>
          <w:p>
            <w:pPr>
              <w:pStyle w:val="25"/>
              <w:bidi w:val="0"/>
              <w:jc w:val="center"/>
              <w:rPr>
                <w:rFonts w:hint="default"/>
              </w:rPr>
            </w:pPr>
            <w:r>
              <w:rPr>
                <w:rFonts w:hint="default"/>
                <w:lang w:val="en-US" w:eastAsia="zh-CN"/>
              </w:rPr>
              <w:t>0.07</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4</w:t>
            </w:r>
          </w:p>
        </w:tc>
        <w:tc>
          <w:tcPr>
            <w:tcW w:w="916" w:type="dxa"/>
            <w:shd w:val="clear" w:color="auto" w:fill="auto"/>
            <w:noWrap/>
            <w:vAlign w:val="center"/>
          </w:tcPr>
          <w:p>
            <w:pPr>
              <w:pStyle w:val="25"/>
              <w:bidi w:val="0"/>
              <w:jc w:val="center"/>
              <w:rPr>
                <w:rFonts w:hint="default"/>
              </w:rPr>
            </w:pPr>
            <w:r>
              <w:rPr>
                <w:rFonts w:hint="default"/>
                <w:lang w:val="en-US" w:eastAsia="zh-CN"/>
              </w:rPr>
              <w:t>9.68</w:t>
            </w:r>
          </w:p>
        </w:tc>
        <w:tc>
          <w:tcPr>
            <w:tcW w:w="1599" w:type="dxa"/>
            <w:shd w:val="clear" w:color="auto" w:fill="auto"/>
            <w:noWrap/>
            <w:vAlign w:val="center"/>
          </w:tcPr>
          <w:p>
            <w:pPr>
              <w:pStyle w:val="25"/>
              <w:bidi w:val="0"/>
              <w:jc w:val="center"/>
              <w:rPr>
                <w:rFonts w:hint="default"/>
              </w:rPr>
            </w:pPr>
            <w:r>
              <w:rPr>
                <w:rFonts w:hint="default"/>
                <w:lang w:val="en-US" w:eastAsia="zh-CN"/>
              </w:rPr>
              <w:t>4.2</w:t>
            </w:r>
          </w:p>
        </w:tc>
        <w:tc>
          <w:tcPr>
            <w:tcW w:w="1830" w:type="dxa"/>
            <w:shd w:val="clear" w:color="auto" w:fill="auto"/>
            <w:noWrap/>
            <w:vAlign w:val="center"/>
          </w:tcPr>
          <w:p>
            <w:pPr>
              <w:pStyle w:val="25"/>
              <w:bidi w:val="0"/>
              <w:jc w:val="center"/>
              <w:rPr>
                <w:rFonts w:hint="default"/>
              </w:rPr>
            </w:pPr>
            <w:r>
              <w:rPr>
                <w:rFonts w:hint="default"/>
                <w:lang w:val="en-US" w:eastAsia="zh-CN"/>
              </w:rPr>
              <w:t>3.1</w:t>
            </w:r>
          </w:p>
        </w:tc>
        <w:tc>
          <w:tcPr>
            <w:tcW w:w="877" w:type="dxa"/>
            <w:shd w:val="clear" w:color="auto" w:fill="auto"/>
            <w:noWrap/>
            <w:vAlign w:val="center"/>
          </w:tcPr>
          <w:p>
            <w:pPr>
              <w:pStyle w:val="25"/>
              <w:bidi w:val="0"/>
              <w:jc w:val="center"/>
              <w:rPr>
                <w:rFonts w:hint="default"/>
              </w:rPr>
            </w:pPr>
            <w:r>
              <w:rPr>
                <w:rFonts w:hint="default"/>
                <w:lang w:val="en-US" w:eastAsia="zh-CN"/>
              </w:rPr>
              <w:t>0.31</w:t>
            </w:r>
          </w:p>
        </w:tc>
        <w:tc>
          <w:tcPr>
            <w:tcW w:w="877" w:type="dxa"/>
            <w:shd w:val="clear" w:color="auto" w:fill="auto"/>
            <w:noWrap/>
            <w:vAlign w:val="center"/>
          </w:tcPr>
          <w:p>
            <w:pPr>
              <w:pStyle w:val="25"/>
              <w:bidi w:val="0"/>
              <w:jc w:val="center"/>
              <w:rPr>
                <w:rFonts w:hint="default"/>
              </w:rPr>
            </w:pPr>
            <w:r>
              <w:rPr>
                <w:rFonts w:hint="default"/>
                <w:lang w:val="en-US" w:eastAsia="zh-CN"/>
              </w:rPr>
              <w:t>0.08</w:t>
            </w:r>
          </w:p>
        </w:tc>
        <w:tc>
          <w:tcPr>
            <w:tcW w:w="1143" w:type="dxa"/>
            <w:shd w:val="clear" w:color="auto" w:fill="auto"/>
            <w:noWrap/>
            <w:vAlign w:val="center"/>
          </w:tcPr>
          <w:p>
            <w:pPr>
              <w:pStyle w:val="25"/>
              <w:bidi w:val="0"/>
              <w:jc w:val="center"/>
              <w:rPr>
                <w:rFonts w:hint="eastAsia"/>
              </w:rPr>
            </w:pPr>
            <w:r>
              <w:rPr>
                <w:rFonts w:hint="eastAsia"/>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5</w:t>
            </w:r>
          </w:p>
        </w:tc>
        <w:tc>
          <w:tcPr>
            <w:tcW w:w="916" w:type="dxa"/>
            <w:shd w:val="clear" w:color="auto" w:fill="auto"/>
            <w:noWrap/>
            <w:vAlign w:val="center"/>
          </w:tcPr>
          <w:p>
            <w:pPr>
              <w:pStyle w:val="25"/>
              <w:bidi w:val="0"/>
              <w:jc w:val="center"/>
              <w:rPr>
                <w:rFonts w:hint="default"/>
              </w:rPr>
            </w:pPr>
            <w:r>
              <w:rPr>
                <w:rFonts w:hint="default"/>
                <w:lang w:val="en-US" w:eastAsia="zh-CN"/>
              </w:rPr>
              <w:t>8.71</w:t>
            </w:r>
          </w:p>
        </w:tc>
        <w:tc>
          <w:tcPr>
            <w:tcW w:w="1599" w:type="dxa"/>
            <w:shd w:val="clear" w:color="auto" w:fill="auto"/>
            <w:noWrap/>
            <w:vAlign w:val="center"/>
          </w:tcPr>
          <w:p>
            <w:pPr>
              <w:pStyle w:val="25"/>
              <w:bidi w:val="0"/>
              <w:jc w:val="center"/>
              <w:rPr>
                <w:rFonts w:hint="default"/>
              </w:rPr>
            </w:pPr>
            <w:r>
              <w:rPr>
                <w:rFonts w:hint="default"/>
                <w:lang w:val="en-US" w:eastAsia="zh-CN"/>
              </w:rPr>
              <w:t>3.1</w:t>
            </w:r>
          </w:p>
        </w:tc>
        <w:tc>
          <w:tcPr>
            <w:tcW w:w="1830" w:type="dxa"/>
            <w:shd w:val="clear" w:color="auto" w:fill="auto"/>
            <w:noWrap/>
            <w:vAlign w:val="center"/>
          </w:tcPr>
          <w:p>
            <w:pPr>
              <w:pStyle w:val="25"/>
              <w:bidi w:val="0"/>
              <w:jc w:val="center"/>
              <w:rPr>
                <w:rFonts w:hint="default"/>
              </w:rPr>
            </w:pPr>
            <w:r>
              <w:rPr>
                <w:rFonts w:hint="default"/>
                <w:lang w:val="en-US" w:eastAsia="zh-CN"/>
              </w:rPr>
              <w:t>2.2</w:t>
            </w:r>
          </w:p>
        </w:tc>
        <w:tc>
          <w:tcPr>
            <w:tcW w:w="877" w:type="dxa"/>
            <w:shd w:val="clear" w:color="auto" w:fill="auto"/>
            <w:noWrap/>
            <w:vAlign w:val="center"/>
          </w:tcPr>
          <w:p>
            <w:pPr>
              <w:pStyle w:val="25"/>
              <w:bidi w:val="0"/>
              <w:jc w:val="center"/>
              <w:rPr>
                <w:rFonts w:hint="default"/>
              </w:rPr>
            </w:pPr>
            <w:r>
              <w:rPr>
                <w:rFonts w:hint="default"/>
                <w:lang w:val="en-US" w:eastAsia="zh-CN"/>
              </w:rPr>
              <w:t>0.35</w:t>
            </w:r>
          </w:p>
        </w:tc>
        <w:tc>
          <w:tcPr>
            <w:tcW w:w="877" w:type="dxa"/>
            <w:shd w:val="clear" w:color="auto" w:fill="auto"/>
            <w:noWrap/>
            <w:vAlign w:val="center"/>
          </w:tcPr>
          <w:p>
            <w:pPr>
              <w:pStyle w:val="25"/>
              <w:bidi w:val="0"/>
              <w:jc w:val="center"/>
              <w:rPr>
                <w:rFonts w:hint="default"/>
              </w:rPr>
            </w:pPr>
            <w:r>
              <w:rPr>
                <w:rFonts w:hint="default"/>
                <w:lang w:val="en-US" w:eastAsia="zh-CN"/>
              </w:rPr>
              <w:t>0.09</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6</w:t>
            </w:r>
          </w:p>
        </w:tc>
        <w:tc>
          <w:tcPr>
            <w:tcW w:w="916" w:type="dxa"/>
            <w:shd w:val="clear" w:color="auto" w:fill="auto"/>
            <w:noWrap/>
            <w:vAlign w:val="center"/>
          </w:tcPr>
          <w:p>
            <w:pPr>
              <w:pStyle w:val="25"/>
              <w:bidi w:val="0"/>
              <w:jc w:val="center"/>
              <w:rPr>
                <w:rFonts w:hint="default"/>
              </w:rPr>
            </w:pPr>
            <w:r>
              <w:rPr>
                <w:rFonts w:hint="default"/>
                <w:lang w:val="en-US" w:eastAsia="zh-CN"/>
              </w:rPr>
              <w:t>8.92</w:t>
            </w:r>
          </w:p>
        </w:tc>
        <w:tc>
          <w:tcPr>
            <w:tcW w:w="1599" w:type="dxa"/>
            <w:shd w:val="clear" w:color="auto" w:fill="auto"/>
            <w:noWrap/>
            <w:vAlign w:val="center"/>
          </w:tcPr>
          <w:p>
            <w:pPr>
              <w:pStyle w:val="25"/>
              <w:bidi w:val="0"/>
              <w:jc w:val="center"/>
              <w:rPr>
                <w:rFonts w:hint="default"/>
              </w:rPr>
            </w:pPr>
            <w:r>
              <w:rPr>
                <w:rFonts w:hint="default"/>
                <w:lang w:val="en-US" w:eastAsia="zh-CN"/>
              </w:rPr>
              <w:t>4.4</w:t>
            </w:r>
          </w:p>
        </w:tc>
        <w:tc>
          <w:tcPr>
            <w:tcW w:w="1830" w:type="dxa"/>
            <w:shd w:val="clear" w:color="auto" w:fill="auto"/>
            <w:noWrap/>
            <w:vAlign w:val="center"/>
          </w:tcPr>
          <w:p>
            <w:pPr>
              <w:pStyle w:val="25"/>
              <w:bidi w:val="0"/>
              <w:jc w:val="center"/>
              <w:rPr>
                <w:rFonts w:hint="default"/>
              </w:rPr>
            </w:pPr>
            <w:r>
              <w:rPr>
                <w:rFonts w:hint="default"/>
                <w:lang w:val="en-US" w:eastAsia="zh-CN"/>
              </w:rPr>
              <w:t>2.7</w:t>
            </w:r>
          </w:p>
        </w:tc>
        <w:tc>
          <w:tcPr>
            <w:tcW w:w="877" w:type="dxa"/>
            <w:shd w:val="clear" w:color="auto" w:fill="auto"/>
            <w:noWrap/>
            <w:vAlign w:val="center"/>
          </w:tcPr>
          <w:p>
            <w:pPr>
              <w:pStyle w:val="25"/>
              <w:bidi w:val="0"/>
              <w:jc w:val="center"/>
              <w:rPr>
                <w:rFonts w:hint="default"/>
              </w:rPr>
            </w:pPr>
            <w:r>
              <w:rPr>
                <w:rFonts w:hint="default"/>
                <w:lang w:val="en-US" w:eastAsia="zh-CN"/>
              </w:rPr>
              <w:t>0.49</w:t>
            </w:r>
          </w:p>
        </w:tc>
        <w:tc>
          <w:tcPr>
            <w:tcW w:w="877" w:type="dxa"/>
            <w:shd w:val="clear" w:color="auto" w:fill="auto"/>
            <w:noWrap/>
            <w:vAlign w:val="center"/>
          </w:tcPr>
          <w:p>
            <w:pPr>
              <w:pStyle w:val="25"/>
              <w:bidi w:val="0"/>
              <w:jc w:val="center"/>
              <w:rPr>
                <w:rFonts w:hint="default"/>
              </w:rPr>
            </w:pPr>
            <w:r>
              <w:rPr>
                <w:rFonts w:hint="default"/>
                <w:lang w:val="en-US" w:eastAsia="zh-CN"/>
              </w:rPr>
              <w:t>0.13</w:t>
            </w:r>
          </w:p>
        </w:tc>
        <w:tc>
          <w:tcPr>
            <w:tcW w:w="1143" w:type="dxa"/>
            <w:shd w:val="clear" w:color="auto" w:fill="auto"/>
            <w:noWrap/>
            <w:vAlign w:val="center"/>
          </w:tcPr>
          <w:p>
            <w:pPr>
              <w:pStyle w:val="25"/>
              <w:bidi w:val="0"/>
              <w:jc w:val="center"/>
              <w:rPr>
                <w:rFonts w:hint="eastAsia"/>
              </w:rPr>
            </w:pPr>
            <w:r>
              <w:rPr>
                <w:rFonts w:hint="eastAsia"/>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7</w:t>
            </w:r>
          </w:p>
        </w:tc>
        <w:tc>
          <w:tcPr>
            <w:tcW w:w="916" w:type="dxa"/>
            <w:shd w:val="clear" w:color="auto" w:fill="auto"/>
            <w:noWrap/>
            <w:vAlign w:val="center"/>
          </w:tcPr>
          <w:p>
            <w:pPr>
              <w:pStyle w:val="25"/>
              <w:bidi w:val="0"/>
              <w:jc w:val="center"/>
              <w:rPr>
                <w:rFonts w:hint="default"/>
              </w:rPr>
            </w:pPr>
            <w:r>
              <w:rPr>
                <w:rFonts w:hint="default"/>
                <w:lang w:val="en-US" w:eastAsia="zh-CN"/>
              </w:rPr>
              <w:t>8.24</w:t>
            </w:r>
          </w:p>
        </w:tc>
        <w:tc>
          <w:tcPr>
            <w:tcW w:w="1599" w:type="dxa"/>
            <w:shd w:val="clear" w:color="auto" w:fill="auto"/>
            <w:noWrap/>
            <w:vAlign w:val="center"/>
          </w:tcPr>
          <w:p>
            <w:pPr>
              <w:pStyle w:val="25"/>
              <w:bidi w:val="0"/>
              <w:jc w:val="center"/>
              <w:rPr>
                <w:rFonts w:hint="default"/>
              </w:rPr>
            </w:pPr>
            <w:r>
              <w:rPr>
                <w:rFonts w:hint="default"/>
                <w:lang w:val="en-US" w:eastAsia="zh-CN"/>
              </w:rPr>
              <w:t>3.2</w:t>
            </w:r>
          </w:p>
        </w:tc>
        <w:tc>
          <w:tcPr>
            <w:tcW w:w="1830" w:type="dxa"/>
            <w:shd w:val="clear" w:color="auto" w:fill="auto"/>
            <w:noWrap/>
            <w:vAlign w:val="center"/>
          </w:tcPr>
          <w:p>
            <w:pPr>
              <w:pStyle w:val="25"/>
              <w:bidi w:val="0"/>
              <w:jc w:val="center"/>
              <w:rPr>
                <w:rFonts w:hint="default"/>
              </w:rPr>
            </w:pPr>
            <w:r>
              <w:rPr>
                <w:rFonts w:hint="default"/>
                <w:lang w:val="en-US" w:eastAsia="zh-CN"/>
              </w:rPr>
              <w:t>1.0</w:t>
            </w:r>
          </w:p>
        </w:tc>
        <w:tc>
          <w:tcPr>
            <w:tcW w:w="877" w:type="dxa"/>
            <w:shd w:val="clear" w:color="auto" w:fill="auto"/>
            <w:noWrap/>
            <w:vAlign w:val="center"/>
          </w:tcPr>
          <w:p>
            <w:pPr>
              <w:pStyle w:val="25"/>
              <w:bidi w:val="0"/>
              <w:jc w:val="center"/>
              <w:rPr>
                <w:rFonts w:hint="default"/>
              </w:rPr>
            </w:pPr>
            <w:r>
              <w:rPr>
                <w:rFonts w:hint="default"/>
                <w:lang w:val="en-US" w:eastAsia="zh-CN"/>
              </w:rPr>
              <w:t>0.29</w:t>
            </w:r>
          </w:p>
        </w:tc>
        <w:tc>
          <w:tcPr>
            <w:tcW w:w="877" w:type="dxa"/>
            <w:shd w:val="clear" w:color="auto" w:fill="auto"/>
            <w:noWrap/>
            <w:vAlign w:val="center"/>
          </w:tcPr>
          <w:p>
            <w:pPr>
              <w:pStyle w:val="25"/>
              <w:bidi w:val="0"/>
              <w:jc w:val="center"/>
              <w:rPr>
                <w:rFonts w:hint="default"/>
              </w:rPr>
            </w:pPr>
            <w:r>
              <w:rPr>
                <w:rFonts w:hint="default"/>
                <w:lang w:val="en-US" w:eastAsia="zh-CN"/>
              </w:rPr>
              <w:t>0.09</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8</w:t>
            </w:r>
          </w:p>
        </w:tc>
        <w:tc>
          <w:tcPr>
            <w:tcW w:w="916" w:type="dxa"/>
            <w:shd w:val="clear" w:color="auto" w:fill="auto"/>
            <w:noWrap/>
            <w:vAlign w:val="center"/>
          </w:tcPr>
          <w:p>
            <w:pPr>
              <w:pStyle w:val="25"/>
              <w:bidi w:val="0"/>
              <w:jc w:val="center"/>
              <w:rPr>
                <w:rFonts w:hint="default"/>
              </w:rPr>
            </w:pPr>
            <w:r>
              <w:rPr>
                <w:rFonts w:hint="default"/>
                <w:lang w:val="en-US" w:eastAsia="zh-CN"/>
              </w:rPr>
              <w:t>8.71</w:t>
            </w:r>
          </w:p>
        </w:tc>
        <w:tc>
          <w:tcPr>
            <w:tcW w:w="1599" w:type="dxa"/>
            <w:shd w:val="clear" w:color="auto" w:fill="auto"/>
            <w:noWrap/>
            <w:vAlign w:val="center"/>
          </w:tcPr>
          <w:p>
            <w:pPr>
              <w:pStyle w:val="25"/>
              <w:bidi w:val="0"/>
              <w:jc w:val="center"/>
              <w:rPr>
                <w:rFonts w:hint="default"/>
              </w:rPr>
            </w:pPr>
            <w:r>
              <w:rPr>
                <w:rFonts w:hint="default"/>
                <w:lang w:val="en-US" w:eastAsia="zh-CN"/>
              </w:rPr>
              <w:t>3.4</w:t>
            </w:r>
          </w:p>
        </w:tc>
        <w:tc>
          <w:tcPr>
            <w:tcW w:w="1830" w:type="dxa"/>
            <w:shd w:val="clear" w:color="auto" w:fill="auto"/>
            <w:noWrap/>
            <w:vAlign w:val="center"/>
          </w:tcPr>
          <w:p>
            <w:pPr>
              <w:pStyle w:val="25"/>
              <w:bidi w:val="0"/>
              <w:jc w:val="center"/>
              <w:rPr>
                <w:rFonts w:hint="default"/>
              </w:rPr>
            </w:pPr>
            <w:r>
              <w:rPr>
                <w:rFonts w:hint="default"/>
                <w:lang w:val="en-US" w:eastAsia="zh-CN"/>
              </w:rPr>
              <w:t>1.0</w:t>
            </w:r>
          </w:p>
        </w:tc>
        <w:tc>
          <w:tcPr>
            <w:tcW w:w="877" w:type="dxa"/>
            <w:shd w:val="clear" w:color="auto" w:fill="auto"/>
            <w:noWrap/>
            <w:vAlign w:val="center"/>
          </w:tcPr>
          <w:p>
            <w:pPr>
              <w:pStyle w:val="25"/>
              <w:bidi w:val="0"/>
              <w:jc w:val="center"/>
              <w:rPr>
                <w:rFonts w:hint="default"/>
              </w:rPr>
            </w:pPr>
            <w:r>
              <w:rPr>
                <w:rFonts w:hint="default"/>
                <w:lang w:val="en-US" w:eastAsia="zh-CN"/>
              </w:rPr>
              <w:t>0.30</w:t>
            </w:r>
          </w:p>
        </w:tc>
        <w:tc>
          <w:tcPr>
            <w:tcW w:w="877" w:type="dxa"/>
            <w:shd w:val="clear" w:color="auto" w:fill="auto"/>
            <w:noWrap/>
            <w:vAlign w:val="center"/>
          </w:tcPr>
          <w:p>
            <w:pPr>
              <w:pStyle w:val="25"/>
              <w:bidi w:val="0"/>
              <w:jc w:val="center"/>
              <w:rPr>
                <w:rFonts w:hint="default"/>
              </w:rPr>
            </w:pPr>
            <w:r>
              <w:rPr>
                <w:rFonts w:hint="default"/>
                <w:lang w:val="en-US" w:eastAsia="zh-CN"/>
              </w:rPr>
              <w:t>0.16</w:t>
            </w:r>
          </w:p>
        </w:tc>
        <w:tc>
          <w:tcPr>
            <w:tcW w:w="1143" w:type="dxa"/>
            <w:shd w:val="clear" w:color="auto" w:fill="auto"/>
            <w:noWrap/>
            <w:vAlign w:val="center"/>
          </w:tcPr>
          <w:p>
            <w:pPr>
              <w:pStyle w:val="25"/>
              <w:bidi w:val="0"/>
              <w:jc w:val="center"/>
              <w:rPr>
                <w:rFonts w:hint="default"/>
              </w:rPr>
            </w:pPr>
            <w:r>
              <w:rPr>
                <w:rFonts w:hint="default"/>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9</w:t>
            </w:r>
          </w:p>
        </w:tc>
        <w:tc>
          <w:tcPr>
            <w:tcW w:w="916" w:type="dxa"/>
            <w:shd w:val="clear" w:color="auto" w:fill="auto"/>
            <w:noWrap/>
            <w:vAlign w:val="center"/>
          </w:tcPr>
          <w:p>
            <w:pPr>
              <w:pStyle w:val="25"/>
              <w:bidi w:val="0"/>
              <w:jc w:val="center"/>
              <w:rPr>
                <w:rFonts w:hint="default"/>
              </w:rPr>
            </w:pPr>
            <w:r>
              <w:rPr>
                <w:rFonts w:hint="default"/>
                <w:lang w:val="en-US" w:eastAsia="zh-CN"/>
              </w:rPr>
              <w:t>8.76</w:t>
            </w:r>
          </w:p>
        </w:tc>
        <w:tc>
          <w:tcPr>
            <w:tcW w:w="1599" w:type="dxa"/>
            <w:shd w:val="clear" w:color="auto" w:fill="auto"/>
            <w:noWrap/>
            <w:vAlign w:val="center"/>
          </w:tcPr>
          <w:p>
            <w:pPr>
              <w:pStyle w:val="25"/>
              <w:bidi w:val="0"/>
              <w:jc w:val="center"/>
              <w:rPr>
                <w:rFonts w:hint="default"/>
              </w:rPr>
            </w:pPr>
            <w:r>
              <w:rPr>
                <w:rFonts w:hint="default"/>
                <w:lang w:val="en-US" w:eastAsia="zh-CN"/>
              </w:rPr>
              <w:t>2.3</w:t>
            </w:r>
          </w:p>
        </w:tc>
        <w:tc>
          <w:tcPr>
            <w:tcW w:w="1830" w:type="dxa"/>
            <w:shd w:val="clear" w:color="auto" w:fill="auto"/>
            <w:noWrap/>
            <w:vAlign w:val="center"/>
          </w:tcPr>
          <w:p>
            <w:pPr>
              <w:pStyle w:val="25"/>
              <w:bidi w:val="0"/>
              <w:jc w:val="center"/>
              <w:rPr>
                <w:rFonts w:hint="default"/>
              </w:rPr>
            </w:pPr>
            <w:r>
              <w:rPr>
                <w:rFonts w:hint="default"/>
                <w:lang w:val="en-US" w:eastAsia="zh-CN"/>
              </w:rPr>
              <w:t>1.7</w:t>
            </w:r>
          </w:p>
        </w:tc>
        <w:tc>
          <w:tcPr>
            <w:tcW w:w="877" w:type="dxa"/>
            <w:shd w:val="clear" w:color="auto" w:fill="auto"/>
            <w:noWrap/>
            <w:vAlign w:val="center"/>
          </w:tcPr>
          <w:p>
            <w:pPr>
              <w:pStyle w:val="25"/>
              <w:bidi w:val="0"/>
              <w:jc w:val="center"/>
              <w:rPr>
                <w:rFonts w:hint="default"/>
              </w:rPr>
            </w:pPr>
            <w:r>
              <w:rPr>
                <w:rFonts w:hint="default"/>
                <w:lang w:val="en-US" w:eastAsia="zh-CN"/>
              </w:rPr>
              <w:t>0.34</w:t>
            </w:r>
          </w:p>
        </w:tc>
        <w:tc>
          <w:tcPr>
            <w:tcW w:w="877" w:type="dxa"/>
            <w:shd w:val="clear" w:color="auto" w:fill="auto"/>
            <w:noWrap/>
            <w:vAlign w:val="center"/>
          </w:tcPr>
          <w:p>
            <w:pPr>
              <w:pStyle w:val="25"/>
              <w:bidi w:val="0"/>
              <w:jc w:val="center"/>
              <w:rPr>
                <w:rFonts w:hint="default"/>
              </w:rPr>
            </w:pPr>
            <w:r>
              <w:rPr>
                <w:rFonts w:hint="default"/>
                <w:lang w:val="en-US" w:eastAsia="zh-CN"/>
              </w:rPr>
              <w:t>0.12</w:t>
            </w:r>
          </w:p>
        </w:tc>
        <w:tc>
          <w:tcPr>
            <w:tcW w:w="1143" w:type="dxa"/>
            <w:shd w:val="clear" w:color="auto" w:fill="auto"/>
            <w:noWrap/>
            <w:vAlign w:val="center"/>
          </w:tcPr>
          <w:p>
            <w:pPr>
              <w:pStyle w:val="25"/>
              <w:bidi w:val="0"/>
              <w:jc w:val="center"/>
              <w:rPr>
                <w:rFonts w:hint="default"/>
              </w:rPr>
            </w:pPr>
            <w:r>
              <w:rPr>
                <w:rFonts w:hint="default"/>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10</w:t>
            </w:r>
          </w:p>
        </w:tc>
        <w:tc>
          <w:tcPr>
            <w:tcW w:w="916" w:type="dxa"/>
            <w:shd w:val="clear" w:color="auto" w:fill="auto"/>
            <w:noWrap/>
            <w:vAlign w:val="center"/>
          </w:tcPr>
          <w:p>
            <w:pPr>
              <w:pStyle w:val="25"/>
              <w:bidi w:val="0"/>
              <w:jc w:val="center"/>
              <w:rPr>
                <w:rFonts w:hint="default"/>
              </w:rPr>
            </w:pPr>
            <w:r>
              <w:rPr>
                <w:rFonts w:hint="default"/>
                <w:lang w:val="en-US" w:eastAsia="zh-CN"/>
              </w:rPr>
              <w:t>8.69</w:t>
            </w:r>
          </w:p>
        </w:tc>
        <w:tc>
          <w:tcPr>
            <w:tcW w:w="1599" w:type="dxa"/>
            <w:shd w:val="clear" w:color="auto" w:fill="auto"/>
            <w:noWrap/>
            <w:vAlign w:val="center"/>
          </w:tcPr>
          <w:p>
            <w:pPr>
              <w:pStyle w:val="25"/>
              <w:bidi w:val="0"/>
              <w:jc w:val="center"/>
              <w:rPr>
                <w:rFonts w:hint="default"/>
              </w:rPr>
            </w:pPr>
            <w:r>
              <w:rPr>
                <w:rFonts w:hint="default"/>
                <w:lang w:val="en-US" w:eastAsia="zh-CN"/>
              </w:rPr>
              <w:t>2.4</w:t>
            </w:r>
          </w:p>
        </w:tc>
        <w:tc>
          <w:tcPr>
            <w:tcW w:w="1830" w:type="dxa"/>
            <w:shd w:val="clear" w:color="auto" w:fill="auto"/>
            <w:noWrap/>
            <w:vAlign w:val="center"/>
          </w:tcPr>
          <w:p>
            <w:pPr>
              <w:pStyle w:val="25"/>
              <w:bidi w:val="0"/>
              <w:jc w:val="center"/>
              <w:rPr>
                <w:rFonts w:hint="default"/>
              </w:rPr>
            </w:pPr>
            <w:r>
              <w:rPr>
                <w:rFonts w:hint="default"/>
                <w:lang w:val="en-US" w:eastAsia="zh-CN"/>
              </w:rPr>
              <w:t>0.8</w:t>
            </w:r>
          </w:p>
        </w:tc>
        <w:tc>
          <w:tcPr>
            <w:tcW w:w="877" w:type="dxa"/>
            <w:shd w:val="clear" w:color="auto" w:fill="auto"/>
            <w:noWrap/>
            <w:vAlign w:val="center"/>
          </w:tcPr>
          <w:p>
            <w:pPr>
              <w:pStyle w:val="25"/>
              <w:bidi w:val="0"/>
              <w:jc w:val="center"/>
              <w:rPr>
                <w:rFonts w:hint="default"/>
              </w:rPr>
            </w:pPr>
            <w:r>
              <w:rPr>
                <w:rFonts w:hint="default"/>
                <w:lang w:val="en-US" w:eastAsia="zh-CN"/>
              </w:rPr>
              <w:t>0.26</w:t>
            </w:r>
          </w:p>
        </w:tc>
        <w:tc>
          <w:tcPr>
            <w:tcW w:w="877" w:type="dxa"/>
            <w:shd w:val="clear" w:color="auto" w:fill="auto"/>
            <w:noWrap/>
            <w:vAlign w:val="center"/>
          </w:tcPr>
          <w:p>
            <w:pPr>
              <w:pStyle w:val="25"/>
              <w:bidi w:val="0"/>
              <w:jc w:val="center"/>
              <w:rPr>
                <w:rFonts w:hint="default"/>
              </w:rPr>
            </w:pPr>
            <w:r>
              <w:rPr>
                <w:rFonts w:hint="default"/>
                <w:lang w:val="en-US" w:eastAsia="zh-CN"/>
              </w:rPr>
              <w:t>0.05</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11</w:t>
            </w:r>
          </w:p>
        </w:tc>
        <w:tc>
          <w:tcPr>
            <w:tcW w:w="916" w:type="dxa"/>
            <w:shd w:val="clear" w:color="auto" w:fill="auto"/>
            <w:noWrap/>
            <w:vAlign w:val="center"/>
          </w:tcPr>
          <w:p>
            <w:pPr>
              <w:pStyle w:val="25"/>
              <w:bidi w:val="0"/>
              <w:jc w:val="center"/>
              <w:rPr>
                <w:rFonts w:hint="default"/>
              </w:rPr>
            </w:pPr>
            <w:r>
              <w:rPr>
                <w:rFonts w:hint="default"/>
                <w:lang w:val="en-US" w:eastAsia="zh-CN"/>
              </w:rPr>
              <w:t>8.07</w:t>
            </w:r>
          </w:p>
        </w:tc>
        <w:tc>
          <w:tcPr>
            <w:tcW w:w="1599" w:type="dxa"/>
            <w:shd w:val="clear" w:color="auto" w:fill="auto"/>
            <w:noWrap/>
            <w:vAlign w:val="center"/>
          </w:tcPr>
          <w:p>
            <w:pPr>
              <w:pStyle w:val="25"/>
              <w:bidi w:val="0"/>
              <w:jc w:val="center"/>
              <w:rPr>
                <w:rFonts w:hint="default"/>
              </w:rPr>
            </w:pPr>
            <w:r>
              <w:rPr>
                <w:rFonts w:hint="default"/>
                <w:lang w:val="en-US" w:eastAsia="zh-CN"/>
              </w:rPr>
              <w:t>2.6</w:t>
            </w:r>
          </w:p>
        </w:tc>
        <w:tc>
          <w:tcPr>
            <w:tcW w:w="1830" w:type="dxa"/>
            <w:shd w:val="clear" w:color="auto" w:fill="auto"/>
            <w:noWrap/>
            <w:vAlign w:val="center"/>
          </w:tcPr>
          <w:p>
            <w:pPr>
              <w:pStyle w:val="25"/>
              <w:bidi w:val="0"/>
              <w:jc w:val="center"/>
              <w:rPr>
                <w:rFonts w:hint="default"/>
              </w:rPr>
            </w:pPr>
            <w:r>
              <w:rPr>
                <w:rFonts w:hint="default"/>
                <w:lang w:val="en-US" w:eastAsia="zh-CN"/>
              </w:rPr>
              <w:t>0.8</w:t>
            </w:r>
          </w:p>
        </w:tc>
        <w:tc>
          <w:tcPr>
            <w:tcW w:w="877" w:type="dxa"/>
            <w:shd w:val="clear" w:color="auto" w:fill="auto"/>
            <w:noWrap/>
            <w:vAlign w:val="center"/>
          </w:tcPr>
          <w:p>
            <w:pPr>
              <w:pStyle w:val="25"/>
              <w:bidi w:val="0"/>
              <w:jc w:val="center"/>
              <w:rPr>
                <w:rFonts w:hint="default"/>
              </w:rPr>
            </w:pPr>
            <w:r>
              <w:rPr>
                <w:rFonts w:hint="default"/>
                <w:lang w:val="en-US" w:eastAsia="zh-CN"/>
              </w:rPr>
              <w:t>0.28</w:t>
            </w:r>
          </w:p>
        </w:tc>
        <w:tc>
          <w:tcPr>
            <w:tcW w:w="877" w:type="dxa"/>
            <w:shd w:val="clear" w:color="auto" w:fill="auto"/>
            <w:noWrap/>
            <w:vAlign w:val="center"/>
          </w:tcPr>
          <w:p>
            <w:pPr>
              <w:pStyle w:val="25"/>
              <w:bidi w:val="0"/>
              <w:jc w:val="center"/>
              <w:rPr>
                <w:rFonts w:hint="default"/>
              </w:rPr>
            </w:pPr>
            <w:r>
              <w:rPr>
                <w:rFonts w:hint="default"/>
                <w:lang w:val="en-US" w:eastAsia="zh-CN"/>
              </w:rPr>
              <w:t>0.05</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12</w:t>
            </w:r>
          </w:p>
        </w:tc>
        <w:tc>
          <w:tcPr>
            <w:tcW w:w="916" w:type="dxa"/>
            <w:shd w:val="clear" w:color="auto" w:fill="auto"/>
            <w:noWrap/>
            <w:vAlign w:val="center"/>
          </w:tcPr>
          <w:p>
            <w:pPr>
              <w:pStyle w:val="25"/>
              <w:bidi w:val="0"/>
              <w:jc w:val="center"/>
              <w:rPr>
                <w:rFonts w:hint="default"/>
              </w:rPr>
            </w:pPr>
            <w:r>
              <w:rPr>
                <w:rFonts w:hint="default"/>
                <w:lang w:val="en-US" w:eastAsia="zh-CN"/>
              </w:rPr>
              <w:t>8.41</w:t>
            </w:r>
          </w:p>
        </w:tc>
        <w:tc>
          <w:tcPr>
            <w:tcW w:w="1599" w:type="dxa"/>
            <w:shd w:val="clear" w:color="auto" w:fill="auto"/>
            <w:noWrap/>
            <w:vAlign w:val="center"/>
          </w:tcPr>
          <w:p>
            <w:pPr>
              <w:pStyle w:val="25"/>
              <w:bidi w:val="0"/>
              <w:jc w:val="center"/>
              <w:rPr>
                <w:rFonts w:hint="default"/>
              </w:rPr>
            </w:pPr>
            <w:r>
              <w:rPr>
                <w:rFonts w:hint="default"/>
                <w:lang w:val="en-US" w:eastAsia="zh-CN"/>
              </w:rPr>
              <w:t>1.6</w:t>
            </w:r>
          </w:p>
        </w:tc>
        <w:tc>
          <w:tcPr>
            <w:tcW w:w="1830" w:type="dxa"/>
            <w:shd w:val="clear" w:color="auto" w:fill="auto"/>
            <w:noWrap/>
            <w:vAlign w:val="center"/>
          </w:tcPr>
          <w:p>
            <w:pPr>
              <w:pStyle w:val="25"/>
              <w:bidi w:val="0"/>
              <w:jc w:val="center"/>
              <w:rPr>
                <w:rFonts w:hint="default"/>
              </w:rPr>
            </w:pPr>
            <w:r>
              <w:rPr>
                <w:rFonts w:hint="default"/>
                <w:lang w:val="en-US" w:eastAsia="zh-CN"/>
              </w:rPr>
              <w:t>0.6</w:t>
            </w:r>
          </w:p>
        </w:tc>
        <w:tc>
          <w:tcPr>
            <w:tcW w:w="877" w:type="dxa"/>
            <w:shd w:val="clear" w:color="auto" w:fill="auto"/>
            <w:noWrap/>
            <w:vAlign w:val="center"/>
          </w:tcPr>
          <w:p>
            <w:pPr>
              <w:pStyle w:val="25"/>
              <w:bidi w:val="0"/>
              <w:jc w:val="center"/>
              <w:rPr>
                <w:rFonts w:hint="default"/>
              </w:rPr>
            </w:pPr>
            <w:r>
              <w:rPr>
                <w:rFonts w:hint="default"/>
                <w:lang w:val="en-US" w:eastAsia="zh-CN"/>
              </w:rPr>
              <w:t>0.28</w:t>
            </w:r>
          </w:p>
        </w:tc>
        <w:tc>
          <w:tcPr>
            <w:tcW w:w="877" w:type="dxa"/>
            <w:shd w:val="clear" w:color="auto" w:fill="auto"/>
            <w:noWrap/>
            <w:vAlign w:val="center"/>
          </w:tcPr>
          <w:p>
            <w:pPr>
              <w:pStyle w:val="25"/>
              <w:bidi w:val="0"/>
              <w:jc w:val="center"/>
              <w:rPr>
                <w:rFonts w:hint="default"/>
              </w:rPr>
            </w:pPr>
            <w:r>
              <w:rPr>
                <w:rFonts w:hint="default"/>
                <w:lang w:val="en-US" w:eastAsia="zh-CN"/>
              </w:rPr>
              <w:t>0.05</w:t>
            </w:r>
          </w:p>
        </w:tc>
        <w:tc>
          <w:tcPr>
            <w:tcW w:w="1143" w:type="dxa"/>
            <w:shd w:val="clear" w:color="auto" w:fill="auto"/>
            <w:noWrap/>
            <w:vAlign w:val="center"/>
          </w:tcPr>
          <w:p>
            <w:pPr>
              <w:pStyle w:val="25"/>
              <w:bidi w:val="0"/>
              <w:jc w:val="center"/>
              <w:rPr>
                <w:rFonts w:hint="eastAsia"/>
              </w:rPr>
            </w:pPr>
            <w:r>
              <w:rPr>
                <w:rFonts w:hint="eastAsia"/>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restart"/>
            <w:shd w:val="clear" w:color="auto" w:fill="auto"/>
            <w:noWrap/>
            <w:vAlign w:val="center"/>
          </w:tcPr>
          <w:p>
            <w:pPr>
              <w:pStyle w:val="25"/>
              <w:bidi w:val="0"/>
              <w:jc w:val="center"/>
              <w:rPr>
                <w:rFonts w:hint="default"/>
                <w:lang w:val="en-US" w:eastAsia="zh-CN"/>
              </w:rPr>
            </w:pPr>
            <w:r>
              <w:rPr>
                <w:rFonts w:hint="default"/>
                <w:lang w:val="en-US" w:eastAsia="zh-CN"/>
              </w:rPr>
              <w:t>2020</w:t>
            </w:r>
          </w:p>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w:t>
            </w:r>
          </w:p>
        </w:tc>
        <w:tc>
          <w:tcPr>
            <w:tcW w:w="916" w:type="dxa"/>
            <w:shd w:val="clear" w:color="auto" w:fill="auto"/>
            <w:noWrap/>
            <w:vAlign w:val="center"/>
          </w:tcPr>
          <w:p>
            <w:pPr>
              <w:pStyle w:val="25"/>
              <w:bidi w:val="0"/>
              <w:jc w:val="center"/>
              <w:rPr>
                <w:rFonts w:hint="default"/>
              </w:rPr>
            </w:pPr>
            <w:r>
              <w:rPr>
                <w:rFonts w:hint="default"/>
                <w:lang w:val="en-US" w:eastAsia="zh-CN"/>
              </w:rPr>
              <w:t>8.97</w:t>
            </w:r>
          </w:p>
        </w:tc>
        <w:tc>
          <w:tcPr>
            <w:tcW w:w="1599" w:type="dxa"/>
            <w:shd w:val="clear" w:color="auto" w:fill="auto"/>
            <w:noWrap/>
            <w:vAlign w:val="center"/>
          </w:tcPr>
          <w:p>
            <w:pPr>
              <w:pStyle w:val="25"/>
              <w:bidi w:val="0"/>
              <w:jc w:val="center"/>
              <w:rPr>
                <w:rFonts w:hint="default"/>
              </w:rPr>
            </w:pPr>
            <w:r>
              <w:rPr>
                <w:rFonts w:hint="default"/>
                <w:lang w:val="en-US" w:eastAsia="zh-CN"/>
              </w:rPr>
              <w:t>1.8</w:t>
            </w:r>
          </w:p>
        </w:tc>
        <w:tc>
          <w:tcPr>
            <w:tcW w:w="1830" w:type="dxa"/>
            <w:shd w:val="clear" w:color="auto" w:fill="auto"/>
            <w:noWrap/>
            <w:vAlign w:val="center"/>
          </w:tcPr>
          <w:p>
            <w:pPr>
              <w:pStyle w:val="25"/>
              <w:bidi w:val="0"/>
              <w:jc w:val="center"/>
              <w:rPr>
                <w:rFonts w:hint="default"/>
              </w:rPr>
            </w:pPr>
            <w:r>
              <w:rPr>
                <w:rFonts w:hint="default"/>
                <w:lang w:val="en-US" w:eastAsia="zh-CN"/>
              </w:rPr>
              <w:t>1.1</w:t>
            </w:r>
          </w:p>
        </w:tc>
        <w:tc>
          <w:tcPr>
            <w:tcW w:w="877" w:type="dxa"/>
            <w:shd w:val="clear" w:color="auto" w:fill="auto"/>
            <w:noWrap/>
            <w:vAlign w:val="center"/>
          </w:tcPr>
          <w:p>
            <w:pPr>
              <w:pStyle w:val="25"/>
              <w:bidi w:val="0"/>
              <w:jc w:val="center"/>
              <w:rPr>
                <w:rFonts w:hint="default"/>
              </w:rPr>
            </w:pPr>
            <w:r>
              <w:rPr>
                <w:rFonts w:hint="default"/>
                <w:lang w:val="en-US" w:eastAsia="zh-CN"/>
              </w:rPr>
              <w:t>0.12</w:t>
            </w:r>
          </w:p>
        </w:tc>
        <w:tc>
          <w:tcPr>
            <w:tcW w:w="877" w:type="dxa"/>
            <w:shd w:val="clear" w:color="auto" w:fill="auto"/>
            <w:noWrap/>
            <w:vAlign w:val="center"/>
          </w:tcPr>
          <w:p>
            <w:pPr>
              <w:pStyle w:val="25"/>
              <w:bidi w:val="0"/>
              <w:jc w:val="center"/>
              <w:rPr>
                <w:rFonts w:hint="default"/>
              </w:rPr>
            </w:pPr>
            <w:r>
              <w:rPr>
                <w:rFonts w:hint="default"/>
                <w:lang w:val="en-US" w:eastAsia="zh-CN"/>
              </w:rPr>
              <w:t>0.05</w:t>
            </w:r>
          </w:p>
        </w:tc>
        <w:tc>
          <w:tcPr>
            <w:tcW w:w="1143" w:type="dxa"/>
            <w:shd w:val="clear" w:color="auto" w:fill="auto"/>
            <w:noWrap/>
            <w:vAlign w:val="center"/>
          </w:tcPr>
          <w:p>
            <w:pPr>
              <w:pStyle w:val="25"/>
              <w:bidi w:val="0"/>
              <w:jc w:val="center"/>
              <w:rPr>
                <w:rFonts w:hint="eastAsia"/>
              </w:rPr>
            </w:pPr>
            <w:r>
              <w:rPr>
                <w:rFonts w:hint="eastAsia"/>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3</w:t>
            </w:r>
          </w:p>
        </w:tc>
        <w:tc>
          <w:tcPr>
            <w:tcW w:w="916" w:type="dxa"/>
            <w:shd w:val="clear" w:color="auto" w:fill="auto"/>
            <w:noWrap/>
            <w:vAlign w:val="center"/>
          </w:tcPr>
          <w:p>
            <w:pPr>
              <w:pStyle w:val="25"/>
              <w:bidi w:val="0"/>
              <w:jc w:val="center"/>
              <w:rPr>
                <w:rFonts w:hint="default"/>
              </w:rPr>
            </w:pPr>
            <w:r>
              <w:rPr>
                <w:rFonts w:hint="default"/>
                <w:lang w:val="en-US" w:eastAsia="zh-CN"/>
              </w:rPr>
              <w:t>8.04</w:t>
            </w:r>
          </w:p>
        </w:tc>
        <w:tc>
          <w:tcPr>
            <w:tcW w:w="1599" w:type="dxa"/>
            <w:shd w:val="clear" w:color="auto" w:fill="auto"/>
            <w:noWrap/>
            <w:vAlign w:val="center"/>
          </w:tcPr>
          <w:p>
            <w:pPr>
              <w:pStyle w:val="25"/>
              <w:bidi w:val="0"/>
              <w:jc w:val="center"/>
              <w:rPr>
                <w:rFonts w:hint="default"/>
              </w:rPr>
            </w:pPr>
            <w:r>
              <w:rPr>
                <w:rFonts w:hint="default"/>
                <w:lang w:val="en-US" w:eastAsia="zh-CN"/>
              </w:rPr>
              <w:t>1</w:t>
            </w:r>
          </w:p>
        </w:tc>
        <w:tc>
          <w:tcPr>
            <w:tcW w:w="1830" w:type="dxa"/>
            <w:shd w:val="clear" w:color="auto" w:fill="auto"/>
            <w:noWrap/>
            <w:vAlign w:val="center"/>
          </w:tcPr>
          <w:p>
            <w:pPr>
              <w:pStyle w:val="25"/>
              <w:bidi w:val="0"/>
              <w:jc w:val="center"/>
              <w:rPr>
                <w:rFonts w:hint="default"/>
              </w:rPr>
            </w:pPr>
            <w:r>
              <w:rPr>
                <w:rFonts w:hint="default"/>
                <w:lang w:val="en-US" w:eastAsia="zh-CN"/>
              </w:rPr>
              <w:t>0.15</w:t>
            </w:r>
          </w:p>
        </w:tc>
        <w:tc>
          <w:tcPr>
            <w:tcW w:w="877" w:type="dxa"/>
            <w:shd w:val="clear" w:color="auto" w:fill="auto"/>
            <w:noWrap/>
            <w:vAlign w:val="center"/>
          </w:tcPr>
          <w:p>
            <w:pPr>
              <w:pStyle w:val="25"/>
              <w:bidi w:val="0"/>
              <w:jc w:val="center"/>
              <w:rPr>
                <w:rFonts w:hint="default"/>
              </w:rPr>
            </w:pPr>
            <w:r>
              <w:rPr>
                <w:rFonts w:hint="default"/>
                <w:lang w:val="en-US" w:eastAsia="zh-CN"/>
              </w:rPr>
              <w:t>0.15</w:t>
            </w:r>
          </w:p>
        </w:tc>
        <w:tc>
          <w:tcPr>
            <w:tcW w:w="877" w:type="dxa"/>
            <w:shd w:val="clear" w:color="auto" w:fill="auto"/>
            <w:noWrap/>
            <w:vAlign w:val="center"/>
          </w:tcPr>
          <w:p>
            <w:pPr>
              <w:pStyle w:val="25"/>
              <w:bidi w:val="0"/>
              <w:jc w:val="center"/>
              <w:rPr>
                <w:rFonts w:hint="default"/>
              </w:rPr>
            </w:pPr>
            <w:r>
              <w:rPr>
                <w:rFonts w:hint="default"/>
                <w:lang w:val="en-US" w:eastAsia="zh-CN"/>
              </w:rPr>
              <w:t>0.05</w:t>
            </w:r>
          </w:p>
        </w:tc>
        <w:tc>
          <w:tcPr>
            <w:tcW w:w="1143" w:type="dxa"/>
            <w:shd w:val="clear" w:color="auto" w:fill="auto"/>
            <w:noWrap/>
            <w:vAlign w:val="center"/>
          </w:tcPr>
          <w:p>
            <w:pPr>
              <w:pStyle w:val="25"/>
              <w:bidi w:val="0"/>
              <w:jc w:val="center"/>
              <w:rPr>
                <w:rFonts w:hint="eastAsia"/>
              </w:rPr>
            </w:pPr>
            <w:r>
              <w:rPr>
                <w:rFonts w:hint="eastAsia"/>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4</w:t>
            </w:r>
          </w:p>
        </w:tc>
        <w:tc>
          <w:tcPr>
            <w:tcW w:w="916" w:type="dxa"/>
            <w:shd w:val="clear" w:color="auto" w:fill="auto"/>
            <w:noWrap/>
            <w:vAlign w:val="center"/>
          </w:tcPr>
          <w:p>
            <w:pPr>
              <w:pStyle w:val="25"/>
              <w:bidi w:val="0"/>
              <w:jc w:val="center"/>
              <w:rPr>
                <w:rFonts w:hint="default"/>
              </w:rPr>
            </w:pPr>
            <w:r>
              <w:rPr>
                <w:rFonts w:hint="default"/>
                <w:lang w:val="en-US" w:eastAsia="zh-CN"/>
              </w:rPr>
              <w:t>8.95</w:t>
            </w:r>
          </w:p>
        </w:tc>
        <w:tc>
          <w:tcPr>
            <w:tcW w:w="1599" w:type="dxa"/>
            <w:shd w:val="clear" w:color="auto" w:fill="auto"/>
            <w:noWrap/>
            <w:vAlign w:val="center"/>
          </w:tcPr>
          <w:p>
            <w:pPr>
              <w:pStyle w:val="25"/>
              <w:bidi w:val="0"/>
              <w:jc w:val="center"/>
              <w:rPr>
                <w:rFonts w:hint="default"/>
              </w:rPr>
            </w:pPr>
            <w:r>
              <w:rPr>
                <w:rFonts w:hint="default"/>
                <w:lang w:val="en-US" w:eastAsia="zh-CN"/>
              </w:rPr>
              <w:t>2</w:t>
            </w:r>
          </w:p>
        </w:tc>
        <w:tc>
          <w:tcPr>
            <w:tcW w:w="1830" w:type="dxa"/>
            <w:shd w:val="clear" w:color="auto" w:fill="auto"/>
            <w:noWrap/>
            <w:vAlign w:val="center"/>
          </w:tcPr>
          <w:p>
            <w:pPr>
              <w:pStyle w:val="25"/>
              <w:bidi w:val="0"/>
              <w:jc w:val="center"/>
              <w:rPr>
                <w:rFonts w:hint="default"/>
              </w:rPr>
            </w:pPr>
            <w:r>
              <w:rPr>
                <w:rFonts w:hint="default"/>
                <w:lang w:val="en-US" w:eastAsia="zh-CN"/>
              </w:rPr>
              <w:t>1.4</w:t>
            </w:r>
          </w:p>
        </w:tc>
        <w:tc>
          <w:tcPr>
            <w:tcW w:w="877" w:type="dxa"/>
            <w:shd w:val="clear" w:color="auto" w:fill="auto"/>
            <w:noWrap/>
            <w:vAlign w:val="center"/>
          </w:tcPr>
          <w:p>
            <w:pPr>
              <w:pStyle w:val="25"/>
              <w:bidi w:val="0"/>
              <w:jc w:val="center"/>
              <w:rPr>
                <w:rFonts w:hint="default"/>
              </w:rPr>
            </w:pPr>
            <w:r>
              <w:rPr>
                <w:rFonts w:hint="default"/>
                <w:lang w:val="en-US" w:eastAsia="zh-CN"/>
              </w:rPr>
              <w:t>0.14</w:t>
            </w:r>
          </w:p>
        </w:tc>
        <w:tc>
          <w:tcPr>
            <w:tcW w:w="877" w:type="dxa"/>
            <w:shd w:val="clear" w:color="auto" w:fill="auto"/>
            <w:noWrap/>
            <w:vAlign w:val="center"/>
          </w:tcPr>
          <w:p>
            <w:pPr>
              <w:pStyle w:val="25"/>
              <w:bidi w:val="0"/>
              <w:jc w:val="center"/>
              <w:rPr>
                <w:rFonts w:hint="default"/>
              </w:rPr>
            </w:pPr>
            <w:r>
              <w:rPr>
                <w:rFonts w:hint="default"/>
                <w:lang w:val="en-US" w:eastAsia="zh-CN"/>
              </w:rPr>
              <w:t>0.07</w:t>
            </w:r>
          </w:p>
        </w:tc>
        <w:tc>
          <w:tcPr>
            <w:tcW w:w="1143" w:type="dxa"/>
            <w:shd w:val="clear" w:color="auto" w:fill="auto"/>
            <w:noWrap/>
            <w:vAlign w:val="center"/>
          </w:tcPr>
          <w:p>
            <w:pPr>
              <w:pStyle w:val="25"/>
              <w:bidi w:val="0"/>
              <w:jc w:val="center"/>
              <w:rPr>
                <w:rFonts w:hint="eastAsia"/>
              </w:rPr>
            </w:pPr>
            <w:r>
              <w:rPr>
                <w:rFonts w:hint="eastAsia"/>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5</w:t>
            </w:r>
          </w:p>
        </w:tc>
        <w:tc>
          <w:tcPr>
            <w:tcW w:w="916" w:type="dxa"/>
            <w:shd w:val="clear" w:color="auto" w:fill="auto"/>
            <w:noWrap/>
            <w:vAlign w:val="center"/>
          </w:tcPr>
          <w:p>
            <w:pPr>
              <w:pStyle w:val="25"/>
              <w:bidi w:val="0"/>
              <w:jc w:val="center"/>
              <w:rPr>
                <w:rFonts w:hint="default"/>
              </w:rPr>
            </w:pPr>
            <w:r>
              <w:rPr>
                <w:rFonts w:hint="default"/>
                <w:lang w:val="en-US" w:eastAsia="zh-CN"/>
              </w:rPr>
              <w:t>8.31</w:t>
            </w:r>
          </w:p>
        </w:tc>
        <w:tc>
          <w:tcPr>
            <w:tcW w:w="1599" w:type="dxa"/>
            <w:shd w:val="clear" w:color="auto" w:fill="auto"/>
            <w:noWrap/>
            <w:vAlign w:val="center"/>
          </w:tcPr>
          <w:p>
            <w:pPr>
              <w:pStyle w:val="25"/>
              <w:bidi w:val="0"/>
              <w:jc w:val="center"/>
              <w:rPr>
                <w:rFonts w:hint="default"/>
              </w:rPr>
            </w:pPr>
            <w:r>
              <w:rPr>
                <w:rFonts w:hint="default"/>
                <w:lang w:val="en-US" w:eastAsia="zh-CN"/>
              </w:rPr>
              <w:t>4.2</w:t>
            </w:r>
          </w:p>
        </w:tc>
        <w:tc>
          <w:tcPr>
            <w:tcW w:w="1830" w:type="dxa"/>
            <w:shd w:val="clear" w:color="auto" w:fill="auto"/>
            <w:noWrap/>
            <w:vAlign w:val="center"/>
          </w:tcPr>
          <w:p>
            <w:pPr>
              <w:pStyle w:val="25"/>
              <w:bidi w:val="0"/>
              <w:jc w:val="center"/>
              <w:rPr>
                <w:rFonts w:hint="default"/>
              </w:rPr>
            </w:pPr>
            <w:r>
              <w:rPr>
                <w:rFonts w:hint="default"/>
                <w:lang w:val="en-US" w:eastAsia="zh-CN"/>
              </w:rPr>
              <w:t>3.9</w:t>
            </w:r>
          </w:p>
        </w:tc>
        <w:tc>
          <w:tcPr>
            <w:tcW w:w="877" w:type="dxa"/>
            <w:shd w:val="clear" w:color="auto" w:fill="auto"/>
            <w:noWrap/>
            <w:vAlign w:val="center"/>
          </w:tcPr>
          <w:p>
            <w:pPr>
              <w:pStyle w:val="25"/>
              <w:bidi w:val="0"/>
              <w:jc w:val="center"/>
              <w:rPr>
                <w:rFonts w:hint="default"/>
              </w:rPr>
            </w:pPr>
            <w:r>
              <w:rPr>
                <w:rFonts w:hint="default"/>
                <w:lang w:val="en-US" w:eastAsia="zh-CN"/>
              </w:rPr>
              <w:t>0.21</w:t>
            </w:r>
          </w:p>
        </w:tc>
        <w:tc>
          <w:tcPr>
            <w:tcW w:w="877" w:type="dxa"/>
            <w:shd w:val="clear" w:color="auto" w:fill="auto"/>
            <w:noWrap/>
            <w:vAlign w:val="center"/>
          </w:tcPr>
          <w:p>
            <w:pPr>
              <w:pStyle w:val="25"/>
              <w:bidi w:val="0"/>
              <w:jc w:val="center"/>
              <w:rPr>
                <w:rFonts w:hint="default"/>
              </w:rPr>
            </w:pPr>
            <w:r>
              <w:rPr>
                <w:rFonts w:hint="default"/>
                <w:lang w:val="en-US" w:eastAsia="zh-CN"/>
              </w:rPr>
              <w:t>0.04</w:t>
            </w:r>
          </w:p>
        </w:tc>
        <w:tc>
          <w:tcPr>
            <w:tcW w:w="1143" w:type="dxa"/>
            <w:shd w:val="clear" w:color="auto" w:fill="auto"/>
            <w:noWrap/>
            <w:vAlign w:val="center"/>
          </w:tcPr>
          <w:p>
            <w:pPr>
              <w:pStyle w:val="25"/>
              <w:bidi w:val="0"/>
              <w:jc w:val="center"/>
              <w:rPr>
                <w:rFonts w:hint="eastAsia"/>
              </w:rPr>
            </w:pPr>
            <w:r>
              <w:rPr>
                <w:rFonts w:hint="eastAsia"/>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6</w:t>
            </w:r>
          </w:p>
        </w:tc>
        <w:tc>
          <w:tcPr>
            <w:tcW w:w="916" w:type="dxa"/>
            <w:shd w:val="clear" w:color="auto" w:fill="auto"/>
            <w:noWrap/>
            <w:vAlign w:val="center"/>
          </w:tcPr>
          <w:p>
            <w:pPr>
              <w:pStyle w:val="25"/>
              <w:bidi w:val="0"/>
              <w:jc w:val="center"/>
              <w:rPr>
                <w:rFonts w:hint="default"/>
              </w:rPr>
            </w:pPr>
            <w:r>
              <w:rPr>
                <w:rFonts w:hint="default"/>
                <w:lang w:val="en-US" w:eastAsia="zh-CN"/>
              </w:rPr>
              <w:t>9.87</w:t>
            </w:r>
          </w:p>
        </w:tc>
        <w:tc>
          <w:tcPr>
            <w:tcW w:w="1599" w:type="dxa"/>
            <w:shd w:val="clear" w:color="auto" w:fill="auto"/>
            <w:noWrap/>
            <w:vAlign w:val="center"/>
          </w:tcPr>
          <w:p>
            <w:pPr>
              <w:pStyle w:val="25"/>
              <w:bidi w:val="0"/>
              <w:jc w:val="center"/>
              <w:rPr>
                <w:rFonts w:hint="default"/>
              </w:rPr>
            </w:pPr>
            <w:r>
              <w:rPr>
                <w:rFonts w:hint="default"/>
                <w:lang w:val="en-US" w:eastAsia="zh-CN"/>
              </w:rPr>
              <w:t>5.3</w:t>
            </w:r>
          </w:p>
        </w:tc>
        <w:tc>
          <w:tcPr>
            <w:tcW w:w="1830" w:type="dxa"/>
            <w:shd w:val="clear" w:color="auto" w:fill="auto"/>
            <w:noWrap/>
            <w:vAlign w:val="center"/>
          </w:tcPr>
          <w:p>
            <w:pPr>
              <w:pStyle w:val="25"/>
              <w:bidi w:val="0"/>
              <w:jc w:val="center"/>
              <w:rPr>
                <w:rFonts w:hint="default"/>
              </w:rPr>
            </w:pPr>
            <w:r>
              <w:rPr>
                <w:rFonts w:hint="default"/>
                <w:lang w:val="en-US" w:eastAsia="zh-CN"/>
              </w:rPr>
              <w:t>2.4</w:t>
            </w:r>
          </w:p>
        </w:tc>
        <w:tc>
          <w:tcPr>
            <w:tcW w:w="877" w:type="dxa"/>
            <w:shd w:val="clear" w:color="auto" w:fill="auto"/>
            <w:noWrap/>
            <w:vAlign w:val="center"/>
          </w:tcPr>
          <w:p>
            <w:pPr>
              <w:pStyle w:val="25"/>
              <w:bidi w:val="0"/>
              <w:jc w:val="center"/>
              <w:rPr>
                <w:rFonts w:hint="default"/>
              </w:rPr>
            </w:pPr>
            <w:r>
              <w:rPr>
                <w:rFonts w:hint="default"/>
                <w:lang w:val="en-US" w:eastAsia="zh-CN"/>
              </w:rPr>
              <w:t>0.52</w:t>
            </w:r>
          </w:p>
        </w:tc>
        <w:tc>
          <w:tcPr>
            <w:tcW w:w="877" w:type="dxa"/>
            <w:shd w:val="clear" w:color="auto" w:fill="auto"/>
            <w:noWrap/>
            <w:vAlign w:val="center"/>
          </w:tcPr>
          <w:p>
            <w:pPr>
              <w:pStyle w:val="25"/>
              <w:bidi w:val="0"/>
              <w:jc w:val="center"/>
              <w:rPr>
                <w:rFonts w:hint="default"/>
              </w:rPr>
            </w:pPr>
            <w:r>
              <w:rPr>
                <w:rFonts w:hint="default"/>
                <w:lang w:val="en-US" w:eastAsia="zh-CN"/>
              </w:rPr>
              <w:t>0.18</w:t>
            </w:r>
          </w:p>
        </w:tc>
        <w:tc>
          <w:tcPr>
            <w:tcW w:w="1143" w:type="dxa"/>
            <w:shd w:val="clear" w:color="auto" w:fill="auto"/>
            <w:noWrap/>
            <w:vAlign w:val="center"/>
          </w:tcPr>
          <w:p>
            <w:pPr>
              <w:pStyle w:val="25"/>
              <w:bidi w:val="0"/>
              <w:jc w:val="center"/>
              <w:rPr>
                <w:rFonts w:hint="eastAsia"/>
              </w:rPr>
            </w:pPr>
            <w:r>
              <w:rPr>
                <w:rFonts w:hint="eastAsia"/>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7</w:t>
            </w:r>
          </w:p>
        </w:tc>
        <w:tc>
          <w:tcPr>
            <w:tcW w:w="916" w:type="dxa"/>
            <w:shd w:val="clear" w:color="auto" w:fill="auto"/>
            <w:noWrap/>
            <w:vAlign w:val="center"/>
          </w:tcPr>
          <w:p>
            <w:pPr>
              <w:pStyle w:val="25"/>
              <w:bidi w:val="0"/>
              <w:jc w:val="center"/>
              <w:rPr>
                <w:rFonts w:hint="default"/>
              </w:rPr>
            </w:pPr>
            <w:r>
              <w:rPr>
                <w:rFonts w:hint="default"/>
                <w:lang w:val="en-US" w:eastAsia="zh-CN"/>
              </w:rPr>
              <w:t>7.71</w:t>
            </w:r>
          </w:p>
        </w:tc>
        <w:tc>
          <w:tcPr>
            <w:tcW w:w="1599" w:type="dxa"/>
            <w:shd w:val="clear" w:color="auto" w:fill="auto"/>
            <w:noWrap/>
            <w:vAlign w:val="center"/>
          </w:tcPr>
          <w:p>
            <w:pPr>
              <w:pStyle w:val="25"/>
              <w:bidi w:val="0"/>
              <w:jc w:val="center"/>
              <w:rPr>
                <w:rFonts w:hint="default"/>
              </w:rPr>
            </w:pPr>
            <w:r>
              <w:rPr>
                <w:rFonts w:hint="default"/>
                <w:lang w:val="en-US" w:eastAsia="zh-CN"/>
              </w:rPr>
              <w:t>2.4</w:t>
            </w:r>
          </w:p>
        </w:tc>
        <w:tc>
          <w:tcPr>
            <w:tcW w:w="1830" w:type="dxa"/>
            <w:shd w:val="clear" w:color="auto" w:fill="auto"/>
            <w:noWrap/>
            <w:vAlign w:val="center"/>
          </w:tcPr>
          <w:p>
            <w:pPr>
              <w:pStyle w:val="25"/>
              <w:bidi w:val="0"/>
              <w:jc w:val="center"/>
              <w:rPr>
                <w:rFonts w:hint="default"/>
              </w:rPr>
            </w:pPr>
            <w:r>
              <w:rPr>
                <w:rFonts w:hint="default"/>
                <w:lang w:val="en-US" w:eastAsia="zh-CN"/>
              </w:rPr>
              <w:t>1.2</w:t>
            </w:r>
          </w:p>
        </w:tc>
        <w:tc>
          <w:tcPr>
            <w:tcW w:w="877" w:type="dxa"/>
            <w:shd w:val="clear" w:color="auto" w:fill="auto"/>
            <w:noWrap/>
            <w:vAlign w:val="center"/>
          </w:tcPr>
          <w:p>
            <w:pPr>
              <w:pStyle w:val="25"/>
              <w:bidi w:val="0"/>
              <w:jc w:val="center"/>
              <w:rPr>
                <w:rFonts w:hint="default"/>
              </w:rPr>
            </w:pPr>
            <w:r>
              <w:rPr>
                <w:rFonts w:hint="default"/>
                <w:lang w:val="en-US" w:eastAsia="zh-CN"/>
              </w:rPr>
              <w:t>0.11</w:t>
            </w:r>
          </w:p>
        </w:tc>
        <w:tc>
          <w:tcPr>
            <w:tcW w:w="877" w:type="dxa"/>
            <w:shd w:val="clear" w:color="auto" w:fill="auto"/>
            <w:noWrap/>
            <w:vAlign w:val="center"/>
          </w:tcPr>
          <w:p>
            <w:pPr>
              <w:pStyle w:val="25"/>
              <w:bidi w:val="0"/>
              <w:jc w:val="center"/>
              <w:rPr>
                <w:rFonts w:hint="default"/>
              </w:rPr>
            </w:pPr>
            <w:r>
              <w:rPr>
                <w:rFonts w:hint="default"/>
                <w:lang w:val="en-US" w:eastAsia="zh-CN"/>
              </w:rPr>
              <w:t>0.11</w:t>
            </w:r>
          </w:p>
        </w:tc>
        <w:tc>
          <w:tcPr>
            <w:tcW w:w="1143" w:type="dxa"/>
            <w:shd w:val="clear" w:color="auto" w:fill="auto"/>
            <w:noWrap/>
            <w:vAlign w:val="center"/>
          </w:tcPr>
          <w:p>
            <w:pPr>
              <w:pStyle w:val="25"/>
              <w:bidi w:val="0"/>
              <w:jc w:val="center"/>
              <w:rPr>
                <w:rFonts w:hint="default"/>
              </w:rPr>
            </w:pPr>
            <w:r>
              <w:rPr>
                <w:rFonts w:hint="default"/>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8</w:t>
            </w:r>
          </w:p>
        </w:tc>
        <w:tc>
          <w:tcPr>
            <w:tcW w:w="916" w:type="dxa"/>
            <w:shd w:val="clear" w:color="auto" w:fill="auto"/>
            <w:noWrap/>
            <w:vAlign w:val="center"/>
          </w:tcPr>
          <w:p>
            <w:pPr>
              <w:pStyle w:val="25"/>
              <w:bidi w:val="0"/>
              <w:jc w:val="center"/>
              <w:rPr>
                <w:rFonts w:hint="default"/>
              </w:rPr>
            </w:pPr>
            <w:r>
              <w:rPr>
                <w:rFonts w:hint="default"/>
                <w:lang w:val="en-US" w:eastAsia="zh-CN"/>
              </w:rPr>
              <w:t>7.5</w:t>
            </w:r>
          </w:p>
        </w:tc>
        <w:tc>
          <w:tcPr>
            <w:tcW w:w="1599" w:type="dxa"/>
            <w:shd w:val="clear" w:color="auto" w:fill="auto"/>
            <w:noWrap/>
            <w:vAlign w:val="center"/>
          </w:tcPr>
          <w:p>
            <w:pPr>
              <w:pStyle w:val="25"/>
              <w:bidi w:val="0"/>
              <w:jc w:val="center"/>
              <w:rPr>
                <w:rFonts w:hint="default"/>
              </w:rPr>
            </w:pPr>
            <w:r>
              <w:rPr>
                <w:rFonts w:hint="default"/>
                <w:lang w:val="en-US" w:eastAsia="zh-CN"/>
              </w:rPr>
              <w:t>3</w:t>
            </w:r>
          </w:p>
        </w:tc>
        <w:tc>
          <w:tcPr>
            <w:tcW w:w="1830" w:type="dxa"/>
            <w:shd w:val="clear" w:color="auto" w:fill="auto"/>
            <w:noWrap/>
            <w:vAlign w:val="center"/>
          </w:tcPr>
          <w:p>
            <w:pPr>
              <w:pStyle w:val="25"/>
              <w:bidi w:val="0"/>
              <w:jc w:val="center"/>
              <w:rPr>
                <w:rFonts w:hint="default"/>
              </w:rPr>
            </w:pPr>
            <w:r>
              <w:rPr>
                <w:rFonts w:hint="default"/>
                <w:lang w:val="en-US" w:eastAsia="zh-CN"/>
              </w:rPr>
              <w:t>0.8</w:t>
            </w:r>
          </w:p>
        </w:tc>
        <w:tc>
          <w:tcPr>
            <w:tcW w:w="877" w:type="dxa"/>
            <w:shd w:val="clear" w:color="auto" w:fill="auto"/>
            <w:noWrap/>
            <w:vAlign w:val="center"/>
          </w:tcPr>
          <w:p>
            <w:pPr>
              <w:pStyle w:val="25"/>
              <w:bidi w:val="0"/>
              <w:jc w:val="center"/>
              <w:rPr>
                <w:rFonts w:hint="default"/>
              </w:rPr>
            </w:pPr>
            <w:r>
              <w:rPr>
                <w:rFonts w:hint="default"/>
                <w:lang w:val="en-US" w:eastAsia="zh-CN"/>
              </w:rPr>
              <w:t>0.11</w:t>
            </w:r>
          </w:p>
        </w:tc>
        <w:tc>
          <w:tcPr>
            <w:tcW w:w="877" w:type="dxa"/>
            <w:shd w:val="clear" w:color="auto" w:fill="auto"/>
            <w:noWrap/>
            <w:vAlign w:val="center"/>
          </w:tcPr>
          <w:p>
            <w:pPr>
              <w:pStyle w:val="25"/>
              <w:bidi w:val="0"/>
              <w:jc w:val="center"/>
              <w:rPr>
                <w:rFonts w:hint="default"/>
              </w:rPr>
            </w:pPr>
            <w:r>
              <w:rPr>
                <w:rFonts w:hint="default"/>
                <w:lang w:val="en-US" w:eastAsia="zh-CN"/>
              </w:rPr>
              <w:t>0.07</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10</w:t>
            </w:r>
          </w:p>
        </w:tc>
        <w:tc>
          <w:tcPr>
            <w:tcW w:w="916" w:type="dxa"/>
            <w:shd w:val="clear" w:color="auto" w:fill="auto"/>
            <w:noWrap/>
            <w:vAlign w:val="center"/>
          </w:tcPr>
          <w:p>
            <w:pPr>
              <w:pStyle w:val="25"/>
              <w:bidi w:val="0"/>
              <w:jc w:val="center"/>
              <w:rPr>
                <w:rFonts w:hint="default"/>
              </w:rPr>
            </w:pPr>
            <w:r>
              <w:rPr>
                <w:rFonts w:hint="default"/>
                <w:lang w:val="en-US" w:eastAsia="zh-CN"/>
              </w:rPr>
              <w:t>9.02</w:t>
            </w:r>
          </w:p>
        </w:tc>
        <w:tc>
          <w:tcPr>
            <w:tcW w:w="1599" w:type="dxa"/>
            <w:shd w:val="clear" w:color="auto" w:fill="auto"/>
            <w:noWrap/>
            <w:vAlign w:val="center"/>
          </w:tcPr>
          <w:p>
            <w:pPr>
              <w:pStyle w:val="25"/>
              <w:bidi w:val="0"/>
              <w:jc w:val="center"/>
              <w:rPr>
                <w:rFonts w:hint="default"/>
              </w:rPr>
            </w:pPr>
            <w:r>
              <w:rPr>
                <w:rFonts w:hint="default"/>
                <w:lang w:val="en-US" w:eastAsia="zh-CN"/>
              </w:rPr>
              <w:t>3.3</w:t>
            </w:r>
          </w:p>
        </w:tc>
        <w:tc>
          <w:tcPr>
            <w:tcW w:w="1830" w:type="dxa"/>
            <w:shd w:val="clear" w:color="auto" w:fill="auto"/>
            <w:noWrap/>
            <w:vAlign w:val="center"/>
          </w:tcPr>
          <w:p>
            <w:pPr>
              <w:pStyle w:val="25"/>
              <w:bidi w:val="0"/>
              <w:jc w:val="center"/>
              <w:rPr>
                <w:rFonts w:hint="default"/>
              </w:rPr>
            </w:pPr>
            <w:r>
              <w:rPr>
                <w:rFonts w:hint="default"/>
                <w:lang w:val="en-US" w:eastAsia="zh-CN"/>
              </w:rPr>
              <w:t>1.9</w:t>
            </w:r>
          </w:p>
        </w:tc>
        <w:tc>
          <w:tcPr>
            <w:tcW w:w="877" w:type="dxa"/>
            <w:shd w:val="clear" w:color="auto" w:fill="auto"/>
            <w:noWrap/>
            <w:vAlign w:val="center"/>
          </w:tcPr>
          <w:p>
            <w:pPr>
              <w:pStyle w:val="25"/>
              <w:bidi w:val="0"/>
              <w:jc w:val="center"/>
              <w:rPr>
                <w:rFonts w:hint="default"/>
              </w:rPr>
            </w:pPr>
            <w:r>
              <w:rPr>
                <w:rFonts w:hint="default"/>
                <w:lang w:val="en-US" w:eastAsia="zh-CN"/>
              </w:rPr>
              <w:t>0.79</w:t>
            </w:r>
          </w:p>
        </w:tc>
        <w:tc>
          <w:tcPr>
            <w:tcW w:w="877" w:type="dxa"/>
            <w:shd w:val="clear" w:color="auto" w:fill="auto"/>
            <w:noWrap/>
            <w:vAlign w:val="center"/>
          </w:tcPr>
          <w:p>
            <w:pPr>
              <w:pStyle w:val="25"/>
              <w:bidi w:val="0"/>
              <w:jc w:val="center"/>
              <w:rPr>
                <w:rFonts w:hint="default"/>
              </w:rPr>
            </w:pPr>
            <w:r>
              <w:rPr>
                <w:rFonts w:hint="default"/>
                <w:lang w:val="en-US" w:eastAsia="zh-CN"/>
              </w:rPr>
              <w:t>0.19</w:t>
            </w:r>
          </w:p>
        </w:tc>
        <w:tc>
          <w:tcPr>
            <w:tcW w:w="1143" w:type="dxa"/>
            <w:shd w:val="clear" w:color="auto" w:fill="auto"/>
            <w:noWrap/>
            <w:vAlign w:val="center"/>
          </w:tcPr>
          <w:p>
            <w:pPr>
              <w:pStyle w:val="25"/>
              <w:bidi w:val="0"/>
              <w:jc w:val="center"/>
              <w:rPr>
                <w:rFonts w:hint="default"/>
              </w:rPr>
            </w:pPr>
            <w:r>
              <w:rPr>
                <w:rFonts w:hint="default"/>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11</w:t>
            </w:r>
          </w:p>
        </w:tc>
        <w:tc>
          <w:tcPr>
            <w:tcW w:w="916" w:type="dxa"/>
            <w:shd w:val="clear" w:color="auto" w:fill="auto"/>
            <w:noWrap/>
            <w:vAlign w:val="center"/>
          </w:tcPr>
          <w:p>
            <w:pPr>
              <w:pStyle w:val="25"/>
              <w:bidi w:val="0"/>
              <w:jc w:val="center"/>
              <w:rPr>
                <w:rFonts w:hint="default"/>
              </w:rPr>
            </w:pPr>
            <w:r>
              <w:rPr>
                <w:rFonts w:hint="default"/>
                <w:lang w:val="en-US" w:eastAsia="zh-CN"/>
              </w:rPr>
              <w:t>9.66</w:t>
            </w:r>
          </w:p>
        </w:tc>
        <w:tc>
          <w:tcPr>
            <w:tcW w:w="1599" w:type="dxa"/>
            <w:shd w:val="clear" w:color="auto" w:fill="auto"/>
            <w:noWrap/>
            <w:vAlign w:val="center"/>
          </w:tcPr>
          <w:p>
            <w:pPr>
              <w:pStyle w:val="25"/>
              <w:bidi w:val="0"/>
              <w:jc w:val="center"/>
              <w:rPr>
                <w:rFonts w:hint="default"/>
              </w:rPr>
            </w:pPr>
            <w:r>
              <w:rPr>
                <w:rFonts w:hint="default"/>
                <w:lang w:val="en-US" w:eastAsia="zh-CN"/>
              </w:rPr>
              <w:t>3.7</w:t>
            </w:r>
          </w:p>
        </w:tc>
        <w:tc>
          <w:tcPr>
            <w:tcW w:w="1830" w:type="dxa"/>
            <w:shd w:val="clear" w:color="auto" w:fill="auto"/>
            <w:noWrap/>
            <w:vAlign w:val="center"/>
          </w:tcPr>
          <w:p>
            <w:pPr>
              <w:pStyle w:val="25"/>
              <w:bidi w:val="0"/>
              <w:jc w:val="center"/>
              <w:rPr>
                <w:rFonts w:hint="default"/>
              </w:rPr>
            </w:pPr>
            <w:r>
              <w:rPr>
                <w:rFonts w:hint="default"/>
                <w:lang w:val="en-US" w:eastAsia="zh-CN"/>
              </w:rPr>
              <w:t>2.2</w:t>
            </w:r>
          </w:p>
        </w:tc>
        <w:tc>
          <w:tcPr>
            <w:tcW w:w="877" w:type="dxa"/>
            <w:shd w:val="clear" w:color="auto" w:fill="auto"/>
            <w:noWrap/>
            <w:vAlign w:val="center"/>
          </w:tcPr>
          <w:p>
            <w:pPr>
              <w:pStyle w:val="25"/>
              <w:bidi w:val="0"/>
              <w:jc w:val="center"/>
              <w:rPr>
                <w:rFonts w:hint="default"/>
              </w:rPr>
            </w:pPr>
            <w:r>
              <w:rPr>
                <w:rFonts w:hint="default"/>
                <w:lang w:val="en-US" w:eastAsia="zh-CN"/>
              </w:rPr>
              <w:t>0.09</w:t>
            </w:r>
          </w:p>
        </w:tc>
        <w:tc>
          <w:tcPr>
            <w:tcW w:w="877" w:type="dxa"/>
            <w:shd w:val="clear" w:color="auto" w:fill="auto"/>
            <w:noWrap/>
            <w:vAlign w:val="center"/>
          </w:tcPr>
          <w:p>
            <w:pPr>
              <w:pStyle w:val="25"/>
              <w:bidi w:val="0"/>
              <w:jc w:val="center"/>
              <w:rPr>
                <w:rFonts w:hint="default"/>
              </w:rPr>
            </w:pPr>
            <w:r>
              <w:rPr>
                <w:rFonts w:hint="default"/>
                <w:lang w:val="en-US" w:eastAsia="zh-CN"/>
              </w:rPr>
              <w:t>0.11</w:t>
            </w:r>
          </w:p>
        </w:tc>
        <w:tc>
          <w:tcPr>
            <w:tcW w:w="1143" w:type="dxa"/>
            <w:shd w:val="clear" w:color="auto" w:fill="auto"/>
            <w:noWrap/>
            <w:vAlign w:val="center"/>
          </w:tcPr>
          <w:p>
            <w:pPr>
              <w:pStyle w:val="25"/>
              <w:bidi w:val="0"/>
              <w:jc w:val="center"/>
              <w:rPr>
                <w:rFonts w:hint="default"/>
              </w:rPr>
            </w:pPr>
            <w:r>
              <w:rPr>
                <w:rFonts w:hint="default"/>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12</w:t>
            </w:r>
          </w:p>
        </w:tc>
        <w:tc>
          <w:tcPr>
            <w:tcW w:w="916" w:type="dxa"/>
            <w:shd w:val="clear" w:color="auto" w:fill="auto"/>
            <w:noWrap/>
            <w:vAlign w:val="center"/>
          </w:tcPr>
          <w:p>
            <w:pPr>
              <w:pStyle w:val="25"/>
              <w:bidi w:val="0"/>
              <w:jc w:val="center"/>
              <w:rPr>
                <w:rFonts w:hint="default"/>
              </w:rPr>
            </w:pPr>
            <w:r>
              <w:rPr>
                <w:rFonts w:hint="default"/>
                <w:lang w:val="en-US" w:eastAsia="zh-CN"/>
              </w:rPr>
              <w:t>10.8</w:t>
            </w:r>
          </w:p>
        </w:tc>
        <w:tc>
          <w:tcPr>
            <w:tcW w:w="1599" w:type="dxa"/>
            <w:shd w:val="clear" w:color="auto" w:fill="auto"/>
            <w:noWrap/>
            <w:vAlign w:val="center"/>
          </w:tcPr>
          <w:p>
            <w:pPr>
              <w:pStyle w:val="25"/>
              <w:bidi w:val="0"/>
              <w:jc w:val="center"/>
              <w:rPr>
                <w:rFonts w:hint="default"/>
              </w:rPr>
            </w:pPr>
            <w:r>
              <w:rPr>
                <w:rFonts w:hint="default"/>
                <w:lang w:val="en-US" w:eastAsia="zh-CN"/>
              </w:rPr>
              <w:t>3.1</w:t>
            </w:r>
          </w:p>
        </w:tc>
        <w:tc>
          <w:tcPr>
            <w:tcW w:w="1830" w:type="dxa"/>
            <w:shd w:val="clear" w:color="auto" w:fill="auto"/>
            <w:noWrap/>
            <w:vAlign w:val="center"/>
          </w:tcPr>
          <w:p>
            <w:pPr>
              <w:pStyle w:val="25"/>
              <w:bidi w:val="0"/>
              <w:jc w:val="center"/>
              <w:rPr>
                <w:rFonts w:hint="default"/>
              </w:rPr>
            </w:pPr>
            <w:r>
              <w:rPr>
                <w:rFonts w:hint="default"/>
                <w:lang w:val="en-US" w:eastAsia="zh-CN"/>
              </w:rPr>
              <w:t>1.7</w:t>
            </w:r>
          </w:p>
        </w:tc>
        <w:tc>
          <w:tcPr>
            <w:tcW w:w="877" w:type="dxa"/>
            <w:shd w:val="clear" w:color="auto" w:fill="auto"/>
            <w:noWrap/>
            <w:vAlign w:val="center"/>
          </w:tcPr>
          <w:p>
            <w:pPr>
              <w:pStyle w:val="25"/>
              <w:bidi w:val="0"/>
              <w:jc w:val="center"/>
              <w:rPr>
                <w:rFonts w:hint="default"/>
              </w:rPr>
            </w:pPr>
            <w:r>
              <w:rPr>
                <w:rFonts w:hint="default"/>
                <w:lang w:val="en-US" w:eastAsia="zh-CN"/>
              </w:rPr>
              <w:t>0.1</w:t>
            </w:r>
          </w:p>
        </w:tc>
        <w:tc>
          <w:tcPr>
            <w:tcW w:w="877" w:type="dxa"/>
            <w:shd w:val="clear" w:color="auto" w:fill="auto"/>
            <w:noWrap/>
            <w:vAlign w:val="center"/>
          </w:tcPr>
          <w:p>
            <w:pPr>
              <w:pStyle w:val="25"/>
              <w:bidi w:val="0"/>
              <w:jc w:val="center"/>
              <w:rPr>
                <w:rFonts w:hint="default"/>
              </w:rPr>
            </w:pPr>
            <w:r>
              <w:rPr>
                <w:rFonts w:hint="default"/>
                <w:lang w:val="en-US" w:eastAsia="zh-CN"/>
              </w:rPr>
              <w:t>0.11</w:t>
            </w:r>
          </w:p>
        </w:tc>
        <w:tc>
          <w:tcPr>
            <w:tcW w:w="1143" w:type="dxa"/>
            <w:shd w:val="clear" w:color="auto" w:fill="auto"/>
            <w:noWrap/>
            <w:vAlign w:val="center"/>
          </w:tcPr>
          <w:p>
            <w:pPr>
              <w:pStyle w:val="25"/>
              <w:bidi w:val="0"/>
              <w:jc w:val="center"/>
              <w:rPr>
                <w:rFonts w:hint="default"/>
              </w:rPr>
            </w:pPr>
            <w:r>
              <w:rPr>
                <w:rFonts w:hint="default"/>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w:t>
            </w:r>
          </w:p>
        </w:tc>
        <w:tc>
          <w:tcPr>
            <w:tcW w:w="916" w:type="dxa"/>
            <w:shd w:val="clear" w:color="auto" w:fill="auto"/>
            <w:noWrap/>
            <w:vAlign w:val="center"/>
          </w:tcPr>
          <w:p>
            <w:pPr>
              <w:pStyle w:val="25"/>
              <w:bidi w:val="0"/>
              <w:jc w:val="center"/>
              <w:rPr>
                <w:rFonts w:hint="default"/>
              </w:rPr>
            </w:pPr>
            <w:r>
              <w:rPr>
                <w:rFonts w:hint="default"/>
                <w:lang w:val="en-US" w:eastAsia="zh-CN"/>
              </w:rPr>
              <w:t>8.89</w:t>
            </w:r>
          </w:p>
        </w:tc>
        <w:tc>
          <w:tcPr>
            <w:tcW w:w="1599" w:type="dxa"/>
            <w:shd w:val="clear" w:color="auto" w:fill="auto"/>
            <w:noWrap/>
            <w:vAlign w:val="center"/>
          </w:tcPr>
          <w:p>
            <w:pPr>
              <w:pStyle w:val="25"/>
              <w:bidi w:val="0"/>
              <w:jc w:val="center"/>
              <w:rPr>
                <w:rFonts w:hint="default"/>
              </w:rPr>
            </w:pPr>
            <w:r>
              <w:rPr>
                <w:rFonts w:hint="default"/>
                <w:lang w:val="en-US" w:eastAsia="zh-CN"/>
              </w:rPr>
              <w:t>1.7</w:t>
            </w:r>
          </w:p>
        </w:tc>
        <w:tc>
          <w:tcPr>
            <w:tcW w:w="1830" w:type="dxa"/>
            <w:shd w:val="clear" w:color="auto" w:fill="auto"/>
            <w:noWrap/>
            <w:vAlign w:val="center"/>
          </w:tcPr>
          <w:p>
            <w:pPr>
              <w:pStyle w:val="25"/>
              <w:bidi w:val="0"/>
              <w:jc w:val="center"/>
              <w:rPr>
                <w:rFonts w:hint="default"/>
              </w:rPr>
            </w:pPr>
            <w:r>
              <w:rPr>
                <w:rFonts w:hint="default"/>
                <w:lang w:val="en-US" w:eastAsia="zh-CN"/>
              </w:rPr>
              <w:t>0.7</w:t>
            </w:r>
          </w:p>
        </w:tc>
        <w:tc>
          <w:tcPr>
            <w:tcW w:w="877" w:type="dxa"/>
            <w:shd w:val="clear" w:color="auto" w:fill="auto"/>
            <w:noWrap/>
            <w:vAlign w:val="center"/>
          </w:tcPr>
          <w:p>
            <w:pPr>
              <w:pStyle w:val="25"/>
              <w:bidi w:val="0"/>
              <w:jc w:val="center"/>
              <w:rPr>
                <w:rFonts w:hint="default"/>
              </w:rPr>
            </w:pPr>
            <w:r>
              <w:rPr>
                <w:rFonts w:hint="default"/>
                <w:lang w:val="en-US" w:eastAsia="zh-CN"/>
              </w:rPr>
              <w:t>0.37</w:t>
            </w:r>
          </w:p>
        </w:tc>
        <w:tc>
          <w:tcPr>
            <w:tcW w:w="877" w:type="dxa"/>
            <w:shd w:val="clear" w:color="auto" w:fill="auto"/>
            <w:noWrap/>
            <w:vAlign w:val="center"/>
          </w:tcPr>
          <w:p>
            <w:pPr>
              <w:pStyle w:val="25"/>
              <w:bidi w:val="0"/>
              <w:jc w:val="center"/>
              <w:rPr>
                <w:rFonts w:hint="default"/>
              </w:rPr>
            </w:pPr>
            <w:r>
              <w:rPr>
                <w:rFonts w:hint="default"/>
                <w:lang w:val="en-US" w:eastAsia="zh-CN"/>
              </w:rPr>
              <w:t>0.05</w:t>
            </w:r>
          </w:p>
        </w:tc>
        <w:tc>
          <w:tcPr>
            <w:tcW w:w="1143" w:type="dxa"/>
            <w:shd w:val="clear" w:color="auto" w:fill="auto"/>
            <w:noWrap/>
            <w:vAlign w:val="center"/>
          </w:tcPr>
          <w:p>
            <w:pPr>
              <w:pStyle w:val="25"/>
              <w:bidi w:val="0"/>
              <w:jc w:val="center"/>
              <w:rPr>
                <w:rFonts w:hint="eastAsia"/>
              </w:rPr>
            </w:pPr>
            <w:r>
              <w:rPr>
                <w:rFonts w:hint="eastAsia"/>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3</w:t>
            </w:r>
          </w:p>
        </w:tc>
        <w:tc>
          <w:tcPr>
            <w:tcW w:w="916" w:type="dxa"/>
            <w:shd w:val="clear" w:color="auto" w:fill="auto"/>
            <w:noWrap/>
            <w:vAlign w:val="center"/>
          </w:tcPr>
          <w:p>
            <w:pPr>
              <w:pStyle w:val="25"/>
              <w:bidi w:val="0"/>
              <w:jc w:val="center"/>
              <w:rPr>
                <w:rFonts w:hint="default"/>
              </w:rPr>
            </w:pPr>
            <w:r>
              <w:rPr>
                <w:rFonts w:hint="default"/>
                <w:lang w:val="en-US" w:eastAsia="zh-CN"/>
              </w:rPr>
              <w:t>8.78</w:t>
            </w:r>
          </w:p>
        </w:tc>
        <w:tc>
          <w:tcPr>
            <w:tcW w:w="1599" w:type="dxa"/>
            <w:shd w:val="clear" w:color="auto" w:fill="auto"/>
            <w:noWrap/>
            <w:vAlign w:val="center"/>
          </w:tcPr>
          <w:p>
            <w:pPr>
              <w:pStyle w:val="25"/>
              <w:bidi w:val="0"/>
              <w:jc w:val="center"/>
              <w:rPr>
                <w:rFonts w:hint="default"/>
              </w:rPr>
            </w:pPr>
            <w:r>
              <w:rPr>
                <w:rFonts w:hint="default"/>
                <w:lang w:val="en-US" w:eastAsia="zh-CN"/>
              </w:rPr>
              <w:t>0.9</w:t>
            </w:r>
          </w:p>
        </w:tc>
        <w:tc>
          <w:tcPr>
            <w:tcW w:w="1830" w:type="dxa"/>
            <w:shd w:val="clear" w:color="auto" w:fill="auto"/>
            <w:noWrap/>
            <w:vAlign w:val="center"/>
          </w:tcPr>
          <w:p>
            <w:pPr>
              <w:pStyle w:val="25"/>
              <w:bidi w:val="0"/>
              <w:jc w:val="center"/>
              <w:rPr>
                <w:rFonts w:hint="default"/>
              </w:rPr>
            </w:pPr>
            <w:r>
              <w:rPr>
                <w:rFonts w:hint="default"/>
                <w:lang w:val="en-US" w:eastAsia="zh-CN"/>
              </w:rPr>
              <w:t>0.26</w:t>
            </w:r>
          </w:p>
        </w:tc>
        <w:tc>
          <w:tcPr>
            <w:tcW w:w="877" w:type="dxa"/>
            <w:shd w:val="clear" w:color="auto" w:fill="auto"/>
            <w:noWrap/>
            <w:vAlign w:val="center"/>
          </w:tcPr>
          <w:p>
            <w:pPr>
              <w:pStyle w:val="25"/>
              <w:bidi w:val="0"/>
              <w:jc w:val="center"/>
              <w:rPr>
                <w:rFonts w:hint="default"/>
              </w:rPr>
            </w:pPr>
            <w:r>
              <w:rPr>
                <w:rFonts w:hint="default"/>
                <w:lang w:val="en-US" w:eastAsia="zh-CN"/>
              </w:rPr>
              <w:t>0.26</w:t>
            </w:r>
          </w:p>
        </w:tc>
        <w:tc>
          <w:tcPr>
            <w:tcW w:w="877" w:type="dxa"/>
            <w:shd w:val="clear" w:color="auto" w:fill="auto"/>
            <w:noWrap/>
            <w:vAlign w:val="center"/>
          </w:tcPr>
          <w:p>
            <w:pPr>
              <w:pStyle w:val="25"/>
              <w:bidi w:val="0"/>
              <w:jc w:val="center"/>
              <w:rPr>
                <w:rFonts w:hint="default"/>
              </w:rPr>
            </w:pPr>
            <w:r>
              <w:rPr>
                <w:rFonts w:hint="default"/>
                <w:lang w:val="en-US" w:eastAsia="zh-CN"/>
              </w:rPr>
              <w:t>0.03</w:t>
            </w:r>
          </w:p>
        </w:tc>
        <w:tc>
          <w:tcPr>
            <w:tcW w:w="1143" w:type="dxa"/>
            <w:shd w:val="clear" w:color="auto" w:fill="auto"/>
            <w:noWrap/>
            <w:vAlign w:val="center"/>
          </w:tcPr>
          <w:p>
            <w:pPr>
              <w:pStyle w:val="25"/>
              <w:bidi w:val="0"/>
              <w:jc w:val="center"/>
              <w:rPr>
                <w:rFonts w:hint="eastAsia"/>
              </w:rPr>
            </w:pPr>
            <w:r>
              <w:rPr>
                <w:rFonts w:hint="eastAsia"/>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4</w:t>
            </w:r>
          </w:p>
        </w:tc>
        <w:tc>
          <w:tcPr>
            <w:tcW w:w="916" w:type="dxa"/>
            <w:shd w:val="clear" w:color="auto" w:fill="auto"/>
            <w:noWrap/>
            <w:vAlign w:val="center"/>
          </w:tcPr>
          <w:p>
            <w:pPr>
              <w:pStyle w:val="25"/>
              <w:bidi w:val="0"/>
              <w:jc w:val="center"/>
              <w:rPr>
                <w:rFonts w:hint="default"/>
              </w:rPr>
            </w:pPr>
            <w:r>
              <w:rPr>
                <w:rFonts w:hint="default"/>
                <w:lang w:val="en-US" w:eastAsia="zh-CN"/>
              </w:rPr>
              <w:t>9.11</w:t>
            </w:r>
          </w:p>
        </w:tc>
        <w:tc>
          <w:tcPr>
            <w:tcW w:w="1599" w:type="dxa"/>
            <w:shd w:val="clear" w:color="auto" w:fill="auto"/>
            <w:noWrap/>
            <w:vAlign w:val="center"/>
          </w:tcPr>
          <w:p>
            <w:pPr>
              <w:pStyle w:val="25"/>
              <w:bidi w:val="0"/>
              <w:jc w:val="center"/>
              <w:rPr>
                <w:rFonts w:hint="default"/>
              </w:rPr>
            </w:pPr>
            <w:r>
              <w:rPr>
                <w:rFonts w:hint="default"/>
                <w:lang w:val="en-US" w:eastAsia="zh-CN"/>
              </w:rPr>
              <w:t>2.3</w:t>
            </w:r>
          </w:p>
        </w:tc>
        <w:tc>
          <w:tcPr>
            <w:tcW w:w="1830" w:type="dxa"/>
            <w:shd w:val="clear" w:color="auto" w:fill="auto"/>
            <w:noWrap/>
            <w:vAlign w:val="center"/>
          </w:tcPr>
          <w:p>
            <w:pPr>
              <w:pStyle w:val="25"/>
              <w:bidi w:val="0"/>
              <w:jc w:val="center"/>
              <w:rPr>
                <w:rFonts w:hint="default"/>
              </w:rPr>
            </w:pPr>
            <w:r>
              <w:rPr>
                <w:rFonts w:hint="default"/>
                <w:lang w:val="en-US" w:eastAsia="zh-CN"/>
              </w:rPr>
              <w:t>1.1</w:t>
            </w:r>
          </w:p>
        </w:tc>
        <w:tc>
          <w:tcPr>
            <w:tcW w:w="877" w:type="dxa"/>
            <w:shd w:val="clear" w:color="auto" w:fill="auto"/>
            <w:noWrap/>
            <w:vAlign w:val="center"/>
          </w:tcPr>
          <w:p>
            <w:pPr>
              <w:pStyle w:val="25"/>
              <w:bidi w:val="0"/>
              <w:jc w:val="center"/>
              <w:rPr>
                <w:rFonts w:hint="default"/>
              </w:rPr>
            </w:pPr>
            <w:r>
              <w:rPr>
                <w:rFonts w:hint="default"/>
                <w:lang w:val="en-US" w:eastAsia="zh-CN"/>
              </w:rPr>
              <w:t>0.49</w:t>
            </w:r>
          </w:p>
        </w:tc>
        <w:tc>
          <w:tcPr>
            <w:tcW w:w="877" w:type="dxa"/>
            <w:shd w:val="clear" w:color="auto" w:fill="auto"/>
            <w:noWrap/>
            <w:vAlign w:val="center"/>
          </w:tcPr>
          <w:p>
            <w:pPr>
              <w:pStyle w:val="25"/>
              <w:bidi w:val="0"/>
              <w:jc w:val="center"/>
              <w:rPr>
                <w:rFonts w:hint="default"/>
              </w:rPr>
            </w:pPr>
            <w:r>
              <w:rPr>
                <w:rFonts w:hint="default"/>
                <w:lang w:val="en-US" w:eastAsia="zh-CN"/>
              </w:rPr>
              <w:t>0.12</w:t>
            </w:r>
          </w:p>
        </w:tc>
        <w:tc>
          <w:tcPr>
            <w:tcW w:w="1143" w:type="dxa"/>
            <w:shd w:val="clear" w:color="auto" w:fill="auto"/>
            <w:noWrap/>
            <w:vAlign w:val="center"/>
          </w:tcPr>
          <w:p>
            <w:pPr>
              <w:pStyle w:val="25"/>
              <w:bidi w:val="0"/>
              <w:jc w:val="center"/>
              <w:rPr>
                <w:rFonts w:hint="default"/>
              </w:rPr>
            </w:pPr>
            <w:r>
              <w:rPr>
                <w:rFonts w:hint="default"/>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5</w:t>
            </w:r>
          </w:p>
        </w:tc>
        <w:tc>
          <w:tcPr>
            <w:tcW w:w="916" w:type="dxa"/>
            <w:shd w:val="clear" w:color="auto" w:fill="auto"/>
            <w:noWrap/>
            <w:vAlign w:val="center"/>
          </w:tcPr>
          <w:p>
            <w:pPr>
              <w:pStyle w:val="25"/>
              <w:bidi w:val="0"/>
              <w:jc w:val="center"/>
              <w:rPr>
                <w:rFonts w:hint="default"/>
              </w:rPr>
            </w:pPr>
            <w:r>
              <w:rPr>
                <w:rFonts w:hint="default"/>
                <w:lang w:val="en-US" w:eastAsia="zh-CN"/>
              </w:rPr>
              <w:t>8.31</w:t>
            </w:r>
          </w:p>
        </w:tc>
        <w:tc>
          <w:tcPr>
            <w:tcW w:w="1599" w:type="dxa"/>
            <w:shd w:val="clear" w:color="auto" w:fill="auto"/>
            <w:noWrap/>
            <w:vAlign w:val="center"/>
          </w:tcPr>
          <w:p>
            <w:pPr>
              <w:pStyle w:val="25"/>
              <w:bidi w:val="0"/>
              <w:jc w:val="center"/>
              <w:rPr>
                <w:rFonts w:hint="default"/>
              </w:rPr>
            </w:pPr>
            <w:r>
              <w:rPr>
                <w:rFonts w:hint="default"/>
                <w:lang w:val="en-US" w:eastAsia="zh-CN"/>
              </w:rPr>
              <w:t>3.6</w:t>
            </w:r>
          </w:p>
        </w:tc>
        <w:tc>
          <w:tcPr>
            <w:tcW w:w="1830" w:type="dxa"/>
            <w:shd w:val="clear" w:color="auto" w:fill="auto"/>
            <w:noWrap/>
            <w:vAlign w:val="center"/>
          </w:tcPr>
          <w:p>
            <w:pPr>
              <w:pStyle w:val="25"/>
              <w:bidi w:val="0"/>
              <w:jc w:val="center"/>
              <w:rPr>
                <w:rFonts w:hint="default"/>
              </w:rPr>
            </w:pPr>
            <w:r>
              <w:rPr>
                <w:rFonts w:hint="default"/>
                <w:lang w:val="en-US" w:eastAsia="zh-CN"/>
              </w:rPr>
              <w:t>2.3</w:t>
            </w:r>
          </w:p>
        </w:tc>
        <w:tc>
          <w:tcPr>
            <w:tcW w:w="877" w:type="dxa"/>
            <w:shd w:val="clear" w:color="auto" w:fill="auto"/>
            <w:noWrap/>
            <w:vAlign w:val="center"/>
          </w:tcPr>
          <w:p>
            <w:pPr>
              <w:pStyle w:val="25"/>
              <w:bidi w:val="0"/>
              <w:jc w:val="center"/>
              <w:rPr>
                <w:rFonts w:hint="default"/>
              </w:rPr>
            </w:pPr>
            <w:r>
              <w:rPr>
                <w:rFonts w:hint="default"/>
                <w:lang w:val="en-US" w:eastAsia="zh-CN"/>
              </w:rPr>
              <w:t>0.32</w:t>
            </w:r>
          </w:p>
        </w:tc>
        <w:tc>
          <w:tcPr>
            <w:tcW w:w="877" w:type="dxa"/>
            <w:shd w:val="clear" w:color="auto" w:fill="auto"/>
            <w:noWrap/>
            <w:vAlign w:val="center"/>
          </w:tcPr>
          <w:p>
            <w:pPr>
              <w:pStyle w:val="25"/>
              <w:bidi w:val="0"/>
              <w:jc w:val="center"/>
              <w:rPr>
                <w:rFonts w:hint="default"/>
              </w:rPr>
            </w:pPr>
            <w:r>
              <w:rPr>
                <w:rFonts w:hint="default"/>
                <w:lang w:val="en-US" w:eastAsia="zh-CN"/>
              </w:rPr>
              <w:t>0.08</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6</w:t>
            </w:r>
          </w:p>
        </w:tc>
        <w:tc>
          <w:tcPr>
            <w:tcW w:w="916" w:type="dxa"/>
            <w:shd w:val="clear" w:color="auto" w:fill="auto"/>
            <w:noWrap/>
            <w:vAlign w:val="center"/>
          </w:tcPr>
          <w:p>
            <w:pPr>
              <w:pStyle w:val="25"/>
              <w:bidi w:val="0"/>
              <w:jc w:val="center"/>
              <w:rPr>
                <w:rFonts w:hint="default"/>
              </w:rPr>
            </w:pPr>
            <w:r>
              <w:rPr>
                <w:rFonts w:hint="default"/>
                <w:lang w:val="en-US" w:eastAsia="zh-CN"/>
              </w:rPr>
              <w:t>6.26</w:t>
            </w:r>
          </w:p>
        </w:tc>
        <w:tc>
          <w:tcPr>
            <w:tcW w:w="1599" w:type="dxa"/>
            <w:shd w:val="clear" w:color="auto" w:fill="auto"/>
            <w:noWrap/>
            <w:vAlign w:val="center"/>
          </w:tcPr>
          <w:p>
            <w:pPr>
              <w:pStyle w:val="25"/>
              <w:bidi w:val="0"/>
              <w:jc w:val="center"/>
              <w:rPr>
                <w:rFonts w:hint="default"/>
              </w:rPr>
            </w:pPr>
            <w:r>
              <w:rPr>
                <w:rFonts w:hint="default"/>
                <w:lang w:val="en-US" w:eastAsia="zh-CN"/>
              </w:rPr>
              <w:t>5.7</w:t>
            </w:r>
          </w:p>
        </w:tc>
        <w:tc>
          <w:tcPr>
            <w:tcW w:w="1830" w:type="dxa"/>
            <w:shd w:val="clear" w:color="auto" w:fill="auto"/>
            <w:noWrap/>
            <w:vAlign w:val="center"/>
          </w:tcPr>
          <w:p>
            <w:pPr>
              <w:pStyle w:val="25"/>
              <w:bidi w:val="0"/>
              <w:jc w:val="center"/>
              <w:rPr>
                <w:rFonts w:hint="default"/>
              </w:rPr>
            </w:pPr>
            <w:r>
              <w:rPr>
                <w:rFonts w:hint="default"/>
                <w:lang w:val="en-US" w:eastAsia="zh-CN"/>
              </w:rPr>
              <w:t>3.7</w:t>
            </w:r>
          </w:p>
        </w:tc>
        <w:tc>
          <w:tcPr>
            <w:tcW w:w="877" w:type="dxa"/>
            <w:shd w:val="clear" w:color="auto" w:fill="auto"/>
            <w:noWrap/>
            <w:vAlign w:val="center"/>
          </w:tcPr>
          <w:p>
            <w:pPr>
              <w:pStyle w:val="25"/>
              <w:bidi w:val="0"/>
              <w:jc w:val="center"/>
              <w:rPr>
                <w:rFonts w:hint="default"/>
              </w:rPr>
            </w:pPr>
            <w:r>
              <w:rPr>
                <w:rFonts w:hint="default"/>
                <w:lang w:val="en-US" w:eastAsia="zh-CN"/>
              </w:rPr>
              <w:t>0.51</w:t>
            </w:r>
          </w:p>
        </w:tc>
        <w:tc>
          <w:tcPr>
            <w:tcW w:w="877" w:type="dxa"/>
            <w:shd w:val="clear" w:color="auto" w:fill="auto"/>
            <w:noWrap/>
            <w:vAlign w:val="center"/>
          </w:tcPr>
          <w:p>
            <w:pPr>
              <w:pStyle w:val="25"/>
              <w:bidi w:val="0"/>
              <w:jc w:val="center"/>
              <w:rPr>
                <w:rFonts w:hint="default"/>
              </w:rPr>
            </w:pPr>
            <w:r>
              <w:rPr>
                <w:rFonts w:hint="default"/>
                <w:lang w:val="en-US" w:eastAsia="zh-CN"/>
              </w:rPr>
              <w:t>0.14</w:t>
            </w:r>
          </w:p>
        </w:tc>
        <w:tc>
          <w:tcPr>
            <w:tcW w:w="1143" w:type="dxa"/>
            <w:shd w:val="clear" w:color="auto" w:fill="auto"/>
            <w:noWrap/>
            <w:vAlign w:val="center"/>
          </w:tcPr>
          <w:p>
            <w:pPr>
              <w:pStyle w:val="25"/>
              <w:bidi w:val="0"/>
              <w:jc w:val="center"/>
              <w:rPr>
                <w:rFonts w:hint="eastAsia"/>
              </w:rPr>
            </w:pPr>
            <w:r>
              <w:rPr>
                <w:rFonts w:hint="eastAsia"/>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7</w:t>
            </w:r>
          </w:p>
        </w:tc>
        <w:tc>
          <w:tcPr>
            <w:tcW w:w="916" w:type="dxa"/>
            <w:shd w:val="clear" w:color="auto" w:fill="auto"/>
            <w:noWrap/>
            <w:vAlign w:val="center"/>
          </w:tcPr>
          <w:p>
            <w:pPr>
              <w:pStyle w:val="25"/>
              <w:bidi w:val="0"/>
              <w:jc w:val="center"/>
              <w:rPr>
                <w:rFonts w:hint="default"/>
              </w:rPr>
            </w:pPr>
            <w:r>
              <w:rPr>
                <w:rFonts w:hint="default"/>
                <w:lang w:val="en-US" w:eastAsia="zh-CN"/>
              </w:rPr>
              <w:t>8.11</w:t>
            </w:r>
          </w:p>
        </w:tc>
        <w:tc>
          <w:tcPr>
            <w:tcW w:w="1599" w:type="dxa"/>
            <w:shd w:val="clear" w:color="auto" w:fill="auto"/>
            <w:noWrap/>
            <w:vAlign w:val="center"/>
          </w:tcPr>
          <w:p>
            <w:pPr>
              <w:pStyle w:val="25"/>
              <w:bidi w:val="0"/>
              <w:jc w:val="center"/>
              <w:rPr>
                <w:rFonts w:hint="default"/>
              </w:rPr>
            </w:pPr>
            <w:r>
              <w:rPr>
                <w:rFonts w:hint="default"/>
                <w:lang w:val="en-US" w:eastAsia="zh-CN"/>
              </w:rPr>
              <w:t>3.8</w:t>
            </w:r>
          </w:p>
        </w:tc>
        <w:tc>
          <w:tcPr>
            <w:tcW w:w="1830" w:type="dxa"/>
            <w:shd w:val="clear" w:color="auto" w:fill="auto"/>
            <w:noWrap/>
            <w:vAlign w:val="center"/>
          </w:tcPr>
          <w:p>
            <w:pPr>
              <w:pStyle w:val="25"/>
              <w:bidi w:val="0"/>
              <w:jc w:val="center"/>
              <w:rPr>
                <w:rFonts w:hint="default"/>
              </w:rPr>
            </w:pPr>
            <w:r>
              <w:rPr>
                <w:rFonts w:hint="default"/>
                <w:lang w:val="en-US" w:eastAsia="zh-CN"/>
              </w:rPr>
              <w:t>1.3</w:t>
            </w:r>
          </w:p>
        </w:tc>
        <w:tc>
          <w:tcPr>
            <w:tcW w:w="877" w:type="dxa"/>
            <w:shd w:val="clear" w:color="auto" w:fill="auto"/>
            <w:noWrap/>
            <w:vAlign w:val="center"/>
          </w:tcPr>
          <w:p>
            <w:pPr>
              <w:pStyle w:val="25"/>
              <w:bidi w:val="0"/>
              <w:jc w:val="center"/>
              <w:rPr>
                <w:rFonts w:hint="default"/>
              </w:rPr>
            </w:pPr>
            <w:r>
              <w:rPr>
                <w:rFonts w:hint="default"/>
                <w:lang w:val="en-US" w:eastAsia="zh-CN"/>
              </w:rPr>
              <w:t>0.55</w:t>
            </w:r>
          </w:p>
        </w:tc>
        <w:tc>
          <w:tcPr>
            <w:tcW w:w="877" w:type="dxa"/>
            <w:shd w:val="clear" w:color="auto" w:fill="auto"/>
            <w:noWrap/>
            <w:vAlign w:val="center"/>
          </w:tcPr>
          <w:p>
            <w:pPr>
              <w:pStyle w:val="25"/>
              <w:bidi w:val="0"/>
              <w:jc w:val="center"/>
              <w:rPr>
                <w:rFonts w:hint="default"/>
              </w:rPr>
            </w:pPr>
            <w:r>
              <w:rPr>
                <w:rFonts w:hint="default"/>
                <w:lang w:val="en-US" w:eastAsia="zh-CN"/>
              </w:rPr>
              <w:t>0.1</w:t>
            </w:r>
          </w:p>
        </w:tc>
        <w:tc>
          <w:tcPr>
            <w:tcW w:w="1143" w:type="dxa"/>
            <w:shd w:val="clear" w:color="auto" w:fill="auto"/>
            <w:noWrap/>
            <w:vAlign w:val="center"/>
          </w:tcPr>
          <w:p>
            <w:pPr>
              <w:pStyle w:val="25"/>
              <w:bidi w:val="0"/>
              <w:jc w:val="center"/>
              <w:rPr>
                <w:rFonts w:hint="default"/>
              </w:rPr>
            </w:pPr>
            <w:r>
              <w:rPr>
                <w:rFonts w:hint="default"/>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8</w:t>
            </w:r>
          </w:p>
        </w:tc>
        <w:tc>
          <w:tcPr>
            <w:tcW w:w="916" w:type="dxa"/>
            <w:shd w:val="clear" w:color="auto" w:fill="auto"/>
            <w:noWrap/>
            <w:vAlign w:val="center"/>
          </w:tcPr>
          <w:p>
            <w:pPr>
              <w:pStyle w:val="25"/>
              <w:bidi w:val="0"/>
              <w:jc w:val="center"/>
              <w:rPr>
                <w:rFonts w:hint="default"/>
              </w:rPr>
            </w:pPr>
            <w:r>
              <w:rPr>
                <w:rFonts w:hint="default"/>
                <w:lang w:val="en-US" w:eastAsia="zh-CN"/>
              </w:rPr>
              <w:t>8.47</w:t>
            </w:r>
          </w:p>
        </w:tc>
        <w:tc>
          <w:tcPr>
            <w:tcW w:w="1599" w:type="dxa"/>
            <w:shd w:val="clear" w:color="auto" w:fill="auto"/>
            <w:noWrap/>
            <w:vAlign w:val="center"/>
          </w:tcPr>
          <w:p>
            <w:pPr>
              <w:pStyle w:val="25"/>
              <w:bidi w:val="0"/>
              <w:jc w:val="center"/>
              <w:rPr>
                <w:rFonts w:hint="default"/>
              </w:rPr>
            </w:pPr>
            <w:r>
              <w:rPr>
                <w:rFonts w:hint="default"/>
                <w:lang w:val="en-US" w:eastAsia="zh-CN"/>
              </w:rPr>
              <w:t>4</w:t>
            </w:r>
          </w:p>
        </w:tc>
        <w:tc>
          <w:tcPr>
            <w:tcW w:w="1830" w:type="dxa"/>
            <w:shd w:val="clear" w:color="auto" w:fill="auto"/>
            <w:noWrap/>
            <w:vAlign w:val="center"/>
          </w:tcPr>
          <w:p>
            <w:pPr>
              <w:pStyle w:val="25"/>
              <w:bidi w:val="0"/>
              <w:jc w:val="center"/>
              <w:rPr>
                <w:rFonts w:hint="default"/>
              </w:rPr>
            </w:pPr>
            <w:r>
              <w:rPr>
                <w:rFonts w:hint="default"/>
                <w:lang w:val="en-US" w:eastAsia="zh-CN"/>
              </w:rPr>
              <w:t>3.8</w:t>
            </w:r>
          </w:p>
        </w:tc>
        <w:tc>
          <w:tcPr>
            <w:tcW w:w="877" w:type="dxa"/>
            <w:shd w:val="clear" w:color="auto" w:fill="auto"/>
            <w:noWrap/>
            <w:vAlign w:val="center"/>
          </w:tcPr>
          <w:p>
            <w:pPr>
              <w:pStyle w:val="25"/>
              <w:bidi w:val="0"/>
              <w:jc w:val="center"/>
              <w:rPr>
                <w:rFonts w:hint="default"/>
              </w:rPr>
            </w:pPr>
            <w:r>
              <w:rPr>
                <w:rFonts w:hint="default"/>
                <w:lang w:val="en-US" w:eastAsia="zh-CN"/>
              </w:rPr>
              <w:t>0.3</w:t>
            </w:r>
          </w:p>
        </w:tc>
        <w:tc>
          <w:tcPr>
            <w:tcW w:w="877" w:type="dxa"/>
            <w:shd w:val="clear" w:color="auto" w:fill="auto"/>
            <w:noWrap/>
            <w:vAlign w:val="center"/>
          </w:tcPr>
          <w:p>
            <w:pPr>
              <w:pStyle w:val="25"/>
              <w:bidi w:val="0"/>
              <w:jc w:val="center"/>
              <w:rPr>
                <w:rFonts w:hint="default"/>
              </w:rPr>
            </w:pPr>
            <w:r>
              <w:rPr>
                <w:rFonts w:hint="default"/>
                <w:lang w:val="en-US" w:eastAsia="zh-CN"/>
              </w:rPr>
              <w:t>0.16</w:t>
            </w:r>
          </w:p>
        </w:tc>
        <w:tc>
          <w:tcPr>
            <w:tcW w:w="1143" w:type="dxa"/>
            <w:shd w:val="clear" w:color="auto" w:fill="auto"/>
            <w:noWrap/>
            <w:vAlign w:val="center"/>
          </w:tcPr>
          <w:p>
            <w:pPr>
              <w:pStyle w:val="25"/>
              <w:bidi w:val="0"/>
              <w:jc w:val="center"/>
              <w:rPr>
                <w:rFonts w:hint="default"/>
              </w:rPr>
            </w:pPr>
            <w:r>
              <w:rPr>
                <w:rFonts w:hint="default"/>
                <w:lang w:val="en-US" w:eastAsia="zh-CN"/>
              </w:rPr>
              <w:t>Ⅲ类水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10</w:t>
            </w:r>
          </w:p>
        </w:tc>
        <w:tc>
          <w:tcPr>
            <w:tcW w:w="916" w:type="dxa"/>
            <w:shd w:val="clear" w:color="auto" w:fill="auto"/>
            <w:noWrap/>
            <w:vAlign w:val="center"/>
          </w:tcPr>
          <w:p>
            <w:pPr>
              <w:pStyle w:val="25"/>
              <w:bidi w:val="0"/>
              <w:jc w:val="center"/>
              <w:rPr>
                <w:rFonts w:hint="default"/>
              </w:rPr>
            </w:pPr>
            <w:r>
              <w:rPr>
                <w:rFonts w:hint="default"/>
                <w:lang w:val="en-US" w:eastAsia="zh-CN"/>
              </w:rPr>
              <w:t>7.99</w:t>
            </w:r>
          </w:p>
        </w:tc>
        <w:tc>
          <w:tcPr>
            <w:tcW w:w="1599" w:type="dxa"/>
            <w:shd w:val="clear" w:color="auto" w:fill="auto"/>
            <w:noWrap/>
            <w:vAlign w:val="center"/>
          </w:tcPr>
          <w:p>
            <w:pPr>
              <w:pStyle w:val="25"/>
              <w:bidi w:val="0"/>
              <w:jc w:val="center"/>
              <w:rPr>
                <w:rFonts w:hint="default"/>
              </w:rPr>
            </w:pPr>
            <w:r>
              <w:rPr>
                <w:rFonts w:hint="default"/>
                <w:lang w:val="en-US" w:eastAsia="zh-CN"/>
              </w:rPr>
              <w:t>3</w:t>
            </w:r>
          </w:p>
        </w:tc>
        <w:tc>
          <w:tcPr>
            <w:tcW w:w="1830" w:type="dxa"/>
            <w:shd w:val="clear" w:color="auto" w:fill="auto"/>
            <w:noWrap/>
            <w:vAlign w:val="center"/>
          </w:tcPr>
          <w:p>
            <w:pPr>
              <w:pStyle w:val="25"/>
              <w:bidi w:val="0"/>
              <w:jc w:val="center"/>
              <w:rPr>
                <w:rFonts w:hint="default"/>
              </w:rPr>
            </w:pPr>
            <w:r>
              <w:rPr>
                <w:rFonts w:hint="default"/>
                <w:lang w:val="en-US" w:eastAsia="zh-CN"/>
              </w:rPr>
              <w:t>1.6</w:t>
            </w:r>
          </w:p>
        </w:tc>
        <w:tc>
          <w:tcPr>
            <w:tcW w:w="877" w:type="dxa"/>
            <w:shd w:val="clear" w:color="auto" w:fill="auto"/>
            <w:noWrap/>
            <w:vAlign w:val="center"/>
          </w:tcPr>
          <w:p>
            <w:pPr>
              <w:pStyle w:val="25"/>
              <w:bidi w:val="0"/>
              <w:jc w:val="center"/>
              <w:rPr>
                <w:rFonts w:hint="default"/>
              </w:rPr>
            </w:pPr>
            <w:r>
              <w:rPr>
                <w:rFonts w:hint="default"/>
                <w:lang w:val="en-US" w:eastAsia="zh-CN"/>
              </w:rPr>
              <w:t>0.35</w:t>
            </w:r>
          </w:p>
        </w:tc>
        <w:tc>
          <w:tcPr>
            <w:tcW w:w="877" w:type="dxa"/>
            <w:shd w:val="clear" w:color="auto" w:fill="auto"/>
            <w:noWrap/>
            <w:vAlign w:val="center"/>
          </w:tcPr>
          <w:p>
            <w:pPr>
              <w:pStyle w:val="25"/>
              <w:bidi w:val="0"/>
              <w:jc w:val="center"/>
              <w:rPr>
                <w:rFonts w:hint="default"/>
              </w:rPr>
            </w:pPr>
            <w:r>
              <w:rPr>
                <w:rFonts w:hint="default"/>
                <w:lang w:val="en-US" w:eastAsia="zh-CN"/>
              </w:rPr>
              <w:t>0.06</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11</w:t>
            </w:r>
          </w:p>
        </w:tc>
        <w:tc>
          <w:tcPr>
            <w:tcW w:w="916" w:type="dxa"/>
            <w:shd w:val="clear" w:color="auto" w:fill="auto"/>
            <w:noWrap/>
            <w:vAlign w:val="center"/>
          </w:tcPr>
          <w:p>
            <w:pPr>
              <w:pStyle w:val="25"/>
              <w:bidi w:val="0"/>
              <w:jc w:val="center"/>
              <w:rPr>
                <w:rFonts w:hint="default"/>
              </w:rPr>
            </w:pPr>
            <w:r>
              <w:rPr>
                <w:rFonts w:hint="default"/>
                <w:lang w:val="en-US" w:eastAsia="zh-CN"/>
              </w:rPr>
              <w:t>8.1</w:t>
            </w:r>
          </w:p>
        </w:tc>
        <w:tc>
          <w:tcPr>
            <w:tcW w:w="1599" w:type="dxa"/>
            <w:shd w:val="clear" w:color="auto" w:fill="auto"/>
            <w:noWrap/>
            <w:vAlign w:val="center"/>
          </w:tcPr>
          <w:p>
            <w:pPr>
              <w:pStyle w:val="25"/>
              <w:bidi w:val="0"/>
              <w:jc w:val="center"/>
              <w:rPr>
                <w:rFonts w:hint="default"/>
              </w:rPr>
            </w:pPr>
            <w:r>
              <w:rPr>
                <w:rFonts w:hint="default"/>
                <w:lang w:val="en-US" w:eastAsia="zh-CN"/>
              </w:rPr>
              <w:t>2.2</w:t>
            </w:r>
          </w:p>
        </w:tc>
        <w:tc>
          <w:tcPr>
            <w:tcW w:w="1830" w:type="dxa"/>
            <w:shd w:val="clear" w:color="auto" w:fill="auto"/>
            <w:noWrap/>
            <w:vAlign w:val="center"/>
          </w:tcPr>
          <w:p>
            <w:pPr>
              <w:pStyle w:val="25"/>
              <w:bidi w:val="0"/>
              <w:jc w:val="center"/>
              <w:rPr>
                <w:rFonts w:hint="default"/>
              </w:rPr>
            </w:pPr>
            <w:r>
              <w:rPr>
                <w:rFonts w:hint="default"/>
                <w:lang w:val="en-US" w:eastAsia="zh-CN"/>
              </w:rPr>
              <w:t>0.9</w:t>
            </w:r>
          </w:p>
        </w:tc>
        <w:tc>
          <w:tcPr>
            <w:tcW w:w="877" w:type="dxa"/>
            <w:shd w:val="clear" w:color="auto" w:fill="auto"/>
            <w:noWrap/>
            <w:vAlign w:val="center"/>
          </w:tcPr>
          <w:p>
            <w:pPr>
              <w:pStyle w:val="25"/>
              <w:bidi w:val="0"/>
              <w:jc w:val="center"/>
              <w:rPr>
                <w:rFonts w:hint="default"/>
              </w:rPr>
            </w:pPr>
            <w:r>
              <w:rPr>
                <w:rFonts w:hint="default"/>
                <w:lang w:val="en-US" w:eastAsia="zh-CN"/>
              </w:rPr>
              <w:t>0.26</w:t>
            </w:r>
          </w:p>
        </w:tc>
        <w:tc>
          <w:tcPr>
            <w:tcW w:w="877" w:type="dxa"/>
            <w:shd w:val="clear" w:color="auto" w:fill="auto"/>
            <w:noWrap/>
            <w:vAlign w:val="center"/>
          </w:tcPr>
          <w:p>
            <w:pPr>
              <w:pStyle w:val="25"/>
              <w:bidi w:val="0"/>
              <w:jc w:val="center"/>
              <w:rPr>
                <w:rFonts w:hint="default"/>
              </w:rPr>
            </w:pPr>
            <w:r>
              <w:rPr>
                <w:rFonts w:hint="default"/>
                <w:lang w:val="en-US" w:eastAsia="zh-CN"/>
              </w:rPr>
              <w:t>0.05</w:t>
            </w:r>
          </w:p>
        </w:tc>
        <w:tc>
          <w:tcPr>
            <w:tcW w:w="1143" w:type="dxa"/>
            <w:shd w:val="clear" w:color="auto" w:fill="auto"/>
            <w:noWrap/>
            <w:vAlign w:val="center"/>
          </w:tcPr>
          <w:p>
            <w:pPr>
              <w:pStyle w:val="25"/>
              <w:bidi w:val="0"/>
              <w:jc w:val="center"/>
              <w:rPr>
                <w:rFonts w:hint="default"/>
              </w:rPr>
            </w:pPr>
            <w:r>
              <w:rPr>
                <w:rFonts w:hint="default"/>
                <w:lang w:val="en-US" w:eastAsia="zh-CN"/>
              </w:rPr>
              <w:t>Ⅱ类水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pPr>
              <w:pStyle w:val="25"/>
              <w:bidi w:val="0"/>
              <w:jc w:val="center"/>
              <w:rPr>
                <w:rFonts w:hint="default"/>
              </w:rPr>
            </w:pPr>
          </w:p>
        </w:tc>
        <w:tc>
          <w:tcPr>
            <w:tcW w:w="687" w:type="dxa"/>
            <w:shd w:val="clear" w:color="auto" w:fill="auto"/>
            <w:noWrap/>
            <w:vAlign w:val="center"/>
          </w:tcPr>
          <w:p>
            <w:pPr>
              <w:pStyle w:val="25"/>
              <w:bidi w:val="0"/>
              <w:jc w:val="center"/>
              <w:rPr>
                <w:rFonts w:hint="default"/>
              </w:rPr>
            </w:pPr>
            <w:r>
              <w:rPr>
                <w:rFonts w:hint="default"/>
                <w:lang w:val="en-US" w:eastAsia="zh-CN"/>
              </w:rPr>
              <w:t>12</w:t>
            </w:r>
          </w:p>
        </w:tc>
        <w:tc>
          <w:tcPr>
            <w:tcW w:w="916" w:type="dxa"/>
            <w:shd w:val="clear" w:color="auto" w:fill="auto"/>
            <w:noWrap/>
            <w:vAlign w:val="center"/>
          </w:tcPr>
          <w:p>
            <w:pPr>
              <w:pStyle w:val="25"/>
              <w:bidi w:val="0"/>
              <w:jc w:val="center"/>
              <w:rPr>
                <w:rFonts w:hint="default"/>
              </w:rPr>
            </w:pPr>
            <w:r>
              <w:rPr>
                <w:rFonts w:hint="default"/>
                <w:lang w:val="en-US" w:eastAsia="zh-CN"/>
              </w:rPr>
              <w:t>8.41</w:t>
            </w:r>
          </w:p>
        </w:tc>
        <w:tc>
          <w:tcPr>
            <w:tcW w:w="1599" w:type="dxa"/>
            <w:shd w:val="clear" w:color="auto" w:fill="auto"/>
            <w:noWrap/>
            <w:vAlign w:val="center"/>
          </w:tcPr>
          <w:p>
            <w:pPr>
              <w:pStyle w:val="25"/>
              <w:bidi w:val="0"/>
              <w:jc w:val="center"/>
              <w:rPr>
                <w:rFonts w:hint="default"/>
              </w:rPr>
            </w:pPr>
            <w:r>
              <w:rPr>
                <w:rFonts w:hint="default"/>
                <w:lang w:val="en-US" w:eastAsia="zh-CN"/>
              </w:rPr>
              <w:t>1.5</w:t>
            </w:r>
          </w:p>
        </w:tc>
        <w:tc>
          <w:tcPr>
            <w:tcW w:w="1830" w:type="dxa"/>
            <w:shd w:val="clear" w:color="auto" w:fill="auto"/>
            <w:noWrap/>
            <w:vAlign w:val="center"/>
          </w:tcPr>
          <w:p>
            <w:pPr>
              <w:pStyle w:val="25"/>
              <w:bidi w:val="0"/>
              <w:jc w:val="center"/>
              <w:rPr>
                <w:rFonts w:hint="default"/>
              </w:rPr>
            </w:pPr>
            <w:r>
              <w:rPr>
                <w:rFonts w:hint="default"/>
                <w:lang w:val="en-US" w:eastAsia="zh-CN"/>
              </w:rPr>
              <w:t>1.3</w:t>
            </w:r>
          </w:p>
        </w:tc>
        <w:tc>
          <w:tcPr>
            <w:tcW w:w="877" w:type="dxa"/>
            <w:shd w:val="clear" w:color="auto" w:fill="auto"/>
            <w:noWrap/>
            <w:vAlign w:val="center"/>
          </w:tcPr>
          <w:p>
            <w:pPr>
              <w:pStyle w:val="25"/>
              <w:bidi w:val="0"/>
              <w:jc w:val="center"/>
              <w:rPr>
                <w:rFonts w:hint="default"/>
              </w:rPr>
            </w:pPr>
            <w:r>
              <w:rPr>
                <w:rFonts w:hint="default"/>
                <w:lang w:val="en-US" w:eastAsia="zh-CN"/>
              </w:rPr>
              <w:t>0.27</w:t>
            </w:r>
          </w:p>
        </w:tc>
        <w:tc>
          <w:tcPr>
            <w:tcW w:w="877" w:type="dxa"/>
            <w:shd w:val="clear" w:color="auto" w:fill="auto"/>
            <w:noWrap/>
            <w:vAlign w:val="center"/>
          </w:tcPr>
          <w:p>
            <w:pPr>
              <w:pStyle w:val="25"/>
              <w:bidi w:val="0"/>
              <w:jc w:val="center"/>
              <w:rPr>
                <w:rFonts w:hint="default"/>
              </w:rPr>
            </w:pPr>
            <w:r>
              <w:rPr>
                <w:rFonts w:hint="default"/>
                <w:lang w:val="en-US" w:eastAsia="zh-CN"/>
              </w:rPr>
              <w:t>0.06</w:t>
            </w:r>
          </w:p>
        </w:tc>
        <w:tc>
          <w:tcPr>
            <w:tcW w:w="1143" w:type="dxa"/>
            <w:shd w:val="clear" w:color="auto" w:fill="auto"/>
            <w:noWrap/>
            <w:vAlign w:val="center"/>
          </w:tcPr>
          <w:p>
            <w:pPr>
              <w:pStyle w:val="25"/>
              <w:bidi w:val="0"/>
              <w:jc w:val="center"/>
              <w:rPr>
                <w:rFonts w:hint="eastAsia"/>
              </w:rPr>
            </w:pPr>
            <w:r>
              <w:rPr>
                <w:rFonts w:hint="eastAsia"/>
                <w:lang w:val="en-US" w:eastAsia="zh-CN"/>
              </w:rPr>
              <w:t>Ⅱ类水</w:t>
            </w:r>
          </w:p>
        </w:tc>
      </w:tr>
    </w:tbl>
    <w:p>
      <w:pPr>
        <w:pStyle w:val="25"/>
        <w:bidi w:val="0"/>
        <w:jc w:val="both"/>
        <w:rPr>
          <w:rFonts w:hint="default" w:eastAsia="方正仿宋_GBK"/>
          <w:lang w:val="en-US" w:eastAsia="zh-CN"/>
        </w:rPr>
      </w:pPr>
    </w:p>
    <w:p>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赤溪河共设置了两个水质监测断面，分别位于高跳蹬、溜沙坡处。丰都县水质监测中心对赤溪河以上两个断面河水进行检测。本次评价标准为《地表水环境质量标准》（GB3838-2002），评价方法主要依据《水功能区水资源质量评价暂行规定》采用单因子评价法，水质级别为Ⅰ类、Ⅱ类、Ⅲ类、Ⅳ类、Ⅴ类及劣Ⅴ类，评价参数包括pH、溶解氧、高锰酸盐指数、化学需氧量、五日生化需氧量、氨氮、总磷、铜、锌、氟化物、硒、砷、汞、镉、六价铬、铅、挥发酚、氰化物、石油类、阴离子表面活性剂、硫化物等21项（除水温、总氮、粪大肠菌群）。</w:t>
      </w:r>
    </w:p>
    <w:p>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以上两个断面水质分别经过</w:t>
      </w:r>
      <w:r>
        <w:rPr>
          <w:rFonts w:hint="eastAsia" w:hAnsi="宋体"/>
          <w:sz w:val="30"/>
          <w:szCs w:val="30"/>
          <w:lang w:val="en-US" w:eastAsia="zh-CN"/>
        </w:rPr>
        <w:t>22</w:t>
      </w:r>
      <w:r>
        <w:rPr>
          <w:rFonts w:hint="eastAsia" w:ascii="方正仿宋_GBK" w:hAnsi="宋体" w:eastAsia="方正仿宋_GBK"/>
          <w:sz w:val="30"/>
          <w:szCs w:val="30"/>
        </w:rPr>
        <w:t>次检测，其中高跳蹬断面</w:t>
      </w:r>
      <w:r>
        <w:rPr>
          <w:rFonts w:hint="eastAsia" w:hAnsi="宋体"/>
          <w:sz w:val="30"/>
          <w:szCs w:val="30"/>
          <w:lang w:val="en-US" w:eastAsia="zh-CN"/>
        </w:rPr>
        <w:t>9</w:t>
      </w:r>
      <w:r>
        <w:rPr>
          <w:rFonts w:hint="eastAsia" w:ascii="方正仿宋_GBK" w:hAnsi="宋体" w:eastAsia="方正仿宋_GBK"/>
          <w:sz w:val="30"/>
          <w:szCs w:val="30"/>
        </w:rPr>
        <w:t>次检测结果为Ⅲ类水标准，</w:t>
      </w:r>
      <w:r>
        <w:rPr>
          <w:rFonts w:hint="eastAsia" w:hAnsi="宋体"/>
          <w:sz w:val="30"/>
          <w:szCs w:val="30"/>
          <w:lang w:val="en-US" w:eastAsia="zh-CN"/>
        </w:rPr>
        <w:t>13</w:t>
      </w:r>
      <w:r>
        <w:rPr>
          <w:rFonts w:hint="eastAsia" w:ascii="方正仿宋_GBK" w:hAnsi="宋体" w:eastAsia="方正仿宋_GBK"/>
          <w:sz w:val="30"/>
          <w:szCs w:val="30"/>
        </w:rPr>
        <w:t>次结果为Ⅱ类水标准；溜沙坡断面</w:t>
      </w:r>
      <w:r>
        <w:rPr>
          <w:rFonts w:hint="eastAsia" w:hAnsi="宋体"/>
          <w:sz w:val="30"/>
          <w:szCs w:val="30"/>
          <w:lang w:val="en-US" w:eastAsia="zh-CN"/>
        </w:rPr>
        <w:t>9</w:t>
      </w:r>
      <w:r>
        <w:rPr>
          <w:rFonts w:hint="eastAsia" w:ascii="方正仿宋_GBK" w:hAnsi="宋体" w:eastAsia="方正仿宋_GBK"/>
          <w:sz w:val="30"/>
          <w:szCs w:val="30"/>
        </w:rPr>
        <w:t>次检测结果为Ⅲ类水标准，</w:t>
      </w:r>
      <w:r>
        <w:rPr>
          <w:rFonts w:hint="eastAsia" w:hAnsi="宋体"/>
          <w:sz w:val="30"/>
          <w:szCs w:val="30"/>
          <w:lang w:val="en-US" w:eastAsia="zh-CN"/>
        </w:rPr>
        <w:t>1</w:t>
      </w:r>
      <w:r>
        <w:rPr>
          <w:rFonts w:hint="eastAsia" w:ascii="方正仿宋_GBK" w:hAnsi="宋体" w:eastAsia="方正仿宋_GBK"/>
          <w:sz w:val="30"/>
          <w:szCs w:val="30"/>
        </w:rPr>
        <w:t>3次结果为Ⅱ类水标准。以上两个断面均满足河道Ⅲ类水目标值。</w:t>
      </w:r>
    </w:p>
    <w:p>
      <w:pPr>
        <w:bidi w:val="0"/>
        <w:rPr>
          <w:rFonts w:hint="eastAsia"/>
        </w:rPr>
      </w:pPr>
      <w:r>
        <w:rPr>
          <w:rFonts w:hint="eastAsia"/>
        </w:rPr>
        <w:t>赤溪河2020年水功能区水质目标为Ⅲ类，现状水质为Ⅲ类，已达标。</w:t>
      </w:r>
    </w:p>
    <w:p>
      <w:pPr>
        <w:numPr>
          <w:ilvl w:val="0"/>
          <w:numId w:val="11"/>
        </w:numPr>
        <w:bidi w:val="0"/>
        <w:ind w:left="425" w:leftChars="0" w:hanging="425" w:firstLineChars="0"/>
        <w:rPr>
          <w:rFonts w:hint="eastAsia"/>
        </w:rPr>
      </w:pPr>
      <w:r>
        <w:rPr>
          <w:rFonts w:hint="eastAsia"/>
        </w:rPr>
        <w:t>黑臭水体分布</w:t>
      </w:r>
    </w:p>
    <w:p>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目前，赤溪河流域内无黑臭水体情况。</w:t>
      </w:r>
    </w:p>
    <w:p>
      <w:pPr>
        <w:numPr>
          <w:ilvl w:val="0"/>
          <w:numId w:val="11"/>
        </w:numPr>
        <w:bidi w:val="0"/>
        <w:ind w:left="425" w:leftChars="0" w:hanging="425" w:firstLineChars="0"/>
        <w:rPr>
          <w:rFonts w:hint="eastAsia" w:ascii="方正仿宋_GBK" w:hAnsi="宋体" w:eastAsia="方正仿宋_GBK"/>
          <w:sz w:val="30"/>
          <w:szCs w:val="30"/>
        </w:rPr>
      </w:pPr>
      <w:r>
        <w:rPr>
          <w:rFonts w:hint="eastAsia"/>
        </w:rPr>
        <w:t>水文站</w:t>
      </w:r>
      <w:r>
        <w:rPr>
          <w:rFonts w:hint="eastAsia" w:ascii="方正仿宋_GBK" w:hAnsi="宋体" w:eastAsia="方正仿宋_GBK"/>
          <w:sz w:val="30"/>
          <w:szCs w:val="30"/>
        </w:rPr>
        <w:t>点分布</w:t>
      </w:r>
    </w:p>
    <w:p>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赤溪河流域内无水文站。</w:t>
      </w:r>
    </w:p>
    <w:p>
      <w:pPr>
        <w:numPr>
          <w:ilvl w:val="0"/>
          <w:numId w:val="11"/>
        </w:numPr>
        <w:bidi w:val="0"/>
        <w:ind w:left="425" w:leftChars="0" w:hanging="425" w:firstLineChars="0"/>
        <w:rPr>
          <w:rFonts w:hint="eastAsia" w:ascii="方正仿宋_GBK" w:hAnsi="宋体" w:eastAsia="方正仿宋_GBK"/>
          <w:sz w:val="30"/>
          <w:szCs w:val="30"/>
        </w:rPr>
      </w:pPr>
      <w:r>
        <w:rPr>
          <w:rFonts w:hint="eastAsia" w:ascii="方正仿宋_GBK" w:hAnsi="宋体" w:eastAsia="方正仿宋_GBK"/>
          <w:sz w:val="30"/>
          <w:szCs w:val="30"/>
        </w:rPr>
        <w:t>饮用水源地保护现状</w:t>
      </w:r>
    </w:p>
    <w:p>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赤溪河干流水源地有1处，为丰都县十直供水站水源地。</w:t>
      </w:r>
    </w:p>
    <w:p>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丰都县十直供水站水源地北侧为033乡道，取水点东侧坡上有零星散户居住，农田主要种植玉米、水稻、红薯。取水点周围主要为林地，植被覆盖良好，水源地设计采水量400m</w:t>
      </w:r>
      <w:r>
        <w:rPr>
          <w:rFonts w:hint="eastAsia" w:ascii="方正仿宋_GBK" w:hAnsi="宋体" w:eastAsia="方正仿宋_GBK"/>
          <w:sz w:val="30"/>
          <w:szCs w:val="30"/>
          <w:vertAlign w:val="superscript"/>
        </w:rPr>
        <w:t>3</w:t>
      </w:r>
      <w:r>
        <w:rPr>
          <w:rFonts w:hint="eastAsia" w:ascii="方正仿宋_GBK" w:hAnsi="宋体" w:eastAsia="方正仿宋_GBK"/>
          <w:sz w:val="30"/>
          <w:szCs w:val="30"/>
        </w:rPr>
        <w:t>/d。</w:t>
      </w:r>
    </w:p>
    <w:p>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水源地均已划分了水源保护范围，但水源地的护栏、围桩、封禁、界碑、警示牌等水源标志设置不完善，相关水源地规范化建设有待完善。</w:t>
      </w:r>
    </w:p>
    <w:p>
      <w:pPr>
        <w:pStyle w:val="4"/>
        <w:bidi w:val="0"/>
        <w:rPr>
          <w:rFonts w:hint="eastAsia"/>
        </w:rPr>
      </w:pPr>
      <w:r>
        <w:rPr>
          <w:rFonts w:hint="default"/>
        </w:rPr>
        <w:t>水生态现状</w:t>
      </w:r>
    </w:p>
    <w:p>
      <w:pPr>
        <w:bidi w:val="0"/>
        <w:rPr>
          <w:rFonts w:hint="eastAsia"/>
        </w:rPr>
      </w:pPr>
      <w:r>
        <w:rPr>
          <w:rFonts w:hint="eastAsia"/>
        </w:rPr>
        <w:t>赤溪河流域水资源丰富，开发利用程度低，除少数段水体受到污染，水质情况整体较好，河流生态本体条件较好，流域内生物多样性较高，水生态本体条件优越。</w:t>
      </w:r>
    </w:p>
    <w:p>
      <w:pPr>
        <w:bidi w:val="0"/>
        <w:rPr>
          <w:rFonts w:hint="eastAsia"/>
        </w:rPr>
      </w:pPr>
      <w:r>
        <w:rPr>
          <w:rFonts w:hint="eastAsia"/>
        </w:rPr>
        <w:t>通过对河道进行全线巡查，赤溪河为典型的山区河流，其河岸组成较为坚硬，河床年际间变化不大。赤溪河目前全段均未开展过河道堤防建设，为天然河道，两岸均为自然岸坡，河道两边植被较好。</w:t>
      </w:r>
    </w:p>
    <w:p>
      <w:pPr>
        <w:bidi w:val="0"/>
        <w:rPr>
          <w:rFonts w:hint="eastAsia"/>
        </w:rPr>
      </w:pPr>
      <w:r>
        <w:rPr>
          <w:rFonts w:hint="eastAsia"/>
        </w:rPr>
        <w:t>赤溪河源头段位于保合镇牟家场村，水质很好，河道上无涉河建筑物。</w:t>
      </w:r>
    </w:p>
    <w:p>
      <w:pPr>
        <w:bidi w:val="0"/>
        <w:rPr>
          <w:rFonts w:hint="eastAsia"/>
        </w:rPr>
      </w:pPr>
      <w:r>
        <w:rPr>
          <w:rFonts w:hint="eastAsia"/>
        </w:rPr>
        <w:t>中上游段为赤溪河十直镇段，该段主要有白岩口电站拦河坝、水磨洞电站拦河坝。拦河坝阻断了河道的纵向联通，对河流天然径流过程的改变有较大影响。库区水流流速小，降低了水、气界面交换的速率和污染物的迁移扩散能力，使得库区内水体自净能力比天然河流弱；在形成库区的河段出现泥沙淤积，库区下游脱水段河道水流较小，出现工程建设弃渣堆积，但经过赤溪河流域多次洪水的发生，库区内泥沙也带走一部分，其他河道冲淤基本达到平衡。赤溪河十直镇段目前有丰都县十直供水站水源地，取水点东侧坡上有零星散户居住，农田主要种植玉米、水稻、红薯。取水点周围主要为林地，植被覆盖良好，目前水质为Ⅲ类水。</w:t>
      </w:r>
    </w:p>
    <w:p>
      <w:pPr>
        <w:bidi w:val="0"/>
        <w:rPr>
          <w:rFonts w:hint="eastAsia"/>
        </w:rPr>
      </w:pPr>
      <w:r>
        <w:rPr>
          <w:rFonts w:hint="eastAsia"/>
        </w:rPr>
        <w:t>中下游段为赤溪河树人镇段，该段桥堰较多，有7座公路桥及2座拦河堰。该河段水深较浅，流速较慢，河段部分存在河道淤积，河道周边村庄居住点段有生活垃圾入河。</w:t>
      </w:r>
    </w:p>
    <w:p>
      <w:pPr>
        <w:bidi w:val="0"/>
        <w:rPr>
          <w:rFonts w:hint="eastAsia"/>
        </w:rPr>
      </w:pPr>
      <w:r>
        <w:rPr>
          <w:rFonts w:hint="eastAsia"/>
        </w:rPr>
        <w:t>下游段为赤溪河名山街道段，该段河道水面较宽，主要受长江回水影响，流速较缓。河道内主要有担水河大桥一座。</w:t>
      </w:r>
    </w:p>
    <w:p>
      <w:pPr>
        <w:bidi w:val="0"/>
        <w:rPr>
          <w:rFonts w:hint="eastAsia"/>
        </w:rPr>
      </w:pPr>
      <w:r>
        <w:rPr>
          <w:rFonts w:hint="eastAsia"/>
        </w:rPr>
        <w:t>赤溪河整体水质情况较好，少量河段存在污染较严重，水质全年保持在Ⅲ类水以上。</w:t>
      </w:r>
    </w:p>
    <w:p>
      <w:pPr>
        <w:pStyle w:val="4"/>
        <w:bidi w:val="0"/>
        <w:rPr>
          <w:rFonts w:hint="eastAsia"/>
        </w:rPr>
      </w:pPr>
      <w:r>
        <w:rPr>
          <w:rFonts w:hint="default"/>
        </w:rPr>
        <w:t>执法监管现状</w:t>
      </w:r>
    </w:p>
    <w:p>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赤溪河目前管理机制不够完善，赤溪河河道管理界限不明确，部分违规建设、侵占行为难界定。执法队伍建设及监管机制不健全。资金落实不到位，执法监管信息化建设滞后。</w:t>
      </w:r>
    </w:p>
    <w:p>
      <w:pPr>
        <w:pStyle w:val="2"/>
        <w:bidi w:val="0"/>
        <w:rPr>
          <w:rFonts w:hint="eastAsia"/>
        </w:rPr>
      </w:pPr>
      <w:bookmarkStart w:id="22" w:name="_Toc492"/>
      <w:r>
        <w:rPr>
          <w:rFonts w:hint="eastAsia"/>
        </w:rPr>
        <w:t>存在问题分析</w:t>
      </w:r>
      <w:bookmarkEnd w:id="22"/>
    </w:p>
    <w:p>
      <w:pPr>
        <w:pStyle w:val="4"/>
        <w:bidi w:val="0"/>
      </w:pPr>
      <w:r>
        <w:rPr>
          <w:rFonts w:hint="eastAsia"/>
        </w:rPr>
        <w:t>水资源保护问题</w:t>
      </w:r>
    </w:p>
    <w:p>
      <w:pPr>
        <w:numPr>
          <w:ilvl w:val="0"/>
          <w:numId w:val="12"/>
        </w:numPr>
        <w:bidi w:val="0"/>
        <w:ind w:left="425" w:leftChars="0" w:hanging="425" w:firstLineChars="0"/>
        <w:rPr>
          <w:rFonts w:hint="eastAsia"/>
        </w:rPr>
      </w:pPr>
      <w:r>
        <w:rPr>
          <w:rFonts w:hint="eastAsia"/>
        </w:rPr>
        <w:t>最严格水资源管理制度考核工作继续加强</w:t>
      </w:r>
    </w:p>
    <w:p>
      <w:pPr>
        <w:bidi w:val="0"/>
        <w:rPr>
          <w:rFonts w:hint="eastAsia" w:ascii="方正仿宋_GBK" w:hAnsi="Times New Roman" w:eastAsia="方正仿宋_GBK"/>
          <w:szCs w:val="30"/>
        </w:rPr>
      </w:pPr>
      <w:r>
        <w:rPr>
          <w:rFonts w:hint="eastAsia"/>
        </w:rPr>
        <w:t>丰都县政府制定并印发了《关于实行最严格水资源管理制度的意见》、《丰都县实施最严格水资源管理制度考核办法》，并制定了全县用水总量控制目标、用水效率控制目标和水功能区水质达标率控制目标等“三条红线”考核工作方案。最严格水资源管理制度考核工作需进一步完善，应继续强化政府（街道办事处）和职能部门单位落实最严格水资源管理制度责任，严格考核评估和监督。</w:t>
      </w:r>
    </w:p>
    <w:p>
      <w:pPr>
        <w:numPr>
          <w:ilvl w:val="0"/>
          <w:numId w:val="12"/>
        </w:numPr>
        <w:autoSpaceDE w:val="0"/>
        <w:autoSpaceDN w:val="0"/>
        <w:adjustRightInd w:val="0"/>
        <w:snapToGrid w:val="0"/>
        <w:spacing w:line="600" w:lineRule="exact"/>
        <w:ind w:left="425" w:leftChars="0" w:hanging="425" w:firstLineChars="0"/>
        <w:rPr>
          <w:rFonts w:hint="eastAsia" w:ascii="方正仿宋_GBK" w:hAnsi="宋体" w:eastAsia="方正仿宋_GBK"/>
          <w:sz w:val="30"/>
          <w:szCs w:val="30"/>
        </w:rPr>
      </w:pPr>
      <w:r>
        <w:rPr>
          <w:rFonts w:hint="eastAsia" w:ascii="方正仿宋_GBK" w:hAnsi="宋体" w:eastAsia="方正仿宋_GBK"/>
          <w:sz w:val="30"/>
          <w:szCs w:val="30"/>
        </w:rPr>
        <w:t>水功能区监管能力有待加强</w:t>
      </w:r>
    </w:p>
    <w:p>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根据《重庆市丰都县水功能区划修编报告（2011年）》，赤溪河流域内人类活动影响较少，水资源开发利用程度低，全段划分为保留区。现状水质Ⅲ类，水质管理目标Ⅲ类。根据丰都县水质监测中心对赤溪河两个断面水质进行检测，水质现状为Ⅲ类水，满足水功能区水质管理目标，水质整体较好。但水功能区监管方面目前仍有部分不足的地方，主要是赤溪河两岸村庄居民生活污水、生活垃圾、养殖和两岸农业面源污染对赤溪河水质造成一定污染。</w:t>
      </w:r>
    </w:p>
    <w:p>
      <w:pPr>
        <w:pStyle w:val="4"/>
        <w:bidi w:val="0"/>
      </w:pPr>
      <w:bookmarkStart w:id="23" w:name="_Toc501837429"/>
      <w:bookmarkStart w:id="24" w:name="_Toc503903367"/>
      <w:bookmarkStart w:id="25" w:name="_Toc501837914"/>
      <w:bookmarkStart w:id="26" w:name="_Toc501384725"/>
      <w:r>
        <w:rPr>
          <w:rFonts w:hint="eastAsia"/>
        </w:rPr>
        <w:t>水域岸线管理保护问题</w:t>
      </w:r>
      <w:bookmarkEnd w:id="23"/>
      <w:bookmarkEnd w:id="24"/>
      <w:bookmarkEnd w:id="25"/>
      <w:bookmarkEnd w:id="26"/>
    </w:p>
    <w:p>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从河道保护角度出发，河道内存在有碍河道岸线管护的现象。赤溪河树人镇段岩口场村土塘坝桥处存在利用河滩种植，侵占水域岸线现象。</w:t>
      </w:r>
    </w:p>
    <w:p>
      <w:pPr>
        <w:pStyle w:val="25"/>
        <w:bidi w:val="0"/>
        <w:rPr>
          <w:rFonts w:hint="eastAsia" w:eastAsia="方正仿宋_GBK"/>
          <w:lang w:eastAsia="zh-CN"/>
        </w:rPr>
      </w:pPr>
      <w:r>
        <w:rPr>
          <w:rFonts w:hint="eastAsia" w:eastAsia="方正仿宋_GBK"/>
          <w:lang w:eastAsia="zh-CN"/>
        </w:rPr>
        <w:drawing>
          <wp:inline distT="0" distB="0" distL="114300" distR="114300">
            <wp:extent cx="6022975" cy="4517390"/>
            <wp:effectExtent l="0" t="0" r="15875" b="16510"/>
            <wp:docPr id="4" name="图片 4" descr="338a841e7deaa258e8b5ca2a48d8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8a841e7deaa258e8b5ca2a48d87ed"/>
                    <pic:cNvPicPr>
                      <a:picLocks noChangeAspect="1"/>
                    </pic:cNvPicPr>
                  </pic:nvPicPr>
                  <pic:blipFill>
                    <a:blip r:embed="rId15"/>
                    <a:stretch>
                      <a:fillRect/>
                    </a:stretch>
                  </pic:blipFill>
                  <pic:spPr>
                    <a:xfrm>
                      <a:off x="0" y="0"/>
                      <a:ext cx="6022975" cy="4517390"/>
                    </a:xfrm>
                    <a:prstGeom prst="rect">
                      <a:avLst/>
                    </a:prstGeom>
                  </pic:spPr>
                </pic:pic>
              </a:graphicData>
            </a:graphic>
          </wp:inline>
        </w:drawing>
      </w:r>
    </w:p>
    <w:p>
      <w:pPr>
        <w:pStyle w:val="25"/>
        <w:bidi w:val="0"/>
        <w:rPr>
          <w:rFonts w:hint="eastAsia"/>
        </w:rPr>
      </w:pPr>
      <w:r>
        <w:rPr>
          <w:rFonts w:hint="eastAsia"/>
        </w:rPr>
        <w:t>图</w:t>
      </w:r>
      <w:r>
        <w:rPr>
          <w:rFonts w:hint="eastAsia"/>
          <w:lang w:val="en-US" w:eastAsia="zh-CN"/>
        </w:rPr>
        <w:t>3</w:t>
      </w:r>
      <w:r>
        <w:rPr>
          <w:rFonts w:hint="eastAsia"/>
        </w:rPr>
        <w:t>.3-1  河滩地种植</w:t>
      </w:r>
    </w:p>
    <w:p>
      <w:pPr>
        <w:pStyle w:val="4"/>
        <w:bidi w:val="0"/>
      </w:pPr>
      <w:bookmarkStart w:id="27" w:name="_Toc501837915"/>
      <w:bookmarkStart w:id="28" w:name="_Toc503903368"/>
      <w:bookmarkStart w:id="29" w:name="_Toc501837430"/>
      <w:bookmarkStart w:id="30" w:name="_Toc501384726"/>
      <w:r>
        <w:rPr>
          <w:rFonts w:hint="eastAsia"/>
        </w:rPr>
        <w:t>水污染问题</w:t>
      </w:r>
      <w:bookmarkEnd w:id="27"/>
      <w:bookmarkEnd w:id="28"/>
      <w:bookmarkEnd w:id="29"/>
      <w:bookmarkEnd w:id="30"/>
    </w:p>
    <w:p>
      <w:pPr>
        <w:bidi w:val="0"/>
        <w:rPr>
          <w:rFonts w:hint="eastAsia"/>
        </w:rPr>
      </w:pPr>
      <w:r>
        <w:rPr>
          <w:rFonts w:hint="eastAsia"/>
        </w:rPr>
        <w:t>根据赤溪河高跳蹬、溜沙坡处两个断面的水质检测结果，赤溪河整体水质较好，水质现状为Ⅲ类水，满足水功能区水质管理目标。根据现场调查，河道整体状况水质较好，但部分河段仍存在水污染情况，分析得出赤溪河主要污染源问题如下：</w:t>
      </w:r>
    </w:p>
    <w:p>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hAnsi="宋体"/>
          <w:sz w:val="30"/>
          <w:szCs w:val="30"/>
          <w:lang w:val="en-US" w:eastAsia="zh-CN"/>
        </w:rPr>
        <w:t>农业面源污染：</w:t>
      </w:r>
      <w:r>
        <w:rPr>
          <w:rFonts w:hint="eastAsia" w:ascii="方正仿宋_GBK" w:hAnsi="宋体" w:eastAsia="方正仿宋_GBK"/>
          <w:sz w:val="30"/>
          <w:szCs w:val="30"/>
        </w:rPr>
        <w:t>河道两岸，耕地率高，现代生态循环农业和农业废弃物资源化利用程度不高、农作物病虫害绿色防控和统防统治未全面推开，虽有使用农家肥，但化肥、农药投入量仍然较大，得不到有效利用，未能有效利用的化肥、农药随农灌退水进入赤溪河。</w:t>
      </w:r>
    </w:p>
    <w:p>
      <w:pPr>
        <w:pStyle w:val="4"/>
        <w:bidi w:val="0"/>
      </w:pPr>
      <w:bookmarkStart w:id="31" w:name="_Toc501837916"/>
      <w:bookmarkStart w:id="32" w:name="_Toc503903369"/>
      <w:bookmarkStart w:id="33" w:name="_Toc501384727"/>
      <w:bookmarkStart w:id="34" w:name="_Toc501837431"/>
      <w:r>
        <w:rPr>
          <w:rFonts w:hint="eastAsia"/>
        </w:rPr>
        <w:t>水环境问题</w:t>
      </w:r>
      <w:bookmarkEnd w:id="31"/>
      <w:bookmarkEnd w:id="32"/>
      <w:bookmarkEnd w:id="33"/>
      <w:bookmarkEnd w:id="34"/>
    </w:p>
    <w:p>
      <w:pPr>
        <w:bidi w:val="0"/>
        <w:rPr>
          <w:rFonts w:hint="default" w:eastAsia="方正仿宋_GBK"/>
          <w:lang w:val="en-US" w:eastAsia="zh-CN"/>
        </w:rPr>
      </w:pPr>
      <w:r>
        <w:rPr>
          <w:rFonts w:hint="eastAsia"/>
        </w:rPr>
        <w:t>区域内的</w:t>
      </w:r>
      <w:r>
        <w:rPr>
          <w:rFonts w:hint="eastAsia"/>
          <w:lang w:eastAsia="zh-CN"/>
        </w:rPr>
        <w:t>丰都县</w:t>
      </w:r>
      <w:r>
        <w:rPr>
          <w:rFonts w:hint="eastAsia"/>
        </w:rPr>
        <w:t>十直供水站水源地水质、水量在线监测能力薄弱，水源地建设不规范，一级保护区未设护栏，</w:t>
      </w:r>
      <w:r>
        <w:rPr>
          <w:rFonts w:hint="eastAsia"/>
          <w:lang w:val="en-US" w:eastAsia="zh-CN"/>
        </w:rPr>
        <w:t>标识标牌不完善。</w:t>
      </w:r>
    </w:p>
    <w:p>
      <w:pPr>
        <w:pStyle w:val="4"/>
        <w:bidi w:val="0"/>
      </w:pPr>
      <w:bookmarkStart w:id="35" w:name="_Toc501384729"/>
      <w:bookmarkStart w:id="36" w:name="_Toc503903371"/>
      <w:bookmarkStart w:id="37" w:name="_Toc501837433"/>
      <w:bookmarkStart w:id="38" w:name="_Toc501837918"/>
      <w:r>
        <w:rPr>
          <w:rFonts w:hint="eastAsia"/>
        </w:rPr>
        <w:t>水行政执法监管问题</w:t>
      </w:r>
      <w:bookmarkEnd w:id="35"/>
      <w:bookmarkEnd w:id="36"/>
      <w:bookmarkEnd w:id="37"/>
      <w:bookmarkEnd w:id="38"/>
    </w:p>
    <w:p>
      <w:pPr>
        <w:bidi w:val="0"/>
        <w:rPr>
          <w:rFonts w:hint="eastAsia"/>
        </w:rPr>
      </w:pPr>
      <w:r>
        <w:rPr>
          <w:rFonts w:hint="eastAsia"/>
        </w:rPr>
        <w:t>赤溪河流域内目前已建立相关执法机制、执法队伍及监管机制，工作中仍存在以下问题：</w:t>
      </w:r>
    </w:p>
    <w:p>
      <w:pPr>
        <w:bidi w:val="0"/>
        <w:rPr>
          <w:rFonts w:hint="eastAsia"/>
        </w:rPr>
      </w:pPr>
      <w:r>
        <w:rPr>
          <w:rFonts w:hint="eastAsia"/>
        </w:rPr>
        <w:t>1、随着河长制工作的深入，各部门联动执法机制的完善，实际工作中出现人手不足的现象。</w:t>
      </w:r>
    </w:p>
    <w:p>
      <w:pPr>
        <w:bidi w:val="0"/>
        <w:rPr>
          <w:rFonts w:hint="eastAsia"/>
        </w:rPr>
      </w:pPr>
      <w:r>
        <w:rPr>
          <w:rFonts w:hint="eastAsia"/>
        </w:rPr>
        <w:t>2、执法技术手段需进一步提高以适应新形势对行政执法工作的要求，部分执法工作还任重而道远。</w:t>
      </w:r>
    </w:p>
    <w:p>
      <w:pPr>
        <w:rPr>
          <w:rFonts w:hint="eastAsia"/>
        </w:rPr>
      </w:pPr>
    </w:p>
    <w:p>
      <w:pPr>
        <w:pStyle w:val="3"/>
        <w:numPr>
          <w:ilvl w:val="0"/>
          <w:numId w:val="2"/>
        </w:numPr>
        <w:bidi w:val="0"/>
        <w:sectPr>
          <w:pgSz w:w="11910" w:h="16840"/>
          <w:pgMar w:top="1580" w:right="1180" w:bottom="1680" w:left="1180" w:header="0" w:footer="1454" w:gutter="0"/>
          <w:pgNumType w:fmt="decimal"/>
          <w:cols w:space="720" w:num="1"/>
        </w:sectPr>
      </w:pPr>
    </w:p>
    <w:p>
      <w:pPr>
        <w:pStyle w:val="3"/>
        <w:bidi w:val="0"/>
      </w:pPr>
      <w:bookmarkStart w:id="39" w:name="_Toc15715"/>
      <w:r>
        <w:t>管理保护目标</w:t>
      </w:r>
      <w:bookmarkEnd w:id="39"/>
    </w:p>
    <w:p>
      <w:pPr>
        <w:pStyle w:val="2"/>
        <w:bidi w:val="0"/>
        <w:rPr>
          <w:rFonts w:hint="eastAsia"/>
        </w:rPr>
      </w:pPr>
      <w:bookmarkStart w:id="40" w:name="_Toc17110"/>
      <w:r>
        <w:rPr>
          <w:rFonts w:hint="eastAsia"/>
        </w:rPr>
        <w:t>水资源保护目标</w:t>
      </w:r>
      <w:bookmarkEnd w:id="40"/>
    </w:p>
    <w:p>
      <w:pPr>
        <w:spacing w:line="360" w:lineRule="auto"/>
        <w:ind w:firstLine="627" w:firstLineChars="196"/>
        <w:rPr>
          <w:rFonts w:hint="default" w:ascii="Times New Roman" w:hAnsi="Times New Roman"/>
          <w:highlight w:val="none"/>
        </w:rPr>
      </w:pPr>
      <w:r>
        <w:rPr>
          <w:rFonts w:hint="default" w:ascii="Times New Roman" w:hAnsi="Times New Roman"/>
          <w:highlight w:val="none"/>
        </w:rPr>
        <w:t>落实最严格水资源管理制度</w:t>
      </w:r>
    </w:p>
    <w:p>
      <w:pPr>
        <w:spacing w:line="360" w:lineRule="auto"/>
        <w:ind w:firstLine="640" w:firstLineChars="200"/>
        <w:rPr>
          <w:rFonts w:hint="default" w:ascii="Times New Roman" w:hAnsi="Times New Roman"/>
          <w:highlight w:val="none"/>
        </w:rPr>
      </w:pPr>
      <w:r>
        <w:rPr>
          <w:rFonts w:hint="default" w:ascii="Times New Roman" w:hAnsi="Times New Roman"/>
          <w:highlight w:val="none"/>
        </w:rPr>
        <w:t>具体</w:t>
      </w:r>
      <w:r>
        <w:rPr>
          <w:rFonts w:hint="eastAsia" w:ascii="Times New Roman" w:hAnsi="Times New Roman"/>
          <w:highlight w:val="none"/>
          <w:lang w:val="en-US" w:eastAsia="zh-CN"/>
        </w:rPr>
        <w:t>目标</w:t>
      </w:r>
      <w:r>
        <w:rPr>
          <w:rFonts w:ascii="Times New Roman" w:hAnsi="Times New Roman"/>
          <w:highlight w:val="none"/>
        </w:rPr>
        <w:t>：</w:t>
      </w:r>
      <w:r>
        <w:rPr>
          <w:rFonts w:hint="default" w:ascii="Times New Roman" w:hAnsi="Times New Roman"/>
          <w:highlight w:val="none"/>
        </w:rPr>
        <w:t>取用水必须符合用水总量、用水效率和水功能区水质达标率“三条红线”。</w:t>
      </w:r>
    </w:p>
    <w:p>
      <w:pPr>
        <w:spacing w:line="360" w:lineRule="auto"/>
        <w:ind w:firstLine="640" w:firstLineChars="200"/>
        <w:rPr>
          <w:rFonts w:hint="default" w:ascii="Times New Roman" w:hAnsi="Times New Roman"/>
          <w:highlight w:val="none"/>
        </w:rPr>
      </w:pPr>
      <w:r>
        <w:rPr>
          <w:rFonts w:ascii="Times New Roman" w:hAnsi="Times New Roman"/>
          <w:highlight w:val="none"/>
        </w:rPr>
        <w:t>目标制定依据：</w:t>
      </w:r>
      <w:r>
        <w:rPr>
          <w:rFonts w:hint="default" w:ascii="Times New Roman" w:hAnsi="Times New Roman"/>
          <w:highlight w:val="none"/>
        </w:rPr>
        <w:t>落实最严格水资源管理制度属于</w:t>
      </w:r>
      <w:r>
        <w:rPr>
          <w:rFonts w:ascii="Times New Roman" w:hAnsi="Times New Roman"/>
          <w:highlight w:val="none"/>
        </w:rPr>
        <w:t>制度监管、政策响应类目标，从本目标对应的管理保护任务与措施来看，推广节水技术、监管取用水是否合理等任务措施应贯穿于整个方案周期，以为水资源保护提供最强有力的制度监管保障。</w:t>
      </w:r>
    </w:p>
    <w:p>
      <w:pPr>
        <w:pStyle w:val="2"/>
        <w:bidi w:val="0"/>
        <w:rPr>
          <w:rFonts w:hint="eastAsia"/>
        </w:rPr>
      </w:pPr>
      <w:bookmarkStart w:id="41" w:name="_Toc3128"/>
      <w:r>
        <w:rPr>
          <w:rFonts w:hint="eastAsia"/>
        </w:rPr>
        <w:t>水域岸线管理保护目标</w:t>
      </w:r>
      <w:bookmarkEnd w:id="41"/>
    </w:p>
    <w:p>
      <w:pPr>
        <w:spacing w:line="360" w:lineRule="auto"/>
        <w:ind w:firstLine="640" w:firstLineChars="200"/>
        <w:rPr>
          <w:rFonts w:hint="default" w:ascii="Times New Roman" w:hAnsi="Times New Roman"/>
          <w:highlight w:val="none"/>
        </w:rPr>
      </w:pPr>
      <w:r>
        <w:rPr>
          <w:rFonts w:hint="default" w:ascii="Times New Roman" w:hAnsi="Times New Roman"/>
          <w:szCs w:val="24"/>
          <w:highlight w:val="none"/>
        </w:rPr>
        <w:t>目标内容</w:t>
      </w:r>
      <w:r>
        <w:rPr>
          <w:rFonts w:ascii="Times New Roman" w:hAnsi="Times New Roman"/>
          <w:szCs w:val="24"/>
          <w:highlight w:val="none"/>
        </w:rPr>
        <w:t>：</w:t>
      </w:r>
      <w:r>
        <w:rPr>
          <w:rFonts w:hint="default" w:ascii="Times New Roman" w:hAnsi="Times New Roman"/>
          <w:szCs w:val="24"/>
          <w:highlight w:val="none"/>
        </w:rPr>
        <w:t>到202</w:t>
      </w:r>
      <w:r>
        <w:rPr>
          <w:rFonts w:hint="eastAsia" w:ascii="Times New Roman" w:hAnsi="Times New Roman"/>
          <w:szCs w:val="24"/>
          <w:highlight w:val="none"/>
          <w:lang w:val="en-US" w:eastAsia="zh-CN"/>
        </w:rPr>
        <w:t>3</w:t>
      </w:r>
      <w:r>
        <w:rPr>
          <w:rFonts w:hint="default" w:ascii="Times New Roman" w:hAnsi="Times New Roman"/>
          <w:szCs w:val="24"/>
          <w:highlight w:val="none"/>
        </w:rPr>
        <w:t>年，完成水域岸线保护与开发利用规划的编制及生态空间划定工作</w:t>
      </w:r>
      <w:r>
        <w:rPr>
          <w:rFonts w:ascii="Times New Roman" w:hAnsi="Times New Roman"/>
          <w:szCs w:val="24"/>
          <w:highlight w:val="none"/>
        </w:rPr>
        <w:t>。</w:t>
      </w:r>
    </w:p>
    <w:p>
      <w:pPr>
        <w:spacing w:line="360" w:lineRule="auto"/>
        <w:ind w:firstLine="640" w:firstLineChars="200"/>
        <w:rPr>
          <w:rFonts w:hint="default" w:ascii="Times New Roman" w:hAnsi="Times New Roman"/>
          <w:highlight w:val="none"/>
        </w:rPr>
      </w:pPr>
      <w:r>
        <w:rPr>
          <w:rFonts w:ascii="Times New Roman" w:hAnsi="Times New Roman"/>
          <w:highlight w:val="none"/>
        </w:rPr>
        <w:t>目标制定</w:t>
      </w:r>
      <w:r>
        <w:rPr>
          <w:rFonts w:hint="default" w:ascii="Times New Roman" w:hAnsi="Times New Roman"/>
          <w:highlight w:val="none"/>
        </w:rPr>
        <w:t>依据</w:t>
      </w:r>
      <w:r>
        <w:rPr>
          <w:rFonts w:ascii="Times New Roman" w:hAnsi="Times New Roman"/>
          <w:highlight w:val="none"/>
        </w:rPr>
        <w:t>：编制河湖岸线保护与利用规划，划定岸线功能分区，是中央全面推行河长制湖长制明确的重要任务，是加强岸线空间管控的重要基础，是推动岸线有效保护和合理利用的重要措施，对于保障河势稳定和防洪安全、供水安全、航运安全、生态安全具有重要意义。根据《水利部办公厅关于印发河湖岸线保护与利用规划编制指南（试行)的通知》（[2019]394号）要求，各地各有关单位高度重视，根据《指南》要求并结合河湖岸线管理实际，抓紧组织开展河湖岸线保护与利用规划编制工作。结合</w:t>
      </w:r>
      <w:r>
        <w:rPr>
          <w:rFonts w:hint="default" w:ascii="Times New Roman" w:hAnsi="Times New Roman"/>
          <w:highlight w:val="none"/>
        </w:rPr>
        <w:t>咨询行业内相关资深专家</w:t>
      </w:r>
      <w:r>
        <w:rPr>
          <w:rFonts w:ascii="Times New Roman" w:hAnsi="Times New Roman"/>
          <w:highlight w:val="none"/>
        </w:rPr>
        <w:t>、</w:t>
      </w:r>
      <w:r>
        <w:rPr>
          <w:rFonts w:hint="default" w:ascii="Times New Roman" w:hAnsi="Times New Roman"/>
          <w:highlight w:val="none"/>
        </w:rPr>
        <w:t>学者</w:t>
      </w:r>
      <w:r>
        <w:rPr>
          <w:rFonts w:ascii="Times New Roman" w:hAnsi="Times New Roman"/>
          <w:highlight w:val="none"/>
        </w:rPr>
        <w:t>，</w:t>
      </w:r>
      <w:r>
        <w:rPr>
          <w:rFonts w:hint="default" w:ascii="Times New Roman" w:hAnsi="Times New Roman"/>
          <w:highlight w:val="none"/>
        </w:rPr>
        <w:t>完成此类报告的编制工作所需最大限度时间约</w:t>
      </w:r>
      <w:r>
        <w:rPr>
          <w:rFonts w:ascii="Times New Roman" w:hAnsi="Times New Roman"/>
          <w:highlight w:val="none"/>
        </w:rPr>
        <w:t>6个月，</w:t>
      </w:r>
      <w:r>
        <w:rPr>
          <w:rFonts w:hint="default" w:ascii="Times New Roman" w:hAnsi="Times New Roman"/>
          <w:highlight w:val="none"/>
        </w:rPr>
        <w:t>从签订合同开始至收集资料和踏勘现场</w:t>
      </w:r>
      <w:r>
        <w:rPr>
          <w:rFonts w:ascii="Times New Roman" w:hAnsi="Times New Roman"/>
          <w:highlight w:val="none"/>
        </w:rPr>
        <w:t>、</w:t>
      </w:r>
      <w:r>
        <w:rPr>
          <w:rFonts w:hint="default" w:ascii="Times New Roman" w:hAnsi="Times New Roman"/>
          <w:highlight w:val="none"/>
        </w:rPr>
        <w:t>编制报告</w:t>
      </w:r>
      <w:r>
        <w:rPr>
          <w:rFonts w:ascii="Times New Roman" w:hAnsi="Times New Roman"/>
          <w:highlight w:val="none"/>
        </w:rPr>
        <w:t>、</w:t>
      </w:r>
      <w:r>
        <w:rPr>
          <w:rFonts w:hint="default" w:ascii="Times New Roman" w:hAnsi="Times New Roman"/>
          <w:highlight w:val="none"/>
        </w:rPr>
        <w:t>与各部门的对接</w:t>
      </w:r>
      <w:r>
        <w:rPr>
          <w:rFonts w:ascii="Times New Roman" w:hAnsi="Times New Roman"/>
          <w:highlight w:val="none"/>
        </w:rPr>
        <w:t>、</w:t>
      </w:r>
      <w:r>
        <w:rPr>
          <w:rFonts w:hint="default" w:ascii="Times New Roman" w:hAnsi="Times New Roman"/>
          <w:highlight w:val="none"/>
        </w:rPr>
        <w:t>进行报告评审会等事宜</w:t>
      </w:r>
      <w:r>
        <w:rPr>
          <w:rFonts w:ascii="Times New Roman" w:hAnsi="Times New Roman"/>
          <w:highlight w:val="none"/>
        </w:rPr>
        <w:t>，所需最大限度时间约4个月，</w:t>
      </w:r>
      <w:r>
        <w:rPr>
          <w:rFonts w:hint="default" w:ascii="Times New Roman" w:hAnsi="Times New Roman"/>
          <w:highlight w:val="none"/>
        </w:rPr>
        <w:t>再至报告取得批复</w:t>
      </w:r>
      <w:r>
        <w:rPr>
          <w:rFonts w:ascii="Times New Roman" w:hAnsi="Times New Roman"/>
          <w:highlight w:val="none"/>
        </w:rPr>
        <w:t>，</w:t>
      </w:r>
      <w:r>
        <w:rPr>
          <w:rFonts w:hint="default" w:ascii="Times New Roman" w:hAnsi="Times New Roman"/>
          <w:highlight w:val="none"/>
        </w:rPr>
        <w:t>政府发文等流程</w:t>
      </w:r>
      <w:r>
        <w:rPr>
          <w:rFonts w:ascii="Times New Roman" w:hAnsi="Times New Roman"/>
          <w:highlight w:val="none"/>
        </w:rPr>
        <w:t>，累计时间约6个月。由于本方案仍处于专家审查过程，考虑到本方案在本年内（202</w:t>
      </w:r>
      <w:r>
        <w:rPr>
          <w:rFonts w:hint="eastAsia" w:ascii="Times New Roman" w:hAnsi="Times New Roman"/>
          <w:highlight w:val="none"/>
          <w:lang w:val="en-US" w:eastAsia="zh-CN"/>
        </w:rPr>
        <w:t>2</w:t>
      </w:r>
      <w:r>
        <w:rPr>
          <w:rFonts w:ascii="Times New Roman" w:hAnsi="Times New Roman"/>
          <w:highlight w:val="none"/>
        </w:rPr>
        <w:t>年）的生效时间及相关任务落实、归属权责仍需要一段时间，因此，将本目标定于202</w:t>
      </w:r>
      <w:r>
        <w:rPr>
          <w:rFonts w:hint="eastAsia" w:ascii="Times New Roman" w:hAnsi="Times New Roman"/>
          <w:highlight w:val="none"/>
          <w:lang w:val="en-US" w:eastAsia="zh-CN"/>
        </w:rPr>
        <w:t>3</w:t>
      </w:r>
      <w:r>
        <w:rPr>
          <w:rFonts w:ascii="Times New Roman" w:hAnsi="Times New Roman"/>
          <w:highlight w:val="none"/>
        </w:rPr>
        <w:t>年完成。</w:t>
      </w:r>
    </w:p>
    <w:p>
      <w:pPr>
        <w:pStyle w:val="2"/>
        <w:bidi w:val="0"/>
        <w:rPr>
          <w:rFonts w:hint="eastAsia"/>
        </w:rPr>
      </w:pPr>
      <w:bookmarkStart w:id="42" w:name="_Toc12875"/>
      <w:r>
        <w:rPr>
          <w:rFonts w:hint="eastAsia"/>
        </w:rPr>
        <w:t>水污染防治目标</w:t>
      </w:r>
      <w:bookmarkEnd w:id="42"/>
    </w:p>
    <w:p>
      <w:pPr>
        <w:spacing w:line="360" w:lineRule="auto"/>
        <w:ind w:firstLine="480"/>
        <w:rPr>
          <w:rFonts w:hint="eastAsia" w:ascii="Times New Roman" w:hAnsi="Times New Roman" w:eastAsia="方正仿宋_GBK"/>
          <w:lang w:eastAsia="zh-CN"/>
        </w:rPr>
      </w:pPr>
      <w:r>
        <w:rPr>
          <w:rFonts w:hint="default" w:ascii="Times New Roman" w:hAnsi="Times New Roman"/>
        </w:rPr>
        <w:t>农业面源污染</w:t>
      </w:r>
      <w:r>
        <w:rPr>
          <w:rFonts w:hint="eastAsia" w:ascii="Times New Roman" w:hAnsi="Times New Roman"/>
          <w:lang w:val="en-US" w:eastAsia="zh-CN"/>
        </w:rPr>
        <w:t>整治</w:t>
      </w:r>
    </w:p>
    <w:p>
      <w:pPr>
        <w:bidi w:val="0"/>
        <w:rPr>
          <w:rFonts w:hint="default"/>
        </w:rPr>
      </w:pPr>
      <w:r>
        <w:rPr>
          <w:rFonts w:hint="default"/>
        </w:rPr>
        <w:t>具体</w:t>
      </w:r>
      <w:r>
        <w:rPr>
          <w:rFonts w:hint="eastAsia"/>
          <w:lang w:val="en-US" w:eastAsia="zh-CN"/>
        </w:rPr>
        <w:t>目标</w:t>
      </w:r>
      <w:r>
        <w:t>：</w:t>
      </w:r>
      <w:r>
        <w:rPr>
          <w:rFonts w:hint="default"/>
        </w:rPr>
        <w:t>农业面源污染负荷</w:t>
      </w:r>
      <w:r>
        <w:rPr>
          <w:rFonts w:hint="eastAsia"/>
          <w:lang w:val="en-US" w:eastAsia="zh-CN"/>
        </w:rPr>
        <w:t>维持现状，实现零增长</w:t>
      </w:r>
      <w:r>
        <w:rPr>
          <w:rFonts w:hint="default"/>
        </w:rPr>
        <w:t>。</w:t>
      </w:r>
    </w:p>
    <w:p>
      <w:pPr>
        <w:bidi w:val="0"/>
        <w:rPr>
          <w:rFonts w:hint="eastAsia"/>
        </w:rPr>
      </w:pPr>
      <w:r>
        <w:t>目标制定</w:t>
      </w:r>
      <w:r>
        <w:rPr>
          <w:rFonts w:hint="default"/>
        </w:rPr>
        <w:t>依据</w:t>
      </w:r>
      <w:r>
        <w:t>：流域内的农田、耕地在2021-2025年面积不调整，因此，到2025年保持现有排污水平不变。根据《中华人民共和国水污染防治法》相关要求，水污染防治应做到“应治尽治”。因此，</w:t>
      </w:r>
      <w:r>
        <w:rPr>
          <w:rFonts w:hint="default"/>
        </w:rPr>
        <w:t>结合现状污染负荷分析</w:t>
      </w:r>
      <w:r>
        <w:t>，</w:t>
      </w:r>
      <w:r>
        <w:rPr>
          <w:rFonts w:hint="default"/>
        </w:rPr>
        <w:t>农业面源污染治理目标为削减现状排污量</w:t>
      </w:r>
      <w:r>
        <w:t>。从制定的具体任务措施来看，属于监督管控类措施，因此，将本目标制定于2025年实现。</w:t>
      </w:r>
    </w:p>
    <w:p>
      <w:pPr>
        <w:pStyle w:val="2"/>
        <w:bidi w:val="0"/>
        <w:rPr>
          <w:rFonts w:hint="eastAsia"/>
        </w:rPr>
      </w:pPr>
      <w:bookmarkStart w:id="43" w:name="_Toc19225"/>
      <w:r>
        <w:rPr>
          <w:rFonts w:hint="eastAsia"/>
        </w:rPr>
        <w:t>水环境治理目标</w:t>
      </w:r>
      <w:bookmarkEnd w:id="43"/>
    </w:p>
    <w:p>
      <w:pPr>
        <w:numPr>
          <w:ilvl w:val="0"/>
          <w:numId w:val="13"/>
        </w:numPr>
        <w:bidi w:val="0"/>
        <w:ind w:left="425" w:leftChars="0" w:right="0" w:rightChars="0" w:hanging="425" w:firstLineChars="0"/>
        <w:outlineLvl w:val="2"/>
        <w:rPr>
          <w:rFonts w:hint="default"/>
        </w:rPr>
      </w:pPr>
      <w:r>
        <w:rPr>
          <w:rFonts w:hint="default"/>
        </w:rPr>
        <w:t>水质目标</w:t>
      </w:r>
    </w:p>
    <w:p>
      <w:pPr>
        <w:bidi w:val="0"/>
        <w:rPr>
          <w:rFonts w:hint="default" w:ascii="Times New Roman" w:hAnsi="Times New Roman"/>
        </w:rPr>
      </w:pPr>
      <w:r>
        <w:t>具体</w:t>
      </w:r>
      <w:r>
        <w:rPr>
          <w:rFonts w:hint="eastAsia"/>
          <w:lang w:val="en-US" w:eastAsia="zh-CN"/>
        </w:rPr>
        <w:t>目标</w:t>
      </w:r>
      <w:r>
        <w:t>：</w:t>
      </w:r>
      <w:r>
        <w:rPr>
          <w:rFonts w:hint="eastAsia"/>
          <w:lang w:eastAsia="zh-CN"/>
        </w:rPr>
        <w:t>赤溪河</w:t>
      </w:r>
      <w:r>
        <w:rPr>
          <w:rFonts w:hint="default"/>
        </w:rPr>
        <w:t>流域出入境断面水质主要监测因子达到Ⅲ标准</w:t>
      </w:r>
      <w:r>
        <w:t>。</w:t>
      </w:r>
      <w:r>
        <w:rPr>
          <w:rFonts w:hint="default"/>
        </w:rPr>
        <w:t>目标如下，保持达到《地表水环境质量标准》（GB3838-2002）Ⅲ标准。</w:t>
      </w:r>
    </w:p>
    <w:p>
      <w:pPr>
        <w:pStyle w:val="25"/>
        <w:bidi w:val="0"/>
        <w:rPr>
          <w:rFonts w:ascii="Times New Roman" w:hAnsi="Times New Roman" w:cs="Times New Roman"/>
          <w:sz w:val="21"/>
          <w:szCs w:val="20"/>
        </w:rPr>
      </w:pPr>
      <w:r>
        <w:rPr>
          <w:rFonts w:ascii="Times New Roman" w:hAnsi="Times New Roman" w:cs="Times New Roman"/>
          <w:sz w:val="21"/>
          <w:szCs w:val="20"/>
        </w:rPr>
        <w:t xml:space="preserve">               </w:t>
      </w:r>
    </w:p>
    <w:p>
      <w:pPr>
        <w:pStyle w:val="25"/>
        <w:bidi w:val="0"/>
        <w:rPr>
          <w:rFonts w:ascii="Times New Roman" w:hAnsi="Times New Roman" w:cs="Times New Roman"/>
          <w:sz w:val="21"/>
          <w:szCs w:val="20"/>
        </w:rPr>
      </w:pPr>
      <w:r>
        <w:rPr>
          <w:rFonts w:ascii="Times New Roman" w:hAnsi="Times New Roman" w:cs="Times New Roman"/>
          <w:sz w:val="21"/>
          <w:szCs w:val="20"/>
        </w:rPr>
        <w:t>表4.4-1</w:t>
      </w:r>
      <w:r>
        <w:rPr>
          <w:rFonts w:ascii="Times New Roman" w:hAnsi="Times New Roman" w:cs="Times New Roman"/>
          <w:kern w:val="0"/>
          <w:sz w:val="21"/>
          <w:szCs w:val="20"/>
        </w:rPr>
        <w:t>地表水环境质量标注基本项目标准限值</w:t>
      </w:r>
      <w:r>
        <w:rPr>
          <w:rFonts w:hint="eastAsia" w:ascii="Times New Roman" w:hAnsi="Times New Roman" w:cs="Times New Roman"/>
          <w:kern w:val="0"/>
          <w:sz w:val="21"/>
          <w:szCs w:val="20"/>
        </w:rPr>
        <w:t xml:space="preserve">    </w:t>
      </w:r>
      <w:r>
        <w:rPr>
          <w:rFonts w:ascii="Times New Roman" w:hAnsi="Times New Roman" w:cs="Times New Roman"/>
          <w:b w:val="0"/>
          <w:sz w:val="18"/>
          <w:szCs w:val="20"/>
        </w:rPr>
        <w:t xml:space="preserve">单位：毫克/升 </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975"/>
        <w:gridCol w:w="975"/>
        <w:gridCol w:w="975"/>
        <w:gridCol w:w="977"/>
        <w:gridCol w:w="978"/>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trPr>
        <w:tc>
          <w:tcPr>
            <w:tcW w:w="2665" w:type="dxa"/>
            <w:vAlign w:val="center"/>
          </w:tcPr>
          <w:p>
            <w:pPr>
              <w:pStyle w:val="25"/>
              <w:bidi w:val="0"/>
              <w:rPr>
                <w:rFonts w:hint="default"/>
              </w:rPr>
            </w:pPr>
            <w:r>
              <w:rPr>
                <w:rFonts w:hint="default"/>
              </w:rPr>
              <w:t>项目</w:t>
            </w:r>
          </w:p>
        </w:tc>
        <w:tc>
          <w:tcPr>
            <w:tcW w:w="975" w:type="dxa"/>
            <w:vAlign w:val="center"/>
          </w:tcPr>
          <w:p>
            <w:pPr>
              <w:pStyle w:val="25"/>
              <w:bidi w:val="0"/>
              <w:rPr>
                <w:rFonts w:hint="default"/>
              </w:rPr>
            </w:pPr>
            <w:r>
              <w:rPr>
                <w:rFonts w:hint="default"/>
              </w:rPr>
              <w:t>标准</w:t>
            </w:r>
          </w:p>
        </w:tc>
        <w:tc>
          <w:tcPr>
            <w:tcW w:w="975" w:type="dxa"/>
            <w:vAlign w:val="center"/>
          </w:tcPr>
          <w:p>
            <w:pPr>
              <w:pStyle w:val="25"/>
              <w:bidi w:val="0"/>
              <w:rPr>
                <w:rFonts w:hint="default"/>
              </w:rPr>
            </w:pPr>
            <w:r>
              <w:rPr>
                <w:rFonts w:hint="default"/>
              </w:rPr>
              <w:t>Ⅰ</w:t>
            </w:r>
          </w:p>
        </w:tc>
        <w:tc>
          <w:tcPr>
            <w:tcW w:w="975" w:type="dxa"/>
            <w:vAlign w:val="center"/>
          </w:tcPr>
          <w:p>
            <w:pPr>
              <w:pStyle w:val="25"/>
              <w:bidi w:val="0"/>
              <w:rPr>
                <w:rFonts w:hint="default"/>
              </w:rPr>
            </w:pPr>
            <w:r>
              <w:rPr>
                <w:rFonts w:hint="default"/>
              </w:rPr>
              <w:t>Ⅱ</w:t>
            </w:r>
          </w:p>
        </w:tc>
        <w:tc>
          <w:tcPr>
            <w:tcW w:w="977" w:type="dxa"/>
            <w:vAlign w:val="center"/>
          </w:tcPr>
          <w:p>
            <w:pPr>
              <w:pStyle w:val="25"/>
              <w:bidi w:val="0"/>
              <w:rPr>
                <w:rFonts w:hint="default"/>
              </w:rPr>
            </w:pPr>
            <w:r>
              <w:rPr>
                <w:rFonts w:hint="default"/>
              </w:rPr>
              <w:t>Ⅲ</w:t>
            </w:r>
          </w:p>
        </w:tc>
        <w:tc>
          <w:tcPr>
            <w:tcW w:w="978" w:type="dxa"/>
            <w:vAlign w:val="center"/>
          </w:tcPr>
          <w:p>
            <w:pPr>
              <w:pStyle w:val="25"/>
              <w:bidi w:val="0"/>
              <w:rPr>
                <w:rFonts w:hint="default"/>
              </w:rPr>
            </w:pPr>
            <w:r>
              <w:rPr>
                <w:rFonts w:hint="default"/>
              </w:rPr>
              <w:t>Ⅳ</w:t>
            </w:r>
          </w:p>
        </w:tc>
        <w:tc>
          <w:tcPr>
            <w:tcW w:w="977" w:type="dxa"/>
            <w:vAlign w:val="center"/>
          </w:tcPr>
          <w:p>
            <w:pPr>
              <w:pStyle w:val="25"/>
              <w:bidi w:val="0"/>
              <w:rPr>
                <w:rFonts w:hint="default"/>
              </w:rPr>
            </w:pPr>
            <w:r>
              <w:rPr>
                <w:rFonts w:hint="default"/>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pPr>
              <w:pStyle w:val="25"/>
              <w:bidi w:val="0"/>
              <w:rPr>
                <w:rFonts w:hint="default"/>
              </w:rPr>
            </w:pPr>
            <w:r>
              <w:rPr>
                <w:rFonts w:hint="default"/>
              </w:rPr>
              <w:t>DO</w:t>
            </w:r>
          </w:p>
        </w:tc>
        <w:tc>
          <w:tcPr>
            <w:tcW w:w="975" w:type="dxa"/>
            <w:vAlign w:val="center"/>
          </w:tcPr>
          <w:p>
            <w:pPr>
              <w:pStyle w:val="25"/>
              <w:bidi w:val="0"/>
              <w:rPr>
                <w:rFonts w:hint="default"/>
              </w:rPr>
            </w:pPr>
            <w:r>
              <w:rPr>
                <w:rFonts w:hint="default"/>
              </w:rPr>
              <w:t>≥</w:t>
            </w:r>
          </w:p>
        </w:tc>
        <w:tc>
          <w:tcPr>
            <w:tcW w:w="975" w:type="dxa"/>
            <w:vAlign w:val="center"/>
          </w:tcPr>
          <w:p>
            <w:pPr>
              <w:pStyle w:val="25"/>
              <w:bidi w:val="0"/>
              <w:rPr>
                <w:rFonts w:hint="default"/>
              </w:rPr>
            </w:pPr>
            <w:r>
              <w:rPr>
                <w:rFonts w:hint="default"/>
              </w:rPr>
              <w:t>7.5</w:t>
            </w:r>
          </w:p>
        </w:tc>
        <w:tc>
          <w:tcPr>
            <w:tcW w:w="975" w:type="dxa"/>
            <w:vAlign w:val="center"/>
          </w:tcPr>
          <w:p>
            <w:pPr>
              <w:pStyle w:val="25"/>
              <w:bidi w:val="0"/>
              <w:rPr>
                <w:rFonts w:hint="default"/>
              </w:rPr>
            </w:pPr>
            <w:r>
              <w:rPr>
                <w:rFonts w:hint="default"/>
              </w:rPr>
              <w:t>6</w:t>
            </w:r>
          </w:p>
        </w:tc>
        <w:tc>
          <w:tcPr>
            <w:tcW w:w="977" w:type="dxa"/>
            <w:vAlign w:val="center"/>
          </w:tcPr>
          <w:p>
            <w:pPr>
              <w:pStyle w:val="25"/>
              <w:bidi w:val="0"/>
              <w:rPr>
                <w:rFonts w:hint="default"/>
              </w:rPr>
            </w:pPr>
            <w:r>
              <w:rPr>
                <w:rFonts w:hint="default"/>
              </w:rPr>
              <w:t>5</w:t>
            </w:r>
          </w:p>
        </w:tc>
        <w:tc>
          <w:tcPr>
            <w:tcW w:w="978" w:type="dxa"/>
            <w:vAlign w:val="center"/>
          </w:tcPr>
          <w:p>
            <w:pPr>
              <w:pStyle w:val="25"/>
              <w:bidi w:val="0"/>
              <w:rPr>
                <w:rFonts w:hint="default"/>
              </w:rPr>
            </w:pPr>
            <w:r>
              <w:rPr>
                <w:rFonts w:hint="default"/>
              </w:rPr>
              <w:t>3</w:t>
            </w:r>
          </w:p>
        </w:tc>
        <w:tc>
          <w:tcPr>
            <w:tcW w:w="977" w:type="dxa"/>
            <w:vAlign w:val="center"/>
          </w:tcPr>
          <w:p>
            <w:pPr>
              <w:pStyle w:val="25"/>
              <w:bidi w:val="0"/>
              <w:rPr>
                <w:rFonts w:hint="default"/>
              </w:rPr>
            </w:pPr>
            <w:r>
              <w:rPr>
                <w:rFonts w:hint="defaul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pPr>
              <w:pStyle w:val="25"/>
              <w:bidi w:val="0"/>
              <w:rPr>
                <w:rFonts w:hint="default" w:eastAsia="方正仿宋_GBK"/>
                <w:lang w:val="en-US" w:eastAsia="zh-CN"/>
              </w:rPr>
            </w:pPr>
            <w:r>
              <w:rPr>
                <w:rFonts w:hint="eastAsia"/>
                <w:lang w:val="en-US" w:eastAsia="zh-CN"/>
              </w:rPr>
              <w:t>COD</w:t>
            </w:r>
          </w:p>
        </w:tc>
        <w:tc>
          <w:tcPr>
            <w:tcW w:w="975" w:type="dxa"/>
            <w:vAlign w:val="center"/>
          </w:tcPr>
          <w:p>
            <w:pPr>
              <w:pStyle w:val="25"/>
              <w:bidi w:val="0"/>
              <w:rPr>
                <w:rFonts w:hint="default"/>
              </w:rPr>
            </w:pPr>
            <w:r>
              <w:rPr>
                <w:rFonts w:hint="default"/>
              </w:rPr>
              <w:t>≤</w:t>
            </w:r>
          </w:p>
        </w:tc>
        <w:tc>
          <w:tcPr>
            <w:tcW w:w="975" w:type="dxa"/>
            <w:vAlign w:val="center"/>
          </w:tcPr>
          <w:p>
            <w:pPr>
              <w:pStyle w:val="25"/>
              <w:bidi w:val="0"/>
              <w:rPr>
                <w:rFonts w:hint="default" w:eastAsia="方正仿宋_GBK"/>
                <w:lang w:val="en-US" w:eastAsia="zh-CN"/>
              </w:rPr>
            </w:pPr>
            <w:r>
              <w:rPr>
                <w:rFonts w:hint="eastAsia"/>
                <w:lang w:val="en-US" w:eastAsia="zh-CN"/>
              </w:rPr>
              <w:t>15</w:t>
            </w:r>
          </w:p>
        </w:tc>
        <w:tc>
          <w:tcPr>
            <w:tcW w:w="975" w:type="dxa"/>
            <w:vAlign w:val="center"/>
          </w:tcPr>
          <w:p>
            <w:pPr>
              <w:pStyle w:val="25"/>
              <w:bidi w:val="0"/>
              <w:rPr>
                <w:rFonts w:hint="default" w:eastAsia="方正仿宋_GBK"/>
                <w:lang w:val="en-US" w:eastAsia="zh-CN"/>
              </w:rPr>
            </w:pPr>
            <w:r>
              <w:rPr>
                <w:rFonts w:hint="eastAsia"/>
                <w:lang w:val="en-US" w:eastAsia="zh-CN"/>
              </w:rPr>
              <w:t>15</w:t>
            </w:r>
          </w:p>
        </w:tc>
        <w:tc>
          <w:tcPr>
            <w:tcW w:w="977" w:type="dxa"/>
            <w:vAlign w:val="center"/>
          </w:tcPr>
          <w:p>
            <w:pPr>
              <w:pStyle w:val="25"/>
              <w:bidi w:val="0"/>
              <w:rPr>
                <w:rFonts w:hint="default" w:eastAsia="方正仿宋_GBK"/>
                <w:lang w:val="en-US" w:eastAsia="zh-CN"/>
              </w:rPr>
            </w:pPr>
            <w:r>
              <w:rPr>
                <w:rFonts w:hint="eastAsia"/>
                <w:lang w:val="en-US" w:eastAsia="zh-CN"/>
              </w:rPr>
              <w:t>20</w:t>
            </w:r>
          </w:p>
        </w:tc>
        <w:tc>
          <w:tcPr>
            <w:tcW w:w="978" w:type="dxa"/>
            <w:vAlign w:val="center"/>
          </w:tcPr>
          <w:p>
            <w:pPr>
              <w:pStyle w:val="25"/>
              <w:bidi w:val="0"/>
              <w:rPr>
                <w:rFonts w:hint="default" w:eastAsia="方正仿宋_GBK"/>
                <w:lang w:val="en-US" w:eastAsia="zh-CN"/>
              </w:rPr>
            </w:pPr>
            <w:r>
              <w:rPr>
                <w:rFonts w:hint="eastAsia"/>
                <w:lang w:val="en-US" w:eastAsia="zh-CN"/>
              </w:rPr>
              <w:t>30</w:t>
            </w:r>
          </w:p>
        </w:tc>
        <w:tc>
          <w:tcPr>
            <w:tcW w:w="977" w:type="dxa"/>
            <w:vAlign w:val="center"/>
          </w:tcPr>
          <w:p>
            <w:pPr>
              <w:pStyle w:val="25"/>
              <w:bidi w:val="0"/>
              <w:rPr>
                <w:rFonts w:hint="default" w:eastAsia="方正仿宋_GBK"/>
                <w:lang w:val="en-US" w:eastAsia="zh-CN"/>
              </w:rPr>
            </w:pPr>
            <w:r>
              <w:rPr>
                <w:rFonts w:hint="eastAsia"/>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pPr>
              <w:pStyle w:val="25"/>
              <w:bidi w:val="0"/>
              <w:rPr>
                <w:rFonts w:hint="default"/>
              </w:rPr>
            </w:pPr>
            <w:r>
              <w:rPr>
                <w:rFonts w:hint="default"/>
              </w:rPr>
              <w:t>高锰酸盐指数</w:t>
            </w:r>
          </w:p>
        </w:tc>
        <w:tc>
          <w:tcPr>
            <w:tcW w:w="975" w:type="dxa"/>
            <w:vAlign w:val="center"/>
          </w:tcPr>
          <w:p>
            <w:pPr>
              <w:pStyle w:val="25"/>
              <w:bidi w:val="0"/>
              <w:rPr>
                <w:rFonts w:hint="default"/>
              </w:rPr>
            </w:pPr>
            <w:r>
              <w:rPr>
                <w:rFonts w:hint="default"/>
              </w:rPr>
              <w:t>≤</w:t>
            </w:r>
          </w:p>
        </w:tc>
        <w:tc>
          <w:tcPr>
            <w:tcW w:w="975" w:type="dxa"/>
            <w:vAlign w:val="center"/>
          </w:tcPr>
          <w:p>
            <w:pPr>
              <w:pStyle w:val="25"/>
              <w:bidi w:val="0"/>
              <w:rPr>
                <w:rFonts w:hint="default"/>
              </w:rPr>
            </w:pPr>
            <w:r>
              <w:rPr>
                <w:rFonts w:hint="default"/>
              </w:rPr>
              <w:t>2</w:t>
            </w:r>
          </w:p>
        </w:tc>
        <w:tc>
          <w:tcPr>
            <w:tcW w:w="975" w:type="dxa"/>
            <w:vAlign w:val="center"/>
          </w:tcPr>
          <w:p>
            <w:pPr>
              <w:pStyle w:val="25"/>
              <w:bidi w:val="0"/>
              <w:rPr>
                <w:rFonts w:hint="default"/>
              </w:rPr>
            </w:pPr>
            <w:r>
              <w:rPr>
                <w:rFonts w:hint="default"/>
              </w:rPr>
              <w:t>4</w:t>
            </w:r>
          </w:p>
        </w:tc>
        <w:tc>
          <w:tcPr>
            <w:tcW w:w="977" w:type="dxa"/>
            <w:vAlign w:val="center"/>
          </w:tcPr>
          <w:p>
            <w:pPr>
              <w:pStyle w:val="25"/>
              <w:bidi w:val="0"/>
              <w:rPr>
                <w:rFonts w:hint="default"/>
              </w:rPr>
            </w:pPr>
            <w:r>
              <w:rPr>
                <w:rFonts w:hint="default"/>
              </w:rPr>
              <w:t>6</w:t>
            </w:r>
          </w:p>
        </w:tc>
        <w:tc>
          <w:tcPr>
            <w:tcW w:w="978" w:type="dxa"/>
            <w:vAlign w:val="center"/>
          </w:tcPr>
          <w:p>
            <w:pPr>
              <w:pStyle w:val="25"/>
              <w:bidi w:val="0"/>
              <w:rPr>
                <w:rFonts w:hint="default"/>
              </w:rPr>
            </w:pPr>
            <w:r>
              <w:rPr>
                <w:rFonts w:hint="default"/>
              </w:rPr>
              <w:t>10</w:t>
            </w:r>
          </w:p>
        </w:tc>
        <w:tc>
          <w:tcPr>
            <w:tcW w:w="977" w:type="dxa"/>
            <w:vAlign w:val="center"/>
          </w:tcPr>
          <w:p>
            <w:pPr>
              <w:pStyle w:val="25"/>
              <w:bidi w:val="0"/>
              <w:rPr>
                <w:rFonts w:hint="default"/>
              </w:rPr>
            </w:pPr>
            <w:r>
              <w:rPr>
                <w:rFonts w:hint="default"/>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pPr>
              <w:pStyle w:val="25"/>
              <w:bidi w:val="0"/>
              <w:rPr>
                <w:rFonts w:hint="default"/>
              </w:rPr>
            </w:pPr>
            <w:r>
              <w:rPr>
                <w:rFonts w:hint="default"/>
              </w:rPr>
              <w:t>BOD</w:t>
            </w:r>
            <w:r>
              <w:rPr>
                <w:rFonts w:hint="default"/>
                <w:vertAlign w:val="subscript"/>
              </w:rPr>
              <w:t>5</w:t>
            </w:r>
          </w:p>
        </w:tc>
        <w:tc>
          <w:tcPr>
            <w:tcW w:w="975" w:type="dxa"/>
            <w:vAlign w:val="center"/>
          </w:tcPr>
          <w:p>
            <w:pPr>
              <w:pStyle w:val="25"/>
              <w:bidi w:val="0"/>
              <w:rPr>
                <w:rFonts w:hint="default"/>
              </w:rPr>
            </w:pPr>
            <w:r>
              <w:rPr>
                <w:rFonts w:hint="default"/>
              </w:rPr>
              <w:t>≤</w:t>
            </w:r>
          </w:p>
        </w:tc>
        <w:tc>
          <w:tcPr>
            <w:tcW w:w="975" w:type="dxa"/>
            <w:vAlign w:val="center"/>
          </w:tcPr>
          <w:p>
            <w:pPr>
              <w:pStyle w:val="25"/>
              <w:bidi w:val="0"/>
              <w:rPr>
                <w:rFonts w:hint="default"/>
              </w:rPr>
            </w:pPr>
            <w:r>
              <w:rPr>
                <w:rFonts w:hint="default"/>
              </w:rPr>
              <w:t>3</w:t>
            </w:r>
          </w:p>
        </w:tc>
        <w:tc>
          <w:tcPr>
            <w:tcW w:w="975" w:type="dxa"/>
            <w:vAlign w:val="center"/>
          </w:tcPr>
          <w:p>
            <w:pPr>
              <w:pStyle w:val="25"/>
              <w:bidi w:val="0"/>
              <w:rPr>
                <w:rFonts w:hint="default"/>
              </w:rPr>
            </w:pPr>
            <w:r>
              <w:rPr>
                <w:rFonts w:hint="default"/>
              </w:rPr>
              <w:t>3</w:t>
            </w:r>
          </w:p>
        </w:tc>
        <w:tc>
          <w:tcPr>
            <w:tcW w:w="977" w:type="dxa"/>
            <w:vAlign w:val="center"/>
          </w:tcPr>
          <w:p>
            <w:pPr>
              <w:pStyle w:val="25"/>
              <w:bidi w:val="0"/>
              <w:rPr>
                <w:rFonts w:hint="default"/>
              </w:rPr>
            </w:pPr>
            <w:r>
              <w:rPr>
                <w:rFonts w:hint="default"/>
              </w:rPr>
              <w:t>4</w:t>
            </w:r>
          </w:p>
        </w:tc>
        <w:tc>
          <w:tcPr>
            <w:tcW w:w="978" w:type="dxa"/>
            <w:vAlign w:val="center"/>
          </w:tcPr>
          <w:p>
            <w:pPr>
              <w:pStyle w:val="25"/>
              <w:bidi w:val="0"/>
              <w:rPr>
                <w:rFonts w:hint="default"/>
              </w:rPr>
            </w:pPr>
            <w:r>
              <w:rPr>
                <w:rFonts w:hint="default"/>
              </w:rPr>
              <w:t>6</w:t>
            </w:r>
          </w:p>
        </w:tc>
        <w:tc>
          <w:tcPr>
            <w:tcW w:w="977" w:type="dxa"/>
            <w:vAlign w:val="center"/>
          </w:tcPr>
          <w:p>
            <w:pPr>
              <w:pStyle w:val="25"/>
              <w:bidi w:val="0"/>
              <w:rPr>
                <w:rFonts w:hint="default"/>
              </w:rPr>
            </w:pPr>
            <w:r>
              <w:rPr>
                <w:rFonts w:hint="defaul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665" w:type="dxa"/>
            <w:vAlign w:val="center"/>
          </w:tcPr>
          <w:p>
            <w:pPr>
              <w:pStyle w:val="25"/>
              <w:bidi w:val="0"/>
              <w:rPr>
                <w:rFonts w:hint="default"/>
              </w:rPr>
            </w:pPr>
            <w:r>
              <w:rPr>
                <w:rFonts w:hint="default"/>
              </w:rPr>
              <w:t>NH</w:t>
            </w:r>
            <w:r>
              <w:rPr>
                <w:rFonts w:hint="default"/>
                <w:vertAlign w:val="subscript"/>
              </w:rPr>
              <w:t>3</w:t>
            </w:r>
            <w:r>
              <w:rPr>
                <w:rFonts w:hint="default"/>
              </w:rPr>
              <w:t>-N</w:t>
            </w:r>
          </w:p>
        </w:tc>
        <w:tc>
          <w:tcPr>
            <w:tcW w:w="975" w:type="dxa"/>
            <w:vAlign w:val="center"/>
          </w:tcPr>
          <w:p>
            <w:pPr>
              <w:pStyle w:val="25"/>
              <w:bidi w:val="0"/>
              <w:rPr>
                <w:rFonts w:hint="default"/>
              </w:rPr>
            </w:pPr>
            <w:r>
              <w:rPr>
                <w:rFonts w:hint="default"/>
              </w:rPr>
              <w:t>≤</w:t>
            </w:r>
          </w:p>
        </w:tc>
        <w:tc>
          <w:tcPr>
            <w:tcW w:w="975" w:type="dxa"/>
            <w:vAlign w:val="center"/>
          </w:tcPr>
          <w:p>
            <w:pPr>
              <w:pStyle w:val="25"/>
              <w:bidi w:val="0"/>
              <w:rPr>
                <w:rFonts w:hint="default"/>
              </w:rPr>
            </w:pPr>
            <w:r>
              <w:rPr>
                <w:rFonts w:hint="default"/>
              </w:rPr>
              <w:t>0.15</w:t>
            </w:r>
          </w:p>
        </w:tc>
        <w:tc>
          <w:tcPr>
            <w:tcW w:w="975" w:type="dxa"/>
            <w:vAlign w:val="center"/>
          </w:tcPr>
          <w:p>
            <w:pPr>
              <w:pStyle w:val="25"/>
              <w:bidi w:val="0"/>
              <w:rPr>
                <w:rFonts w:hint="default"/>
              </w:rPr>
            </w:pPr>
            <w:r>
              <w:rPr>
                <w:rFonts w:hint="default"/>
              </w:rPr>
              <w:t>0.5</w:t>
            </w:r>
          </w:p>
        </w:tc>
        <w:tc>
          <w:tcPr>
            <w:tcW w:w="977" w:type="dxa"/>
            <w:vAlign w:val="center"/>
          </w:tcPr>
          <w:p>
            <w:pPr>
              <w:pStyle w:val="25"/>
              <w:bidi w:val="0"/>
              <w:rPr>
                <w:rFonts w:hint="default"/>
              </w:rPr>
            </w:pPr>
            <w:r>
              <w:rPr>
                <w:rFonts w:hint="default"/>
              </w:rPr>
              <w:t>1</w:t>
            </w:r>
          </w:p>
        </w:tc>
        <w:tc>
          <w:tcPr>
            <w:tcW w:w="978" w:type="dxa"/>
            <w:vAlign w:val="center"/>
          </w:tcPr>
          <w:p>
            <w:pPr>
              <w:pStyle w:val="25"/>
              <w:bidi w:val="0"/>
              <w:rPr>
                <w:rFonts w:hint="default"/>
              </w:rPr>
            </w:pPr>
            <w:r>
              <w:rPr>
                <w:rFonts w:hint="default"/>
              </w:rPr>
              <w:t>1.5</w:t>
            </w:r>
          </w:p>
        </w:tc>
        <w:tc>
          <w:tcPr>
            <w:tcW w:w="977" w:type="dxa"/>
            <w:vAlign w:val="center"/>
          </w:tcPr>
          <w:p>
            <w:pPr>
              <w:pStyle w:val="25"/>
              <w:bidi w:val="0"/>
              <w:rPr>
                <w:rFonts w:hint="default"/>
              </w:rPr>
            </w:pPr>
            <w:r>
              <w:rPr>
                <w:rFonts w:hint="defaul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pPr>
              <w:pStyle w:val="25"/>
              <w:bidi w:val="0"/>
              <w:rPr>
                <w:rFonts w:hint="default"/>
              </w:rPr>
            </w:pPr>
            <w:r>
              <w:rPr>
                <w:rFonts w:hint="default"/>
              </w:rPr>
              <w:t>总氮</w:t>
            </w:r>
          </w:p>
        </w:tc>
        <w:tc>
          <w:tcPr>
            <w:tcW w:w="975" w:type="dxa"/>
            <w:vAlign w:val="center"/>
          </w:tcPr>
          <w:p>
            <w:pPr>
              <w:pStyle w:val="25"/>
              <w:bidi w:val="0"/>
              <w:rPr>
                <w:rFonts w:hint="default"/>
              </w:rPr>
            </w:pPr>
            <w:r>
              <w:rPr>
                <w:rFonts w:hint="default"/>
              </w:rPr>
              <w:t>≤</w:t>
            </w:r>
          </w:p>
        </w:tc>
        <w:tc>
          <w:tcPr>
            <w:tcW w:w="975" w:type="dxa"/>
            <w:vAlign w:val="center"/>
          </w:tcPr>
          <w:p>
            <w:pPr>
              <w:pStyle w:val="25"/>
              <w:bidi w:val="0"/>
              <w:rPr>
                <w:rFonts w:hint="default"/>
              </w:rPr>
            </w:pPr>
            <w:r>
              <w:rPr>
                <w:rFonts w:hint="default"/>
              </w:rPr>
              <w:t>0.2</w:t>
            </w:r>
          </w:p>
        </w:tc>
        <w:tc>
          <w:tcPr>
            <w:tcW w:w="975" w:type="dxa"/>
            <w:vAlign w:val="center"/>
          </w:tcPr>
          <w:p>
            <w:pPr>
              <w:pStyle w:val="25"/>
              <w:bidi w:val="0"/>
              <w:rPr>
                <w:rFonts w:hint="default"/>
              </w:rPr>
            </w:pPr>
            <w:r>
              <w:rPr>
                <w:rFonts w:hint="default"/>
              </w:rPr>
              <w:t>0.5</w:t>
            </w:r>
          </w:p>
        </w:tc>
        <w:tc>
          <w:tcPr>
            <w:tcW w:w="977" w:type="dxa"/>
            <w:vAlign w:val="center"/>
          </w:tcPr>
          <w:p>
            <w:pPr>
              <w:pStyle w:val="25"/>
              <w:bidi w:val="0"/>
              <w:rPr>
                <w:rFonts w:hint="default"/>
              </w:rPr>
            </w:pPr>
            <w:r>
              <w:rPr>
                <w:rFonts w:hint="default"/>
              </w:rPr>
              <w:t>1</w:t>
            </w:r>
          </w:p>
        </w:tc>
        <w:tc>
          <w:tcPr>
            <w:tcW w:w="978" w:type="dxa"/>
            <w:vAlign w:val="center"/>
          </w:tcPr>
          <w:p>
            <w:pPr>
              <w:pStyle w:val="25"/>
              <w:bidi w:val="0"/>
              <w:rPr>
                <w:rFonts w:hint="default"/>
              </w:rPr>
            </w:pPr>
            <w:r>
              <w:rPr>
                <w:rFonts w:hint="default"/>
              </w:rPr>
              <w:t>1.5</w:t>
            </w:r>
          </w:p>
        </w:tc>
        <w:tc>
          <w:tcPr>
            <w:tcW w:w="977" w:type="dxa"/>
            <w:vAlign w:val="center"/>
          </w:tcPr>
          <w:p>
            <w:pPr>
              <w:pStyle w:val="25"/>
              <w:bidi w:val="0"/>
              <w:rPr>
                <w:rFonts w:hint="default"/>
              </w:rPr>
            </w:pPr>
            <w:r>
              <w:rPr>
                <w:rFonts w:hint="defaul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pPr>
              <w:pStyle w:val="25"/>
              <w:bidi w:val="0"/>
              <w:rPr>
                <w:rFonts w:hint="default"/>
              </w:rPr>
            </w:pPr>
            <w:r>
              <w:rPr>
                <w:rFonts w:hint="default"/>
              </w:rPr>
              <w:t>总磷（以p计）</w:t>
            </w:r>
          </w:p>
        </w:tc>
        <w:tc>
          <w:tcPr>
            <w:tcW w:w="975" w:type="dxa"/>
            <w:vAlign w:val="center"/>
          </w:tcPr>
          <w:p>
            <w:pPr>
              <w:pStyle w:val="25"/>
              <w:bidi w:val="0"/>
              <w:rPr>
                <w:rFonts w:hint="default"/>
              </w:rPr>
            </w:pPr>
            <w:r>
              <w:rPr>
                <w:rFonts w:hint="default"/>
              </w:rPr>
              <w:t>≤</w:t>
            </w:r>
          </w:p>
        </w:tc>
        <w:tc>
          <w:tcPr>
            <w:tcW w:w="975" w:type="dxa"/>
            <w:vAlign w:val="center"/>
          </w:tcPr>
          <w:p>
            <w:pPr>
              <w:pStyle w:val="25"/>
              <w:bidi w:val="0"/>
              <w:rPr>
                <w:rFonts w:hint="default"/>
              </w:rPr>
            </w:pPr>
            <w:r>
              <w:rPr>
                <w:rFonts w:hint="default"/>
              </w:rPr>
              <w:t>0.02</w:t>
            </w:r>
          </w:p>
        </w:tc>
        <w:tc>
          <w:tcPr>
            <w:tcW w:w="975" w:type="dxa"/>
            <w:vAlign w:val="center"/>
          </w:tcPr>
          <w:p>
            <w:pPr>
              <w:pStyle w:val="25"/>
              <w:bidi w:val="0"/>
              <w:rPr>
                <w:rFonts w:hint="default"/>
              </w:rPr>
            </w:pPr>
            <w:r>
              <w:rPr>
                <w:rFonts w:hint="default"/>
              </w:rPr>
              <w:t>0.1</w:t>
            </w:r>
          </w:p>
        </w:tc>
        <w:tc>
          <w:tcPr>
            <w:tcW w:w="977" w:type="dxa"/>
            <w:vAlign w:val="center"/>
          </w:tcPr>
          <w:p>
            <w:pPr>
              <w:pStyle w:val="25"/>
              <w:bidi w:val="0"/>
              <w:rPr>
                <w:rFonts w:hint="default"/>
              </w:rPr>
            </w:pPr>
            <w:r>
              <w:rPr>
                <w:rFonts w:hint="default"/>
              </w:rPr>
              <w:t>0.2</w:t>
            </w:r>
          </w:p>
        </w:tc>
        <w:tc>
          <w:tcPr>
            <w:tcW w:w="978" w:type="dxa"/>
            <w:vAlign w:val="center"/>
          </w:tcPr>
          <w:p>
            <w:pPr>
              <w:pStyle w:val="25"/>
              <w:bidi w:val="0"/>
              <w:rPr>
                <w:rFonts w:hint="default"/>
              </w:rPr>
            </w:pPr>
            <w:r>
              <w:rPr>
                <w:rFonts w:hint="default"/>
              </w:rPr>
              <w:t>0.3</w:t>
            </w:r>
          </w:p>
        </w:tc>
        <w:tc>
          <w:tcPr>
            <w:tcW w:w="977" w:type="dxa"/>
            <w:vAlign w:val="center"/>
          </w:tcPr>
          <w:p>
            <w:pPr>
              <w:pStyle w:val="25"/>
              <w:bidi w:val="0"/>
              <w:rPr>
                <w:rFonts w:hint="default"/>
              </w:rPr>
            </w:pPr>
            <w:r>
              <w:rPr>
                <w:rFonts w:hint="default"/>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pPr>
              <w:pStyle w:val="25"/>
              <w:bidi w:val="0"/>
              <w:rPr>
                <w:rFonts w:hint="default"/>
              </w:rPr>
            </w:pPr>
            <w:r>
              <w:rPr>
                <w:rFonts w:hint="default"/>
              </w:rPr>
              <w:t>总氮（湖、库以N计）</w:t>
            </w:r>
          </w:p>
        </w:tc>
        <w:tc>
          <w:tcPr>
            <w:tcW w:w="975" w:type="dxa"/>
            <w:vAlign w:val="center"/>
          </w:tcPr>
          <w:p>
            <w:pPr>
              <w:pStyle w:val="25"/>
              <w:bidi w:val="0"/>
              <w:rPr>
                <w:rFonts w:hint="default"/>
              </w:rPr>
            </w:pPr>
            <w:r>
              <w:rPr>
                <w:rFonts w:hint="default"/>
              </w:rPr>
              <w:t>≤</w:t>
            </w:r>
          </w:p>
        </w:tc>
        <w:tc>
          <w:tcPr>
            <w:tcW w:w="975" w:type="dxa"/>
            <w:vAlign w:val="center"/>
          </w:tcPr>
          <w:p>
            <w:pPr>
              <w:pStyle w:val="25"/>
              <w:bidi w:val="0"/>
              <w:rPr>
                <w:rFonts w:hint="default"/>
              </w:rPr>
            </w:pPr>
            <w:r>
              <w:rPr>
                <w:rFonts w:hint="default"/>
              </w:rPr>
              <w:t>0.2</w:t>
            </w:r>
          </w:p>
        </w:tc>
        <w:tc>
          <w:tcPr>
            <w:tcW w:w="975" w:type="dxa"/>
            <w:vAlign w:val="center"/>
          </w:tcPr>
          <w:p>
            <w:pPr>
              <w:pStyle w:val="25"/>
              <w:bidi w:val="0"/>
              <w:rPr>
                <w:rFonts w:hint="default"/>
              </w:rPr>
            </w:pPr>
            <w:r>
              <w:rPr>
                <w:rFonts w:hint="default"/>
              </w:rPr>
              <w:t>0.5</w:t>
            </w:r>
          </w:p>
        </w:tc>
        <w:tc>
          <w:tcPr>
            <w:tcW w:w="977" w:type="dxa"/>
            <w:vAlign w:val="center"/>
          </w:tcPr>
          <w:p>
            <w:pPr>
              <w:pStyle w:val="25"/>
              <w:bidi w:val="0"/>
              <w:rPr>
                <w:rFonts w:hint="default"/>
              </w:rPr>
            </w:pPr>
            <w:r>
              <w:rPr>
                <w:rFonts w:hint="default"/>
              </w:rPr>
              <w:t>1</w:t>
            </w:r>
          </w:p>
        </w:tc>
        <w:tc>
          <w:tcPr>
            <w:tcW w:w="978" w:type="dxa"/>
            <w:vAlign w:val="center"/>
          </w:tcPr>
          <w:p>
            <w:pPr>
              <w:pStyle w:val="25"/>
              <w:bidi w:val="0"/>
              <w:rPr>
                <w:rFonts w:hint="default"/>
              </w:rPr>
            </w:pPr>
            <w:r>
              <w:rPr>
                <w:rFonts w:hint="default"/>
              </w:rPr>
              <w:t>1.5</w:t>
            </w:r>
          </w:p>
        </w:tc>
        <w:tc>
          <w:tcPr>
            <w:tcW w:w="977" w:type="dxa"/>
            <w:vAlign w:val="center"/>
          </w:tcPr>
          <w:p>
            <w:pPr>
              <w:pStyle w:val="25"/>
              <w:bidi w:val="0"/>
              <w:rPr>
                <w:rFonts w:hint="default"/>
              </w:rPr>
            </w:pPr>
            <w:r>
              <w:rPr>
                <w:rFonts w:hint="default"/>
              </w:rPr>
              <w:t>2</w:t>
            </w:r>
          </w:p>
        </w:tc>
      </w:tr>
    </w:tbl>
    <w:p>
      <w:pPr>
        <w:pStyle w:val="25"/>
        <w:bidi w:val="0"/>
      </w:pPr>
      <w:r>
        <w:t xml:space="preserve">表4.4-2 </w:t>
      </w:r>
      <w:r>
        <w:rPr>
          <w:rFonts w:hint="eastAsia"/>
          <w:lang w:eastAsia="zh-CN"/>
        </w:rPr>
        <w:t>赤溪河</w:t>
      </w:r>
      <w:r>
        <w:t>水域功能区划定类别</w:t>
      </w:r>
    </w:p>
    <w:tbl>
      <w:tblPr>
        <w:tblStyle w:val="20"/>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428"/>
        <w:gridCol w:w="791"/>
        <w:gridCol w:w="768"/>
        <w:gridCol w:w="1482"/>
        <w:gridCol w:w="1266"/>
        <w:gridCol w:w="994"/>
        <w:gridCol w:w="1133"/>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blHeader/>
        </w:trPr>
        <w:tc>
          <w:tcPr>
            <w:tcW w:w="428" w:type="dxa"/>
            <w:vMerge w:val="restart"/>
            <w:shd w:val="clear" w:color="auto" w:fill="FFFFFF"/>
            <w:tcMar>
              <w:top w:w="0" w:type="dxa"/>
              <w:left w:w="57" w:type="dxa"/>
              <w:bottom w:w="0" w:type="dxa"/>
              <w:right w:w="57" w:type="dxa"/>
            </w:tcMar>
            <w:vAlign w:val="center"/>
          </w:tcPr>
          <w:p>
            <w:pPr>
              <w:pStyle w:val="25"/>
              <w:bidi w:val="0"/>
              <w:rPr>
                <w:rFonts w:hint="default"/>
                <w:color w:val="auto"/>
              </w:rPr>
            </w:pPr>
            <w:r>
              <w:rPr>
                <w:rFonts w:hint="default"/>
                <w:color w:val="auto"/>
              </w:rPr>
              <w:t>编号</w:t>
            </w:r>
          </w:p>
        </w:tc>
        <w:tc>
          <w:tcPr>
            <w:tcW w:w="791" w:type="dxa"/>
            <w:vMerge w:val="restart"/>
            <w:shd w:val="clear" w:color="auto" w:fill="FFFFFF"/>
            <w:tcMar>
              <w:top w:w="0" w:type="dxa"/>
              <w:left w:w="57" w:type="dxa"/>
              <w:bottom w:w="0" w:type="dxa"/>
              <w:right w:w="57" w:type="dxa"/>
            </w:tcMar>
            <w:vAlign w:val="center"/>
          </w:tcPr>
          <w:p>
            <w:pPr>
              <w:pStyle w:val="25"/>
              <w:bidi w:val="0"/>
              <w:rPr>
                <w:rFonts w:hint="default"/>
                <w:color w:val="auto"/>
              </w:rPr>
            </w:pPr>
            <w:r>
              <w:rPr>
                <w:rFonts w:hint="default"/>
                <w:color w:val="auto"/>
              </w:rPr>
              <w:t>区县</w:t>
            </w:r>
          </w:p>
          <w:p>
            <w:pPr>
              <w:pStyle w:val="25"/>
              <w:bidi w:val="0"/>
              <w:rPr>
                <w:rFonts w:hint="default"/>
                <w:color w:val="auto"/>
              </w:rPr>
            </w:pPr>
            <w:r>
              <w:rPr>
                <w:rFonts w:hint="default"/>
                <w:color w:val="auto"/>
              </w:rPr>
              <w:t>名称</w:t>
            </w:r>
          </w:p>
        </w:tc>
        <w:tc>
          <w:tcPr>
            <w:tcW w:w="768" w:type="dxa"/>
            <w:vMerge w:val="restart"/>
            <w:shd w:val="clear" w:color="auto" w:fill="FFFFFF"/>
            <w:tcMar>
              <w:top w:w="0" w:type="dxa"/>
              <w:left w:w="57" w:type="dxa"/>
              <w:bottom w:w="0" w:type="dxa"/>
              <w:right w:w="57" w:type="dxa"/>
            </w:tcMar>
            <w:vAlign w:val="center"/>
          </w:tcPr>
          <w:p>
            <w:pPr>
              <w:pStyle w:val="25"/>
              <w:bidi w:val="0"/>
              <w:rPr>
                <w:rFonts w:hint="default"/>
                <w:color w:val="auto"/>
              </w:rPr>
            </w:pPr>
            <w:r>
              <w:rPr>
                <w:rFonts w:hint="default"/>
                <w:color w:val="auto"/>
              </w:rPr>
              <w:t>河流</w:t>
            </w:r>
          </w:p>
          <w:p>
            <w:pPr>
              <w:pStyle w:val="25"/>
              <w:bidi w:val="0"/>
              <w:rPr>
                <w:rFonts w:hint="default"/>
                <w:color w:val="auto"/>
              </w:rPr>
            </w:pPr>
            <w:r>
              <w:rPr>
                <w:rFonts w:hint="default"/>
                <w:color w:val="auto"/>
              </w:rPr>
              <w:t>名称</w:t>
            </w:r>
          </w:p>
        </w:tc>
        <w:tc>
          <w:tcPr>
            <w:tcW w:w="2748" w:type="dxa"/>
            <w:gridSpan w:val="2"/>
            <w:shd w:val="clear" w:color="auto" w:fill="FFFFFF"/>
            <w:tcMar>
              <w:top w:w="0" w:type="dxa"/>
              <w:left w:w="57" w:type="dxa"/>
              <w:bottom w:w="0" w:type="dxa"/>
              <w:right w:w="57" w:type="dxa"/>
            </w:tcMar>
            <w:vAlign w:val="center"/>
          </w:tcPr>
          <w:p>
            <w:pPr>
              <w:pStyle w:val="25"/>
              <w:bidi w:val="0"/>
              <w:rPr>
                <w:rFonts w:hint="default"/>
                <w:color w:val="auto"/>
              </w:rPr>
            </w:pPr>
            <w:r>
              <w:rPr>
                <w:rFonts w:hint="default"/>
                <w:color w:val="auto"/>
              </w:rPr>
              <w:t>水域范围</w:t>
            </w:r>
          </w:p>
        </w:tc>
        <w:tc>
          <w:tcPr>
            <w:tcW w:w="994" w:type="dxa"/>
            <w:vMerge w:val="restart"/>
            <w:shd w:val="clear" w:color="auto" w:fill="FFFFFF"/>
            <w:tcMar>
              <w:top w:w="0" w:type="dxa"/>
              <w:left w:w="57" w:type="dxa"/>
              <w:bottom w:w="0" w:type="dxa"/>
              <w:right w:w="57" w:type="dxa"/>
            </w:tcMar>
            <w:vAlign w:val="center"/>
          </w:tcPr>
          <w:p>
            <w:pPr>
              <w:pStyle w:val="25"/>
              <w:bidi w:val="0"/>
              <w:rPr>
                <w:rFonts w:hint="default"/>
                <w:color w:val="auto"/>
              </w:rPr>
            </w:pPr>
            <w:r>
              <w:rPr>
                <w:rFonts w:hint="default"/>
                <w:color w:val="auto"/>
              </w:rPr>
              <w:t>适用类别</w:t>
            </w:r>
          </w:p>
        </w:tc>
        <w:tc>
          <w:tcPr>
            <w:tcW w:w="1133" w:type="dxa"/>
            <w:vMerge w:val="restart"/>
            <w:shd w:val="clear" w:color="auto" w:fill="FFFFFF"/>
            <w:tcMar>
              <w:top w:w="0" w:type="dxa"/>
              <w:left w:w="57" w:type="dxa"/>
              <w:bottom w:w="0" w:type="dxa"/>
              <w:right w:w="57" w:type="dxa"/>
            </w:tcMar>
            <w:vAlign w:val="center"/>
          </w:tcPr>
          <w:p>
            <w:pPr>
              <w:pStyle w:val="25"/>
              <w:bidi w:val="0"/>
              <w:rPr>
                <w:rFonts w:hint="default"/>
                <w:color w:val="auto"/>
              </w:rPr>
            </w:pPr>
            <w:r>
              <w:rPr>
                <w:rFonts w:hint="default"/>
                <w:color w:val="auto"/>
              </w:rPr>
              <w:t>水质控制断面</w:t>
            </w:r>
          </w:p>
        </w:tc>
        <w:tc>
          <w:tcPr>
            <w:tcW w:w="1558" w:type="dxa"/>
            <w:vMerge w:val="restart"/>
            <w:shd w:val="clear" w:color="auto" w:fill="FFFFFF"/>
            <w:tcMar>
              <w:top w:w="0" w:type="dxa"/>
              <w:left w:w="57" w:type="dxa"/>
              <w:bottom w:w="0" w:type="dxa"/>
              <w:right w:w="57" w:type="dxa"/>
            </w:tcMar>
            <w:vAlign w:val="center"/>
          </w:tcPr>
          <w:p>
            <w:pPr>
              <w:pStyle w:val="25"/>
              <w:bidi w:val="0"/>
              <w:rPr>
                <w:rFonts w:hint="default"/>
                <w:color w:val="auto"/>
              </w:rPr>
            </w:pPr>
            <w:r>
              <w:rPr>
                <w:rFonts w:hint="default"/>
                <w:color w:val="auto"/>
              </w:rPr>
              <w:t>流域面积（平方公里）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blHeader/>
        </w:trPr>
        <w:tc>
          <w:tcPr>
            <w:tcW w:w="428" w:type="dxa"/>
            <w:vMerge w:val="continue"/>
            <w:shd w:val="clear" w:color="auto" w:fill="FFFFFF"/>
            <w:vAlign w:val="center"/>
          </w:tcPr>
          <w:p>
            <w:pPr>
              <w:pStyle w:val="25"/>
              <w:bidi w:val="0"/>
              <w:rPr>
                <w:rFonts w:hint="default"/>
                <w:color w:val="auto"/>
              </w:rPr>
            </w:pPr>
          </w:p>
        </w:tc>
        <w:tc>
          <w:tcPr>
            <w:tcW w:w="791" w:type="dxa"/>
            <w:vMerge w:val="continue"/>
            <w:shd w:val="clear" w:color="auto" w:fill="FFFFFF"/>
            <w:vAlign w:val="center"/>
          </w:tcPr>
          <w:p>
            <w:pPr>
              <w:pStyle w:val="25"/>
              <w:bidi w:val="0"/>
              <w:rPr>
                <w:rFonts w:hint="default"/>
                <w:color w:val="auto"/>
              </w:rPr>
            </w:pPr>
          </w:p>
        </w:tc>
        <w:tc>
          <w:tcPr>
            <w:tcW w:w="768" w:type="dxa"/>
            <w:vMerge w:val="continue"/>
            <w:shd w:val="clear" w:color="auto" w:fill="FFFFFF"/>
            <w:vAlign w:val="center"/>
          </w:tcPr>
          <w:p>
            <w:pPr>
              <w:pStyle w:val="25"/>
              <w:bidi w:val="0"/>
              <w:rPr>
                <w:rFonts w:hint="default"/>
                <w:color w:val="auto"/>
              </w:rPr>
            </w:pPr>
          </w:p>
        </w:tc>
        <w:tc>
          <w:tcPr>
            <w:tcW w:w="1482" w:type="dxa"/>
            <w:shd w:val="clear" w:color="auto" w:fill="auto"/>
            <w:tcMar>
              <w:top w:w="0" w:type="dxa"/>
              <w:left w:w="57" w:type="dxa"/>
              <w:bottom w:w="0" w:type="dxa"/>
              <w:right w:w="57" w:type="dxa"/>
            </w:tcMar>
            <w:vAlign w:val="center"/>
          </w:tcPr>
          <w:p>
            <w:pPr>
              <w:pStyle w:val="25"/>
              <w:bidi w:val="0"/>
              <w:rPr>
                <w:rFonts w:hint="default"/>
                <w:color w:val="auto"/>
              </w:rPr>
            </w:pPr>
            <w:r>
              <w:rPr>
                <w:rFonts w:hint="default"/>
                <w:color w:val="auto"/>
              </w:rPr>
              <w:t>起始-终止地名</w:t>
            </w:r>
          </w:p>
        </w:tc>
        <w:tc>
          <w:tcPr>
            <w:tcW w:w="1266" w:type="dxa"/>
            <w:shd w:val="clear" w:color="auto" w:fill="auto"/>
            <w:tcMar>
              <w:top w:w="0" w:type="dxa"/>
              <w:left w:w="57" w:type="dxa"/>
              <w:bottom w:w="0" w:type="dxa"/>
              <w:right w:w="57" w:type="dxa"/>
            </w:tcMar>
            <w:vAlign w:val="center"/>
          </w:tcPr>
          <w:p>
            <w:pPr>
              <w:pStyle w:val="25"/>
              <w:bidi w:val="0"/>
              <w:rPr>
                <w:rFonts w:hint="default"/>
                <w:color w:val="auto"/>
              </w:rPr>
            </w:pPr>
            <w:r>
              <w:rPr>
                <w:rFonts w:hint="default"/>
                <w:color w:val="auto"/>
              </w:rPr>
              <w:t>河段长（千米）</w:t>
            </w:r>
          </w:p>
        </w:tc>
        <w:tc>
          <w:tcPr>
            <w:tcW w:w="994" w:type="dxa"/>
            <w:vMerge w:val="continue"/>
            <w:shd w:val="clear" w:color="auto" w:fill="auto"/>
            <w:tcMar>
              <w:top w:w="0" w:type="dxa"/>
              <w:left w:w="57" w:type="dxa"/>
              <w:bottom w:w="0" w:type="dxa"/>
              <w:right w:w="57" w:type="dxa"/>
            </w:tcMar>
            <w:vAlign w:val="center"/>
          </w:tcPr>
          <w:p>
            <w:pPr>
              <w:pStyle w:val="25"/>
              <w:bidi w:val="0"/>
              <w:rPr>
                <w:rFonts w:hint="default"/>
                <w:color w:val="auto"/>
              </w:rPr>
            </w:pPr>
          </w:p>
        </w:tc>
        <w:tc>
          <w:tcPr>
            <w:tcW w:w="1133" w:type="dxa"/>
            <w:vMerge w:val="continue"/>
            <w:shd w:val="clear" w:color="auto" w:fill="FFFFFF"/>
            <w:vAlign w:val="center"/>
          </w:tcPr>
          <w:p>
            <w:pPr>
              <w:pStyle w:val="25"/>
              <w:bidi w:val="0"/>
              <w:rPr>
                <w:rFonts w:hint="default"/>
                <w:color w:val="auto"/>
              </w:rPr>
            </w:pPr>
          </w:p>
        </w:tc>
        <w:tc>
          <w:tcPr>
            <w:tcW w:w="1558" w:type="dxa"/>
            <w:vMerge w:val="continue"/>
            <w:shd w:val="clear" w:color="auto" w:fill="FFFFFF"/>
            <w:vAlign w:val="center"/>
          </w:tcPr>
          <w:p>
            <w:pPr>
              <w:pStyle w:val="25"/>
              <w:bidi w:val="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trPr>
        <w:tc>
          <w:tcPr>
            <w:tcW w:w="428" w:type="dxa"/>
            <w:shd w:val="clear" w:color="auto" w:fill="FFFFFF"/>
            <w:tcMar>
              <w:top w:w="0" w:type="dxa"/>
              <w:left w:w="57" w:type="dxa"/>
              <w:bottom w:w="0" w:type="dxa"/>
              <w:right w:w="57" w:type="dxa"/>
            </w:tcMar>
            <w:vAlign w:val="center"/>
          </w:tcPr>
          <w:p>
            <w:pPr>
              <w:pStyle w:val="25"/>
              <w:bidi w:val="0"/>
              <w:rPr>
                <w:rFonts w:hint="default"/>
                <w:color w:val="auto"/>
              </w:rPr>
            </w:pPr>
            <w:r>
              <w:rPr>
                <w:rFonts w:hint="default"/>
                <w:color w:val="auto"/>
              </w:rPr>
              <w:t>1</w:t>
            </w:r>
          </w:p>
        </w:tc>
        <w:tc>
          <w:tcPr>
            <w:tcW w:w="791" w:type="dxa"/>
            <w:shd w:val="clear" w:color="auto" w:fill="FFFFFF"/>
            <w:tcMar>
              <w:top w:w="0" w:type="dxa"/>
              <w:left w:w="57" w:type="dxa"/>
              <w:bottom w:w="0" w:type="dxa"/>
              <w:right w:w="57" w:type="dxa"/>
            </w:tcMar>
            <w:vAlign w:val="center"/>
          </w:tcPr>
          <w:p>
            <w:pPr>
              <w:pStyle w:val="25"/>
              <w:bidi w:val="0"/>
              <w:rPr>
                <w:rFonts w:hint="eastAsia"/>
                <w:color w:val="auto"/>
                <w:lang w:eastAsia="zh-CN"/>
              </w:rPr>
            </w:pPr>
            <w:r>
              <w:rPr>
                <w:rFonts w:hint="eastAsia"/>
                <w:color w:val="auto"/>
                <w:lang w:eastAsia="zh-CN"/>
              </w:rPr>
              <w:t>丰都县</w:t>
            </w:r>
          </w:p>
        </w:tc>
        <w:tc>
          <w:tcPr>
            <w:tcW w:w="768" w:type="dxa"/>
            <w:shd w:val="clear" w:color="auto" w:fill="FFFFFF"/>
            <w:tcMar>
              <w:top w:w="0" w:type="dxa"/>
              <w:left w:w="57" w:type="dxa"/>
              <w:bottom w:w="0" w:type="dxa"/>
              <w:right w:w="57" w:type="dxa"/>
            </w:tcMar>
            <w:vAlign w:val="center"/>
          </w:tcPr>
          <w:p>
            <w:pPr>
              <w:pStyle w:val="25"/>
              <w:bidi w:val="0"/>
              <w:rPr>
                <w:rFonts w:hint="eastAsia" w:eastAsia="方正仿宋_GBK"/>
                <w:color w:val="auto"/>
                <w:lang w:eastAsia="zh-CN"/>
              </w:rPr>
            </w:pPr>
            <w:r>
              <w:rPr>
                <w:rFonts w:hint="eastAsia"/>
                <w:color w:val="auto"/>
                <w:lang w:eastAsia="zh-CN"/>
              </w:rPr>
              <w:t>赤溪河</w:t>
            </w:r>
          </w:p>
        </w:tc>
        <w:tc>
          <w:tcPr>
            <w:tcW w:w="1482" w:type="dxa"/>
            <w:shd w:val="clear" w:color="auto" w:fill="FFFFFF"/>
            <w:tcMar>
              <w:top w:w="0" w:type="dxa"/>
              <w:left w:w="57" w:type="dxa"/>
              <w:bottom w:w="0" w:type="dxa"/>
              <w:right w:w="57" w:type="dxa"/>
            </w:tcMar>
            <w:vAlign w:val="center"/>
          </w:tcPr>
          <w:p>
            <w:pPr>
              <w:pStyle w:val="25"/>
              <w:bidi w:val="0"/>
              <w:rPr>
                <w:rFonts w:hint="eastAsia" w:eastAsia="方正仿宋_GBK"/>
                <w:color w:val="auto"/>
                <w:lang w:eastAsia="zh-CN"/>
              </w:rPr>
            </w:pPr>
            <w:r>
              <w:rPr>
                <w:rFonts w:hint="eastAsia"/>
                <w:color w:val="auto"/>
                <w:lang w:val="en-US" w:eastAsia="zh-CN"/>
              </w:rPr>
              <w:t>赤溪河</w:t>
            </w:r>
          </w:p>
        </w:tc>
        <w:tc>
          <w:tcPr>
            <w:tcW w:w="1266" w:type="dxa"/>
            <w:shd w:val="clear" w:color="auto" w:fill="FFFFFF"/>
            <w:tcMar>
              <w:top w:w="0" w:type="dxa"/>
              <w:left w:w="57" w:type="dxa"/>
              <w:bottom w:w="0" w:type="dxa"/>
              <w:right w:w="57" w:type="dxa"/>
            </w:tcMar>
            <w:vAlign w:val="center"/>
          </w:tcPr>
          <w:p>
            <w:pPr>
              <w:pStyle w:val="25"/>
              <w:bidi w:val="0"/>
              <w:rPr>
                <w:rFonts w:hint="default" w:eastAsia="方正仿宋_GBK"/>
                <w:color w:val="auto"/>
                <w:lang w:val="en-US" w:eastAsia="zh-CN"/>
              </w:rPr>
            </w:pPr>
            <w:r>
              <w:rPr>
                <w:rFonts w:hint="eastAsia"/>
                <w:color w:val="auto"/>
                <w:lang w:val="en-US" w:eastAsia="zh-CN"/>
              </w:rPr>
              <w:t>22.4</w:t>
            </w:r>
          </w:p>
        </w:tc>
        <w:tc>
          <w:tcPr>
            <w:tcW w:w="994" w:type="dxa"/>
            <w:shd w:val="clear" w:color="auto" w:fill="FFFFFF"/>
            <w:tcMar>
              <w:top w:w="0" w:type="dxa"/>
              <w:left w:w="57" w:type="dxa"/>
              <w:bottom w:w="0" w:type="dxa"/>
              <w:right w:w="57" w:type="dxa"/>
            </w:tcMar>
            <w:vAlign w:val="center"/>
          </w:tcPr>
          <w:p>
            <w:pPr>
              <w:pStyle w:val="25"/>
              <w:bidi w:val="0"/>
              <w:rPr>
                <w:rFonts w:hint="default"/>
                <w:color w:val="auto"/>
              </w:rPr>
            </w:pPr>
            <w:r>
              <w:rPr>
                <w:rFonts w:hint="default"/>
                <w:color w:val="auto"/>
              </w:rPr>
              <w:t>Ⅲ</w:t>
            </w:r>
          </w:p>
        </w:tc>
        <w:tc>
          <w:tcPr>
            <w:tcW w:w="1133" w:type="dxa"/>
            <w:shd w:val="clear" w:color="auto" w:fill="FFFFFF"/>
            <w:tcMar>
              <w:top w:w="0" w:type="dxa"/>
              <w:left w:w="57" w:type="dxa"/>
              <w:bottom w:w="0" w:type="dxa"/>
              <w:right w:w="57" w:type="dxa"/>
            </w:tcMar>
            <w:vAlign w:val="center"/>
          </w:tcPr>
          <w:p>
            <w:pPr>
              <w:pStyle w:val="25"/>
              <w:bidi w:val="0"/>
              <w:rPr>
                <w:rFonts w:hint="default"/>
                <w:color w:val="auto"/>
              </w:rPr>
            </w:pPr>
            <w:r>
              <w:rPr>
                <w:rFonts w:hint="default"/>
                <w:color w:val="auto"/>
              </w:rPr>
              <w:t>出境</w:t>
            </w:r>
          </w:p>
        </w:tc>
        <w:tc>
          <w:tcPr>
            <w:tcW w:w="1558" w:type="dxa"/>
            <w:shd w:val="clear" w:color="auto" w:fill="FFFFFF"/>
            <w:tcMar>
              <w:top w:w="0" w:type="dxa"/>
              <w:left w:w="57" w:type="dxa"/>
              <w:bottom w:w="0" w:type="dxa"/>
              <w:right w:w="57" w:type="dxa"/>
            </w:tcMar>
            <w:vAlign w:val="center"/>
          </w:tcPr>
          <w:p>
            <w:pPr>
              <w:pStyle w:val="25"/>
              <w:bidi w:val="0"/>
              <w:rPr>
                <w:rFonts w:hint="default" w:eastAsia="方正仿宋_GBK"/>
                <w:color w:val="auto"/>
                <w:lang w:val="en-US" w:eastAsia="zh-CN"/>
              </w:rPr>
            </w:pPr>
            <w:r>
              <w:rPr>
                <w:rFonts w:hint="eastAsia"/>
                <w:color w:val="auto"/>
                <w:lang w:val="en-US" w:eastAsia="zh-CN"/>
              </w:rPr>
              <w:t>87.4</w:t>
            </w:r>
          </w:p>
        </w:tc>
      </w:tr>
    </w:tbl>
    <w:p>
      <w:pPr>
        <w:spacing w:line="360" w:lineRule="auto"/>
        <w:ind w:firstLine="640" w:firstLineChars="200"/>
        <w:rPr>
          <w:rFonts w:hint="default" w:ascii="Times New Roman"/>
          <w:color w:val="auto"/>
          <w:szCs w:val="28"/>
          <w:highlight w:val="none"/>
        </w:rPr>
      </w:pPr>
      <w:r>
        <w:rPr>
          <w:rFonts w:ascii="Times New Roman" w:hAnsi="Times New Roman"/>
          <w:color w:val="auto"/>
          <w:highlight w:val="none"/>
        </w:rPr>
        <w:t>目标制定依据：</w:t>
      </w:r>
      <w:r>
        <w:rPr>
          <w:rFonts w:ascii="Times New Roman"/>
          <w:color w:val="auto"/>
          <w:szCs w:val="28"/>
          <w:highlight w:val="none"/>
        </w:rPr>
        <w:t>《重庆市</w:t>
      </w:r>
      <w:r>
        <w:rPr>
          <w:rFonts w:hint="eastAsia" w:ascii="Times New Roman"/>
          <w:color w:val="auto"/>
          <w:szCs w:val="28"/>
          <w:highlight w:val="none"/>
          <w:lang w:eastAsia="zh-CN"/>
        </w:rPr>
        <w:t>丰都县</w:t>
      </w:r>
      <w:r>
        <w:rPr>
          <w:rFonts w:ascii="Times New Roman"/>
          <w:color w:val="auto"/>
          <w:szCs w:val="28"/>
          <w:highlight w:val="none"/>
        </w:rPr>
        <w:t>水功能区划报告》（2017年）。</w:t>
      </w:r>
    </w:p>
    <w:p>
      <w:pPr>
        <w:numPr>
          <w:ilvl w:val="0"/>
          <w:numId w:val="13"/>
        </w:numPr>
        <w:bidi w:val="0"/>
        <w:ind w:left="425" w:leftChars="0" w:right="0" w:rightChars="0" w:hanging="425" w:firstLineChars="0"/>
        <w:outlineLvl w:val="2"/>
      </w:pPr>
      <w:r>
        <w:rPr>
          <w:rFonts w:hint="eastAsia"/>
        </w:rPr>
        <w:t>水源地规范化建设</w:t>
      </w:r>
    </w:p>
    <w:p>
      <w:pPr>
        <w:bidi w:val="0"/>
        <w:rPr>
          <w:rFonts w:hint="default"/>
        </w:rPr>
      </w:pPr>
      <w:r>
        <w:rPr>
          <w:rFonts w:hint="default"/>
        </w:rPr>
        <w:t>具体</w:t>
      </w:r>
      <w:r>
        <w:rPr>
          <w:rFonts w:hint="eastAsia"/>
          <w:lang w:val="en-US" w:eastAsia="zh-CN"/>
        </w:rPr>
        <w:t>目标</w:t>
      </w:r>
      <w:r>
        <w:t>：</w:t>
      </w:r>
      <w:r>
        <w:rPr>
          <w:rFonts w:hint="eastAsia"/>
        </w:rPr>
        <w:t>丰都县十直供水站水源地完善保护区标志</w:t>
      </w:r>
      <w:r>
        <w:rPr>
          <w:rFonts w:hint="eastAsia"/>
          <w:lang w:eastAsia="zh-CN"/>
        </w:rPr>
        <w:t>、</w:t>
      </w:r>
      <w:r>
        <w:rPr>
          <w:rFonts w:hint="eastAsia"/>
        </w:rPr>
        <w:t>合理设置隔离防护</w:t>
      </w:r>
      <w:r>
        <w:rPr>
          <w:rFonts w:hint="eastAsia"/>
          <w:lang w:eastAsia="zh-CN"/>
        </w:rPr>
        <w:t>、</w:t>
      </w:r>
      <w:r>
        <w:rPr>
          <w:rFonts w:hint="eastAsia"/>
        </w:rPr>
        <w:t>开展生态修复与保护工作</w:t>
      </w:r>
      <w:r>
        <w:rPr>
          <w:rFonts w:hint="default"/>
        </w:rPr>
        <w:t>。</w:t>
      </w:r>
    </w:p>
    <w:p>
      <w:pPr>
        <w:bidi w:val="0"/>
      </w:pPr>
      <w:r>
        <w:t>目标制定</w:t>
      </w:r>
      <w:r>
        <w:rPr>
          <w:rFonts w:hint="default"/>
        </w:rPr>
        <w:t>依据</w:t>
      </w:r>
      <w:r>
        <w:t>：本目标的制定来源于《</w:t>
      </w:r>
      <w:r>
        <w:rPr>
          <w:rFonts w:hint="eastAsia"/>
          <w:lang w:eastAsia="zh-CN"/>
        </w:rPr>
        <w:t>丰都县</w:t>
      </w:r>
      <w:r>
        <w:t>“十四五”水生态环境保护规划》（2021年）。</w:t>
      </w:r>
    </w:p>
    <w:p>
      <w:pPr>
        <w:pStyle w:val="2"/>
        <w:bidi w:val="0"/>
        <w:rPr>
          <w:rFonts w:hint="eastAsia"/>
        </w:rPr>
      </w:pPr>
      <w:bookmarkStart w:id="44" w:name="_Toc27277"/>
      <w:r>
        <w:rPr>
          <w:rFonts w:hint="eastAsia"/>
        </w:rPr>
        <w:t>水生态修复目标</w:t>
      </w:r>
      <w:bookmarkEnd w:id="44"/>
    </w:p>
    <w:p>
      <w:pPr>
        <w:bidi w:val="0"/>
        <w:rPr>
          <w:rFonts w:hint="default"/>
        </w:rPr>
      </w:pPr>
      <w:r>
        <w:rPr>
          <w:rFonts w:hint="default"/>
        </w:rPr>
        <w:t>目标内容</w:t>
      </w:r>
      <w:r>
        <w:t>：</w:t>
      </w:r>
      <w:r>
        <w:rPr>
          <w:rFonts w:hint="default"/>
        </w:rPr>
        <w:t>到2025年，提升岸线生物多样性</w:t>
      </w:r>
      <w:r>
        <w:t>，生物、栖息地具有多样性；达到平衡、适度、和谐河流修复的基本目标。</w:t>
      </w:r>
    </w:p>
    <w:p>
      <w:pPr>
        <w:pStyle w:val="3"/>
        <w:numPr>
          <w:ilvl w:val="0"/>
          <w:numId w:val="2"/>
        </w:numPr>
        <w:bidi w:val="0"/>
        <w:sectPr>
          <w:pgSz w:w="11906" w:h="16838"/>
          <w:pgMar w:top="1440" w:right="1800" w:bottom="1440" w:left="1800" w:header="851" w:footer="992" w:gutter="0"/>
          <w:pgNumType w:fmt="decimal"/>
          <w:cols w:space="425" w:num="1"/>
          <w:docGrid w:type="lines" w:linePitch="312" w:charSpace="0"/>
        </w:sectPr>
      </w:pPr>
    </w:p>
    <w:p>
      <w:pPr>
        <w:pStyle w:val="3"/>
        <w:bidi w:val="0"/>
      </w:pPr>
      <w:bookmarkStart w:id="45" w:name="_Toc8650"/>
      <w:r>
        <w:t>管理保护任务</w:t>
      </w:r>
      <w:bookmarkEnd w:id="45"/>
    </w:p>
    <w:p>
      <w:pPr>
        <w:pStyle w:val="2"/>
        <w:bidi w:val="0"/>
        <w:rPr>
          <w:rFonts w:hint="eastAsia"/>
        </w:rPr>
      </w:pPr>
      <w:bookmarkStart w:id="46" w:name="_Toc25955"/>
      <w:r>
        <w:rPr>
          <w:rFonts w:hint="eastAsia"/>
        </w:rPr>
        <w:t>水资源保护任务</w:t>
      </w:r>
      <w:bookmarkEnd w:id="46"/>
    </w:p>
    <w:p>
      <w:pPr>
        <w:bidi w:val="0"/>
        <w:outlineLvl w:val="2"/>
        <w:rPr>
          <w:rFonts w:hint="default"/>
        </w:rPr>
      </w:pPr>
      <w:r>
        <w:t>（1）落实最严格水资源管理制度的任务</w:t>
      </w:r>
    </w:p>
    <w:p>
      <w:pPr>
        <w:bidi w:val="0"/>
        <w:rPr>
          <w:rFonts w:hint="default"/>
        </w:rPr>
      </w:pPr>
      <w:r>
        <w:t>落实最严格水资源管理制度，取用水必须符合用水总量、用水效率和水功能区水质达标率“三条红线”。清理调查各取用水户是否办理取水许可证，是否超证取水等，如有违规情况，应限时整改到位。</w:t>
      </w:r>
    </w:p>
    <w:p>
      <w:pPr>
        <w:bidi w:val="0"/>
        <w:outlineLvl w:val="2"/>
        <w:rPr>
          <w:rFonts w:hint="default"/>
        </w:rPr>
      </w:pPr>
      <w:r>
        <w:t>（2）节水技术应用任务</w:t>
      </w:r>
    </w:p>
    <w:p>
      <w:pPr>
        <w:bidi w:val="0"/>
        <w:rPr>
          <w:rFonts w:hint="default"/>
        </w:rPr>
      </w:pPr>
      <w:r>
        <w:t>加强节约用水宣传，推广应用节水技术，达到节水技术应用目标。</w:t>
      </w:r>
    </w:p>
    <w:p>
      <w:pPr>
        <w:pStyle w:val="2"/>
        <w:bidi w:val="0"/>
        <w:rPr>
          <w:rFonts w:hint="eastAsia"/>
        </w:rPr>
      </w:pPr>
      <w:bookmarkStart w:id="47" w:name="_Toc29081"/>
      <w:r>
        <w:rPr>
          <w:rFonts w:hint="eastAsia"/>
        </w:rPr>
        <w:t>水域岸线管理保护任务</w:t>
      </w:r>
      <w:bookmarkEnd w:id="47"/>
    </w:p>
    <w:p>
      <w:pPr>
        <w:bidi w:val="0"/>
        <w:rPr>
          <w:rFonts w:hint="eastAsia"/>
        </w:rPr>
      </w:pPr>
      <w:r>
        <w:rPr>
          <w:rFonts w:hint="default"/>
        </w:rPr>
        <w:t>出台水域岸线保护与开发利用规划</w:t>
      </w:r>
      <w:r>
        <w:t>。</w:t>
      </w:r>
      <w:r>
        <w:rPr>
          <w:rFonts w:hint="default"/>
        </w:rPr>
        <w:t>出台</w:t>
      </w:r>
      <w:r>
        <w:rPr>
          <w:rFonts w:hint="eastAsia"/>
          <w:lang w:eastAsia="zh-CN"/>
        </w:rPr>
        <w:t>赤溪河</w:t>
      </w:r>
      <w:r>
        <w:rPr>
          <w:rFonts w:hint="default"/>
        </w:rPr>
        <w:t>水域岸线保护与开发利用规划，划定岸线保护区、保留区、限制开发区、开发利用区。</w:t>
      </w:r>
    </w:p>
    <w:p>
      <w:pPr>
        <w:pStyle w:val="2"/>
        <w:bidi w:val="0"/>
        <w:rPr>
          <w:rFonts w:hint="eastAsia"/>
        </w:rPr>
      </w:pPr>
      <w:bookmarkStart w:id="48" w:name="_Toc9763"/>
      <w:r>
        <w:rPr>
          <w:rFonts w:hint="eastAsia"/>
        </w:rPr>
        <w:t>水污染防治任务</w:t>
      </w:r>
      <w:bookmarkEnd w:id="48"/>
    </w:p>
    <w:p>
      <w:pPr>
        <w:bidi w:val="0"/>
        <w:rPr>
          <w:rFonts w:hint="default"/>
        </w:rPr>
      </w:pPr>
      <w:r>
        <w:rPr>
          <w:rFonts w:hint="default"/>
        </w:rPr>
        <w:t>开展农业面源污染专项整治工作。</w:t>
      </w:r>
    </w:p>
    <w:p>
      <w:pPr>
        <w:pStyle w:val="2"/>
        <w:bidi w:val="0"/>
        <w:rPr>
          <w:rFonts w:hint="eastAsia"/>
        </w:rPr>
      </w:pPr>
      <w:bookmarkStart w:id="49" w:name="_Toc8822"/>
      <w:r>
        <w:rPr>
          <w:rFonts w:hint="eastAsia"/>
        </w:rPr>
        <w:t>水环境治理任务</w:t>
      </w:r>
      <w:bookmarkEnd w:id="49"/>
    </w:p>
    <w:p>
      <w:pPr>
        <w:bidi w:val="0"/>
        <w:rPr>
          <w:rFonts w:hint="default"/>
          <w:lang w:val="en-US" w:eastAsia="zh-CN"/>
        </w:rPr>
      </w:pPr>
      <w:bookmarkStart w:id="50" w:name="OLE_LINK1"/>
      <w:r>
        <w:rPr>
          <w:rFonts w:hint="eastAsia"/>
          <w:lang w:val="en-US" w:eastAsia="zh-CN"/>
        </w:rPr>
        <w:t>完善饮用水源地规范化建设；</w:t>
      </w:r>
    </w:p>
    <w:p>
      <w:pPr>
        <w:bidi w:val="0"/>
        <w:rPr>
          <w:rFonts w:hint="default"/>
        </w:rPr>
      </w:pPr>
      <w:r>
        <w:rPr>
          <w:rFonts w:hint="default"/>
        </w:rPr>
        <w:t>加强水环境综合治理，加大河道</w:t>
      </w:r>
      <w:r>
        <w:t>、</w:t>
      </w:r>
      <w:r>
        <w:rPr>
          <w:rFonts w:hint="default"/>
        </w:rPr>
        <w:t>岸线垃圾治理力度。</w:t>
      </w:r>
    </w:p>
    <w:bookmarkEnd w:id="50"/>
    <w:p>
      <w:pPr>
        <w:pStyle w:val="2"/>
        <w:bidi w:val="0"/>
        <w:rPr>
          <w:rFonts w:hint="eastAsia"/>
        </w:rPr>
      </w:pPr>
      <w:bookmarkStart w:id="51" w:name="_Toc12123"/>
      <w:r>
        <w:rPr>
          <w:rFonts w:hint="eastAsia"/>
        </w:rPr>
        <w:t>水生态修复任务</w:t>
      </w:r>
      <w:bookmarkEnd w:id="51"/>
    </w:p>
    <w:p>
      <w:pPr>
        <w:bidi w:val="0"/>
        <w:rPr>
          <w:rFonts w:hint="default"/>
        </w:rPr>
      </w:pPr>
      <w:r>
        <w:t>河岸种植自然草皮、灌木和乔木相结合的绿化植物，营造优美水景观。河岸种植自然草皮、灌木和乔木相结合的绿化植物，营造优美水景观。</w:t>
      </w:r>
    </w:p>
    <w:p>
      <w:pPr>
        <w:pStyle w:val="2"/>
        <w:bidi w:val="0"/>
        <w:rPr>
          <w:rFonts w:hint="eastAsia"/>
        </w:rPr>
      </w:pPr>
      <w:bookmarkStart w:id="52" w:name="_Toc21502"/>
      <w:r>
        <w:rPr>
          <w:rFonts w:hint="eastAsia"/>
        </w:rPr>
        <w:t>执法监管任务</w:t>
      </w:r>
      <w:bookmarkEnd w:id="52"/>
    </w:p>
    <w:p>
      <w:pPr>
        <w:bidi w:val="0"/>
        <w:rPr>
          <w:rFonts w:hint="eastAsia"/>
        </w:rPr>
      </w:pPr>
      <w:r>
        <w:rPr>
          <w:rFonts w:hint="default"/>
        </w:rPr>
        <w:t>加强日常巡查和动态监管，落实执法责任主体，严厉打击涉河违法行为。</w:t>
      </w:r>
    </w:p>
    <w:p>
      <w:pPr>
        <w:rPr>
          <w:rFonts w:hint="eastAsia"/>
        </w:rPr>
      </w:pPr>
    </w:p>
    <w:p>
      <w:pPr>
        <w:pStyle w:val="3"/>
        <w:numPr>
          <w:ilvl w:val="0"/>
          <w:numId w:val="2"/>
        </w:numPr>
        <w:bidi w:val="0"/>
        <w:sectPr>
          <w:pgSz w:w="11906" w:h="16838"/>
          <w:pgMar w:top="1440" w:right="1800" w:bottom="1440" w:left="1800" w:header="851" w:footer="992" w:gutter="0"/>
          <w:pgNumType w:fmt="decimal"/>
          <w:cols w:space="425" w:num="1"/>
          <w:docGrid w:type="lines" w:linePitch="312" w:charSpace="0"/>
        </w:sectPr>
      </w:pPr>
    </w:p>
    <w:p>
      <w:pPr>
        <w:pStyle w:val="3"/>
        <w:bidi w:val="0"/>
      </w:pPr>
      <w:bookmarkStart w:id="53" w:name="_Toc28699"/>
      <w:r>
        <w:t>管理保护措施</w:t>
      </w:r>
      <w:bookmarkEnd w:id="53"/>
    </w:p>
    <w:p>
      <w:pPr>
        <w:pStyle w:val="2"/>
        <w:bidi w:val="0"/>
        <w:rPr>
          <w:rFonts w:hint="eastAsia"/>
        </w:rPr>
      </w:pPr>
      <w:bookmarkStart w:id="54" w:name="_Toc1583"/>
      <w:r>
        <w:rPr>
          <w:rFonts w:hint="eastAsia"/>
        </w:rPr>
        <w:t>水资源保护措施</w:t>
      </w:r>
      <w:bookmarkEnd w:id="54"/>
    </w:p>
    <w:p>
      <w:pPr>
        <w:pStyle w:val="4"/>
        <w:bidi w:val="0"/>
        <w:rPr>
          <w:rFonts w:hint="eastAsia"/>
        </w:rPr>
      </w:pPr>
      <w:r>
        <w:rPr>
          <w:rFonts w:hint="eastAsia"/>
        </w:rPr>
        <w:t>严格用水总量控制管理</w:t>
      </w:r>
    </w:p>
    <w:p>
      <w:pPr>
        <w:bidi w:val="0"/>
        <w:rPr>
          <w:rFonts w:hint="eastAsia"/>
        </w:rPr>
      </w:pPr>
      <w:r>
        <w:rPr>
          <w:rFonts w:hint="eastAsia"/>
        </w:rPr>
        <w:t>赤溪河应严格落实水资源开发利用红线，严格按照赤溪河用水总量控制体系的相关指标进行用水总量控制，核查赤溪河干流用水对象的取水许可手续和实际取水量。了解重要用水对象，核实相关的取水许可手续，涉及非法取水的，原则上应予以取缔。对于年代久远的民生工程，应补充落实相关手续或说明。在此基础上，核查各取用水工程的实际取用水量是否在核准范围内，保证实际用水量与区域的用水总量控制红线即区域的上限用水总量指标相协调。对流域内的地下水开采情况进行了解，对于无取水许可证的取水井应予以关停和封堵。</w:t>
      </w:r>
    </w:p>
    <w:p>
      <w:pPr>
        <w:pStyle w:val="4"/>
        <w:bidi w:val="0"/>
        <w:rPr>
          <w:rFonts w:hint="eastAsia"/>
        </w:rPr>
      </w:pPr>
      <w:r>
        <w:rPr>
          <w:rFonts w:hint="eastAsia"/>
        </w:rPr>
        <w:t>严格水资源论证管理</w:t>
      </w:r>
    </w:p>
    <w:p>
      <w:pPr>
        <w:bidi w:val="0"/>
        <w:rPr>
          <w:rFonts w:hint="eastAsia"/>
        </w:rPr>
      </w:pPr>
      <w:r>
        <w:rPr>
          <w:rFonts w:hint="eastAsia"/>
        </w:rPr>
        <w:t>严格落实水资源论证制度，强制淘汰离耗水的落后工艺、技术和设备，严格节水工艺、技术、用水水平、排污等方面的论证，明确取用水准入标准，促进产业结构调整。对未依法完成水资源论证工作的建设项目，审批机关不予批准。</w:t>
      </w:r>
    </w:p>
    <w:p>
      <w:pPr>
        <w:pStyle w:val="4"/>
        <w:bidi w:val="0"/>
        <w:rPr>
          <w:rFonts w:hint="eastAsia"/>
        </w:rPr>
      </w:pPr>
      <w:r>
        <w:rPr>
          <w:rFonts w:hint="eastAsia"/>
        </w:rPr>
        <w:t>持续推进赤溪河流域内农业节水</w:t>
      </w:r>
    </w:p>
    <w:p>
      <w:pPr>
        <w:bidi w:val="0"/>
        <w:rPr>
          <w:rFonts w:hint="eastAsia"/>
        </w:rPr>
      </w:pPr>
      <w:r>
        <w:rPr>
          <w:rFonts w:hint="eastAsia"/>
        </w:rPr>
        <w:t>加快田间渠系配套等小型农田水利设施建设。发展高效节水农业和生态农业，推广高效节水灌溉技术，创建节水型灌区。</w:t>
      </w:r>
    </w:p>
    <w:p>
      <w:pPr>
        <w:bidi w:val="0"/>
        <w:rPr>
          <w:rFonts w:hint="eastAsia"/>
        </w:rPr>
      </w:pPr>
      <w:r>
        <w:rPr>
          <w:rFonts w:hint="eastAsia"/>
        </w:rPr>
        <w:t>因地制宜采取渠道防渗、管灌、喷灌、滴灌等方式，加快推进高效农业节水灌溉项目建设。新建泵站、蓄水池，安装网式过滤器。通过对灌区内现有水利工程进行续建配套和防渗整治，大力发展节水灌溉工程、灌区自动化和信息化建设，提高灌区灌溉水和渠系水利用率。</w:t>
      </w:r>
    </w:p>
    <w:p>
      <w:pPr>
        <w:pStyle w:val="4"/>
        <w:bidi w:val="0"/>
      </w:pPr>
      <w:bookmarkStart w:id="55" w:name="_Toc501837947"/>
      <w:bookmarkStart w:id="56" w:name="_Toc501384754"/>
      <w:bookmarkStart w:id="57" w:name="_Toc501837462"/>
      <w:bookmarkStart w:id="58" w:name="_Toc503903383"/>
      <w:r>
        <w:rPr>
          <w:rFonts w:hint="eastAsia"/>
        </w:rPr>
        <w:t>水功能区监督管理措施</w:t>
      </w:r>
      <w:bookmarkEnd w:id="55"/>
      <w:bookmarkEnd w:id="56"/>
      <w:bookmarkEnd w:id="57"/>
      <w:bookmarkEnd w:id="58"/>
    </w:p>
    <w:p>
      <w:pPr>
        <w:numPr>
          <w:ilvl w:val="0"/>
          <w:numId w:val="14"/>
        </w:numPr>
        <w:bidi w:val="0"/>
        <w:ind w:left="425" w:leftChars="0" w:hanging="425" w:firstLineChars="0"/>
        <w:rPr>
          <w:rFonts w:hint="eastAsia"/>
        </w:rPr>
      </w:pPr>
      <w:r>
        <w:rPr>
          <w:rFonts w:hint="eastAsia"/>
        </w:rPr>
        <w:t>加强水功能限制纳污总量管理</w:t>
      </w:r>
    </w:p>
    <w:p>
      <w:pPr>
        <w:bidi w:val="0"/>
        <w:rPr>
          <w:rFonts w:hint="eastAsia"/>
        </w:rPr>
      </w:pPr>
      <w:r>
        <w:rPr>
          <w:rFonts w:hint="eastAsia"/>
        </w:rPr>
        <w:t>严守水功能区限制纳污红线。严格水功能区管理监督，根据水功能区划确定的河库水域纳污容量和限制排污总量，落实污染物达标排放要求，切实监管入河库排污口，严格控制入河库排污总量。目</w:t>
      </w:r>
      <w:r>
        <w:rPr>
          <w:rFonts w:hint="eastAsia"/>
          <w:color w:val="auto"/>
        </w:rPr>
        <w:t>前赤溪河污染物限制排放量：COD为</w:t>
      </w:r>
      <w:r>
        <w:rPr>
          <w:rFonts w:hint="eastAsia"/>
          <w:color w:val="auto"/>
          <w:lang w:val="en-US" w:eastAsia="zh-CN"/>
        </w:rPr>
        <w:t>37.72</w:t>
      </w:r>
      <w:r>
        <w:rPr>
          <w:rFonts w:hint="eastAsia"/>
          <w:color w:val="auto"/>
        </w:rPr>
        <w:t>t/d，NH3-N为</w:t>
      </w:r>
      <w:r>
        <w:rPr>
          <w:rFonts w:hint="eastAsia"/>
          <w:color w:val="auto"/>
          <w:lang w:val="en-US" w:eastAsia="zh-CN"/>
        </w:rPr>
        <w:t>5.02</w:t>
      </w:r>
      <w:r>
        <w:rPr>
          <w:rFonts w:hint="eastAsia"/>
          <w:color w:val="auto"/>
        </w:rPr>
        <w:t xml:space="preserve"> t/d。</w:t>
      </w:r>
      <w:r>
        <w:rPr>
          <w:rFonts w:hint="eastAsia"/>
        </w:rPr>
        <w:t>本次方案至规划20</w:t>
      </w:r>
      <w:r>
        <w:rPr>
          <w:rFonts w:hint="eastAsia"/>
          <w:lang w:val="en-US" w:eastAsia="zh-CN"/>
        </w:rPr>
        <w:t>25</w:t>
      </w:r>
      <w:r>
        <w:rPr>
          <w:rFonts w:hint="eastAsia"/>
        </w:rPr>
        <w:t>年，流域污染物入河量不得超过该标准，流域水功能区水质达标率保持在100%不变。加强水污染综合防治。排查入河污染源，严格治理</w:t>
      </w:r>
      <w:r>
        <w:rPr>
          <w:rFonts w:hint="eastAsia"/>
          <w:lang w:val="en-US" w:eastAsia="zh-CN"/>
        </w:rPr>
        <w:t>农村</w:t>
      </w:r>
      <w:r>
        <w:rPr>
          <w:rFonts w:hint="eastAsia"/>
        </w:rPr>
        <w:t>生活污染、畜禽养殖污染、农业面源污染。</w:t>
      </w:r>
    </w:p>
    <w:p>
      <w:pPr>
        <w:numPr>
          <w:ilvl w:val="0"/>
          <w:numId w:val="14"/>
        </w:numPr>
        <w:bidi w:val="0"/>
        <w:ind w:left="425" w:leftChars="0" w:hanging="425" w:firstLineChars="0"/>
        <w:rPr>
          <w:rFonts w:hint="eastAsia"/>
        </w:rPr>
      </w:pPr>
      <w:r>
        <w:rPr>
          <w:rFonts w:hint="eastAsia"/>
        </w:rPr>
        <w:t>健全水功能区管理制度</w:t>
      </w:r>
    </w:p>
    <w:p>
      <w:pPr>
        <w:bidi w:val="0"/>
        <w:rPr>
          <w:rFonts w:hint="eastAsia"/>
        </w:rPr>
      </w:pPr>
      <w:r>
        <w:rPr>
          <w:rFonts w:hint="eastAsia"/>
        </w:rPr>
        <w:t>赤溪河水功能区划经丰都县人民政府批准后，应按照水功能区管理要求进行实施和管理。水行政主管部门应结合区域内水功能区管理要求，建立相应的管理制度，保障水功能区管理的顺利实施：</w:t>
      </w:r>
    </w:p>
    <w:p>
      <w:pPr>
        <w:bidi w:val="0"/>
        <w:rPr>
          <w:rFonts w:hint="eastAsia"/>
        </w:rPr>
      </w:pPr>
      <w:r>
        <w:rPr>
          <w:rFonts w:hint="eastAsia"/>
        </w:rPr>
        <w:t>①严格执行《水功能区划管理办法》，使水功能区的管理规范化、科学化、法制化。</w:t>
      </w:r>
    </w:p>
    <w:p>
      <w:pPr>
        <w:bidi w:val="0"/>
        <w:rPr>
          <w:rFonts w:hint="eastAsia"/>
        </w:rPr>
      </w:pPr>
      <w:r>
        <w:rPr>
          <w:rFonts w:hint="eastAsia"/>
        </w:rPr>
        <w:t>②</w:t>
      </w:r>
      <w:r>
        <w:rPr>
          <w:rFonts w:hint="eastAsia"/>
        </w:rPr>
        <w:tab/>
      </w:r>
      <w:r>
        <w:rPr>
          <w:rFonts w:hint="eastAsia"/>
        </w:rPr>
        <w:t>建立水功能区管理的相关技术标准，使管理工作标准化。</w:t>
      </w:r>
    </w:p>
    <w:p>
      <w:pPr>
        <w:bidi w:val="0"/>
        <w:rPr>
          <w:rFonts w:hint="eastAsia"/>
        </w:rPr>
      </w:pPr>
      <w:r>
        <w:rPr>
          <w:rFonts w:hint="eastAsia"/>
        </w:rPr>
        <w:t>③</w:t>
      </w:r>
      <w:r>
        <w:rPr>
          <w:rFonts w:hint="eastAsia"/>
        </w:rPr>
        <w:tab/>
      </w:r>
      <w:r>
        <w:rPr>
          <w:rFonts w:hint="eastAsia"/>
        </w:rPr>
        <w:t>建立水功能区水质目标考核制度，按照水功能区水质目标要求，实施水功能区水质保护。</w:t>
      </w:r>
    </w:p>
    <w:p>
      <w:pPr>
        <w:bidi w:val="0"/>
        <w:rPr>
          <w:rFonts w:hint="eastAsia"/>
        </w:rPr>
      </w:pPr>
      <w:r>
        <w:rPr>
          <w:rFonts w:hint="eastAsia"/>
        </w:rPr>
        <w:t>④</w:t>
      </w:r>
      <w:r>
        <w:rPr>
          <w:rFonts w:hint="eastAsia"/>
        </w:rPr>
        <w:tab/>
      </w:r>
      <w:r>
        <w:rPr>
          <w:rFonts w:hint="eastAsia"/>
        </w:rPr>
        <w:t>根据水功能区保护目标，落实相关水功能区的保护责任，使水域纳污总量控制责任到政府。</w:t>
      </w:r>
    </w:p>
    <w:p>
      <w:pPr>
        <w:bidi w:val="0"/>
        <w:rPr>
          <w:rFonts w:hint="eastAsia"/>
        </w:rPr>
      </w:pPr>
      <w:r>
        <w:rPr>
          <w:rFonts w:hint="eastAsia"/>
        </w:rPr>
        <w:t>⑤</w:t>
      </w:r>
      <w:r>
        <w:rPr>
          <w:rFonts w:hint="eastAsia"/>
        </w:rPr>
        <w:tab/>
      </w:r>
      <w:r>
        <w:rPr>
          <w:rFonts w:hint="eastAsia"/>
        </w:rPr>
        <w:t>建立明显的水功能区标志，以便社会各界了解各水功能区的功能和保护目标、范围，参与保护。特别是对源头水、饮用水源地的水域等重要保护水域都要建立明显标志，注明保护条例、制度及相关要求，依法从严管理。</w:t>
      </w:r>
    </w:p>
    <w:p>
      <w:pPr>
        <w:pStyle w:val="2"/>
        <w:bidi w:val="0"/>
        <w:rPr>
          <w:rFonts w:hint="eastAsia"/>
        </w:rPr>
      </w:pPr>
      <w:bookmarkStart w:id="59" w:name="_Toc2175"/>
      <w:r>
        <w:rPr>
          <w:rFonts w:hint="eastAsia"/>
        </w:rPr>
        <w:t>水域岸线管理保护措施</w:t>
      </w:r>
      <w:bookmarkEnd w:id="59"/>
    </w:p>
    <w:p>
      <w:pPr>
        <w:bidi w:val="0"/>
        <w:rPr>
          <w:rFonts w:hint="eastAsia"/>
        </w:rPr>
      </w:pPr>
      <w:r>
        <w:rPr>
          <w:rFonts w:hint="eastAsia"/>
        </w:rPr>
        <w:t xml:space="preserve">赤溪河已完成河道管理划界工及岸线管理规划工作，规划年还需做的岸线管理保护措施主要有以下几条： </w:t>
      </w:r>
    </w:p>
    <w:p>
      <w:pPr>
        <w:pStyle w:val="4"/>
        <w:bidi w:val="0"/>
        <w:rPr>
          <w:rFonts w:hint="eastAsia"/>
        </w:rPr>
      </w:pPr>
      <w:r>
        <w:rPr>
          <w:rFonts w:hint="eastAsia"/>
        </w:rPr>
        <w:t>水域岸线问题排查</w:t>
      </w:r>
    </w:p>
    <w:p>
      <w:pPr>
        <w:bidi w:val="0"/>
        <w:rPr>
          <w:rFonts w:hint="eastAsia"/>
        </w:rPr>
      </w:pPr>
      <w:r>
        <w:rPr>
          <w:rFonts w:hint="eastAsia"/>
        </w:rPr>
        <w:t>根据《重庆市河道管理条例》，河长严格排查赤溪河水域岸线非法侵占、破坏等情况，结合纸质表格详实记录问题，包括所在河段位置、长度或范围、存在问题、责任主体、负责河长、整改难度等内容，于20</w:t>
      </w:r>
      <w:r>
        <w:rPr>
          <w:rFonts w:hint="eastAsia"/>
          <w:lang w:val="en-US" w:eastAsia="zh-CN"/>
        </w:rPr>
        <w:t>22</w:t>
      </w:r>
      <w:r>
        <w:rPr>
          <w:rFonts w:hint="eastAsia"/>
        </w:rPr>
        <w:t>年形成水域岸线问题清单，并及时上报上一级河长。上级河长应及时安排通知整改期限、人员安排、目标任务等内容，逐级分解落实任务。</w:t>
      </w:r>
    </w:p>
    <w:p>
      <w:pPr>
        <w:pStyle w:val="4"/>
        <w:bidi w:val="0"/>
        <w:rPr>
          <w:rFonts w:hint="eastAsia"/>
        </w:rPr>
      </w:pPr>
      <w:r>
        <w:rPr>
          <w:rFonts w:hint="eastAsia"/>
        </w:rPr>
        <w:t>水域岸线清理整治</w:t>
      </w:r>
    </w:p>
    <w:p>
      <w:pPr>
        <w:bidi w:val="0"/>
        <w:rPr>
          <w:rFonts w:hint="eastAsia"/>
        </w:rPr>
      </w:pPr>
      <w:r>
        <w:rPr>
          <w:rFonts w:hint="eastAsia"/>
        </w:rPr>
        <w:t>20</w:t>
      </w:r>
      <w:r>
        <w:rPr>
          <w:rFonts w:hint="eastAsia"/>
          <w:lang w:val="en-US" w:eastAsia="zh-CN"/>
        </w:rPr>
        <w:t>22</w:t>
      </w:r>
      <w:r>
        <w:rPr>
          <w:rFonts w:hint="eastAsia"/>
        </w:rPr>
        <w:t>年，各级河长落实责任，依据水域岸线问题排查清单，针对突出问题制定《赤溪河水域岸线突出问题整治方案》，开展专项执法和集中整治行动，做到依法查处到位、责任追究到位、整改落实到位。重点清理整顿现有水域岸线突出违法行为，加强水域及岸线垃圾、淤泥、堆土、堆石等清理和处理工作，依法拆除侵占河道空间的非法建筑等构筑物，对不利于岸线景观提升和水域保护的建设提出搬迁方案。至20</w:t>
      </w:r>
      <w:r>
        <w:rPr>
          <w:rFonts w:hint="eastAsia"/>
          <w:lang w:val="en-US" w:eastAsia="zh-CN"/>
        </w:rPr>
        <w:t>25</w:t>
      </w:r>
      <w:r>
        <w:rPr>
          <w:rFonts w:hint="eastAsia"/>
        </w:rPr>
        <w:t>年底，赤溪河水域岸线管护良好比例达100%，自然岸线保有率控制在</w:t>
      </w:r>
      <w:r>
        <w:rPr>
          <w:rFonts w:hint="eastAsia"/>
          <w:lang w:val="en-US" w:eastAsia="zh-CN"/>
        </w:rPr>
        <w:t>95</w:t>
      </w:r>
      <w:r>
        <w:rPr>
          <w:rFonts w:hint="eastAsia"/>
        </w:rPr>
        <w:t>%以上。</w:t>
      </w:r>
    </w:p>
    <w:p>
      <w:pPr>
        <w:pStyle w:val="4"/>
        <w:bidi w:val="0"/>
        <w:rPr>
          <w:rFonts w:hint="eastAsia"/>
        </w:rPr>
      </w:pPr>
      <w:r>
        <w:rPr>
          <w:rFonts w:hint="eastAsia"/>
        </w:rPr>
        <w:t>水域岸线长效管护</w:t>
      </w:r>
    </w:p>
    <w:p>
      <w:pPr>
        <w:bidi w:val="0"/>
        <w:rPr>
          <w:rFonts w:hint="eastAsia"/>
        </w:rPr>
      </w:pPr>
      <w:r>
        <w:rPr>
          <w:rFonts w:hint="eastAsia"/>
        </w:rPr>
        <w:t>建立河道水域岸线占用备案制度。对确需使用占用且已经使用占用的行为进行备案。建立河库巡查报告制度，及时、有效地查处、纠正违法占用水利设施和水域的行为，严格落实执法责任，确保河湖水域占用监管到位。基于现有法律法规，明确提出处罚措施，加大处罚力度，增加其违法成本，遏制水域占用行动。</w:t>
      </w:r>
    </w:p>
    <w:p>
      <w:pPr>
        <w:pStyle w:val="4"/>
        <w:bidi w:val="0"/>
        <w:rPr>
          <w:rFonts w:hint="eastAsia"/>
        </w:rPr>
      </w:pPr>
      <w:r>
        <w:rPr>
          <w:rFonts w:hint="eastAsia"/>
        </w:rPr>
        <w:t>主要措施</w:t>
      </w:r>
    </w:p>
    <w:p>
      <w:pPr>
        <w:rPr>
          <w:rFonts w:hint="eastAsia"/>
        </w:rPr>
      </w:pPr>
      <w:r>
        <w:rPr>
          <w:rFonts w:hint="eastAsia" w:ascii="方正仿宋_GBK" w:hAnsi="宋体" w:eastAsia="方正仿宋_GBK"/>
          <w:b/>
          <w:sz w:val="30"/>
          <w:szCs w:val="30"/>
        </w:rPr>
        <w:t>赤溪河树人镇段</w:t>
      </w:r>
      <w:r>
        <w:rPr>
          <w:rFonts w:hint="eastAsia" w:hAnsi="宋体"/>
          <w:b/>
          <w:sz w:val="30"/>
          <w:szCs w:val="30"/>
          <w:lang w:val="en-US" w:eastAsia="zh-CN"/>
        </w:rPr>
        <w:t>和十直镇段</w:t>
      </w:r>
      <w:r>
        <w:rPr>
          <w:rFonts w:hint="eastAsia" w:ascii="方正仿宋_GBK" w:hAnsi="宋体" w:eastAsia="方正仿宋_GBK"/>
          <w:b/>
          <w:sz w:val="30"/>
          <w:szCs w:val="30"/>
        </w:rPr>
        <w:t>存在河滩地种植，建议清退。</w:t>
      </w:r>
    </w:p>
    <w:p>
      <w:pPr>
        <w:pStyle w:val="2"/>
        <w:bidi w:val="0"/>
        <w:rPr>
          <w:rFonts w:hint="eastAsia"/>
        </w:rPr>
      </w:pPr>
      <w:bookmarkStart w:id="60" w:name="_Toc8214"/>
      <w:r>
        <w:rPr>
          <w:rFonts w:hint="eastAsia"/>
        </w:rPr>
        <w:t>水污染防治措施</w:t>
      </w:r>
      <w:bookmarkEnd w:id="60"/>
    </w:p>
    <w:p>
      <w:pPr>
        <w:pStyle w:val="4"/>
        <w:bidi w:val="0"/>
        <w:rPr>
          <w:rFonts w:hint="eastAsia"/>
        </w:rPr>
      </w:pPr>
      <w:bookmarkStart w:id="61" w:name="_Toc501837469"/>
      <w:bookmarkStart w:id="62" w:name="_Toc503903388"/>
      <w:bookmarkStart w:id="63" w:name="_Toc501384761"/>
      <w:bookmarkStart w:id="64" w:name="_Toc501837954"/>
      <w:r>
        <w:rPr>
          <w:rFonts w:hint="eastAsia"/>
        </w:rPr>
        <w:t>农业面污染治理措施</w:t>
      </w:r>
      <w:bookmarkEnd w:id="61"/>
      <w:bookmarkEnd w:id="62"/>
      <w:bookmarkEnd w:id="63"/>
      <w:bookmarkEnd w:id="64"/>
    </w:p>
    <w:p>
      <w:pPr>
        <w:bidi w:val="0"/>
        <w:rPr>
          <w:rFonts w:hint="eastAsia"/>
        </w:rPr>
      </w:pPr>
      <w:r>
        <w:rPr>
          <w:rFonts w:hint="eastAsia"/>
        </w:rPr>
        <w:t>通过实施农业生产标准化建设，氮磷拦截工程等措施,减少农药、化肥使用量和流失量。推广农业标准化生产技术,对农业生产全过程制定标准化操作规程,推广精确定量栽培技术,定时、定量、精准使用农药、化肥等,减少化肥与农药施用量；根据作物营养需求特性,使用配方肥料,发挥配方肥在化肥减量、农田减污方面的作用。</w:t>
      </w:r>
    </w:p>
    <w:p>
      <w:pPr>
        <w:bidi w:val="0"/>
        <w:rPr>
          <w:rFonts w:hint="eastAsia" w:ascii="方正仿宋_GBK" w:hAnsi="宋体" w:eastAsia="方正仿宋_GBK"/>
          <w:szCs w:val="30"/>
        </w:rPr>
      </w:pPr>
      <w:r>
        <w:rPr>
          <w:rFonts w:hint="eastAsia"/>
        </w:rPr>
        <w:t>加大生物有机肥和低毒低残留农药的推广与普及</w:t>
      </w:r>
      <w:r>
        <w:rPr>
          <w:rFonts w:hint="eastAsia"/>
          <w:lang w:eastAsia="zh-CN"/>
        </w:rPr>
        <w:t>，</w:t>
      </w:r>
      <w:r>
        <w:rPr>
          <w:rFonts w:hint="eastAsia"/>
        </w:rPr>
        <w:t>增强有毒有害物质超标的肥料以及髙毒、高残留农药的禁止与限制</w:t>
      </w:r>
      <w:r>
        <w:rPr>
          <w:rFonts w:hint="eastAsia"/>
          <w:lang w:eastAsia="zh-CN"/>
        </w:rPr>
        <w:t>，</w:t>
      </w:r>
      <w:r>
        <w:rPr>
          <w:rFonts w:hint="eastAsia"/>
        </w:rPr>
        <w:t>实施肥药双控全面加大农业投入品监控力度。综合运用植保、土肥及种子栽培技术控制农药、化肥使用量。推广病虫草害生物防治和物理防治,控制农药年度需求量。推进化肥减量提效和农药减量控害,确保农药和化肥零增长。推广高效低毒低残留农药和生物农药，严格禁止使用高毒高残留农药；加强病虫害预报，减少用药频次；积极推广杀虫灯、防虫网等物理防虫设备，生物防治技术，减少农药使用量。</w:t>
      </w:r>
    </w:p>
    <w:p>
      <w:pPr>
        <w:bidi w:val="0"/>
        <w:rPr>
          <w:rFonts w:hint="eastAsia"/>
          <w:b/>
          <w:bCs/>
        </w:rPr>
      </w:pPr>
      <w:r>
        <w:rPr>
          <w:rFonts w:hint="eastAsia"/>
          <w:b/>
          <w:bCs/>
        </w:rPr>
        <w:t>主要措施：结合《实施减量增效行动，严格控制农业面源污染》（丰都县农业委员会）文件，对赤溪河流域内农田采取</w:t>
      </w:r>
      <w:r>
        <w:rPr>
          <w:b/>
          <w:bCs/>
        </w:rPr>
        <w:t>水肥滴灌系统</w:t>
      </w:r>
      <w:r>
        <w:rPr>
          <w:rFonts w:hint="eastAsia"/>
          <w:b/>
          <w:bCs/>
        </w:rPr>
        <w:t>、生物拦截沟、灭虫灯等措施减少化肥、农药施用量，对农业面污染进行逐步治理，确保实施周期内农药和化肥零增长。</w:t>
      </w:r>
    </w:p>
    <w:p>
      <w:pPr>
        <w:pStyle w:val="4"/>
        <w:bidi w:val="0"/>
        <w:rPr>
          <w:rFonts w:hint="eastAsia"/>
        </w:rPr>
      </w:pPr>
      <w:bookmarkStart w:id="65" w:name="_Toc503903390"/>
      <w:r>
        <w:rPr>
          <w:rFonts w:hint="eastAsia"/>
        </w:rPr>
        <w:t>农村生活污水污染防治措施</w:t>
      </w:r>
      <w:bookmarkEnd w:id="65"/>
    </w:p>
    <w:p>
      <w:pPr>
        <w:bidi w:val="0"/>
        <w:rPr>
          <w:rFonts w:hint="eastAsia"/>
        </w:rPr>
      </w:pPr>
      <w:r>
        <w:rPr>
          <w:rFonts w:hint="eastAsia"/>
        </w:rPr>
        <w:t>流域内的乡村主要有保合镇牟家场村，十直镇莲花村、十字村、新屋村，树人镇万寿桥村、岩口场村、三口井村、大石板村，名山街道农花村</w:t>
      </w:r>
      <w:r>
        <w:rPr>
          <w:rFonts w:hint="eastAsia"/>
          <w:lang w:eastAsia="zh-CN"/>
        </w:rPr>
        <w:t>、</w:t>
      </w:r>
      <w:r>
        <w:rPr>
          <w:rFonts w:hint="eastAsia"/>
          <w:lang w:val="en-US" w:eastAsia="zh-CN"/>
        </w:rPr>
        <w:t>赤溪村</w:t>
      </w:r>
      <w:r>
        <w:rPr>
          <w:rFonts w:hint="eastAsia"/>
        </w:rPr>
        <w:t>。目前以上村庄均离场镇较远，无法覆盖污水管网，同时农村居民较为分散，不适合实施农村连片整治。结合《丰都县农村生活污水治理专项规划（2021-2030年）》文件中农房“四改”行动，实施改厕、</w:t>
      </w:r>
      <w:r>
        <w:t>改厨</w:t>
      </w:r>
      <w:r>
        <w:rPr>
          <w:rFonts w:hint="eastAsia"/>
        </w:rPr>
        <w:t>、</w:t>
      </w:r>
      <w:r>
        <w:t>改圈</w:t>
      </w:r>
      <w:r>
        <w:rPr>
          <w:rFonts w:hint="eastAsia"/>
        </w:rPr>
        <w:t>、</w:t>
      </w:r>
      <w:r>
        <w:t>改院</w:t>
      </w:r>
      <w:r>
        <w:rPr>
          <w:rFonts w:hint="eastAsia"/>
        </w:rPr>
        <w:t>措施，提高农村生活污水处理率。工程投资纳入</w:t>
      </w:r>
      <w:r>
        <w:t>农村人居环境整治专项行动方案</w:t>
      </w:r>
      <w:r>
        <w:rPr>
          <w:rFonts w:hint="eastAsia"/>
        </w:rPr>
        <w:t>。</w:t>
      </w:r>
    </w:p>
    <w:p>
      <w:pPr>
        <w:bidi w:val="0"/>
        <w:rPr>
          <w:rFonts w:hint="eastAsia"/>
        </w:rPr>
      </w:pPr>
      <w:r>
        <w:rPr>
          <w:rFonts w:hint="eastAsia"/>
        </w:rPr>
        <w:t>具体措施如下：一是改厕。实施农村户用厕所无害化卫生改造，厕屋使用面积不小于2平方米，高度不低于2.5米，地面硬化，配置洗脸盆、便池、冲洗设备、上下水系统、照明设施。二是改厨。墙面全部粉刷，灶台四周及台面贴瓷砖，地面实施水泥硬化，配备碗柜、案板等必需设备并做到美观清洁，排水、排烟系统通畅。三是改圈。对农村弃用的破损圈舍进行拆除整治，引导有养殖需求的农户对既有圈舍进行规范化改造，实现居住与圈舍分离，粪污有效处理和资源化利用，消除人畜混居现象。四是改院。清理房前屋后柴草杂物、垃圾粪土、残垣断壁；硬化院坝及阶沿散水，疏浚整治四周雨污沟渠，利用零散空地开展庭院绿化，建设微菜园、微果园、微竹园、微花园。</w:t>
      </w:r>
    </w:p>
    <w:p>
      <w:pPr>
        <w:pStyle w:val="2"/>
        <w:bidi w:val="0"/>
        <w:rPr>
          <w:rFonts w:hint="eastAsia"/>
        </w:rPr>
      </w:pPr>
      <w:bookmarkStart w:id="66" w:name="_Toc31017"/>
      <w:r>
        <w:rPr>
          <w:rFonts w:hint="eastAsia"/>
        </w:rPr>
        <w:t>水环境治理措施</w:t>
      </w:r>
      <w:bookmarkEnd w:id="66"/>
    </w:p>
    <w:p>
      <w:pPr>
        <w:pStyle w:val="4"/>
        <w:bidi w:val="0"/>
      </w:pPr>
      <w:r>
        <w:rPr>
          <w:rFonts w:hint="eastAsia"/>
        </w:rPr>
        <w:t>水源地规范化建设</w:t>
      </w:r>
    </w:p>
    <w:p>
      <w:pPr>
        <w:bidi w:val="0"/>
        <w:rPr>
          <w:rFonts w:hint="eastAsia"/>
        </w:rPr>
      </w:pPr>
      <w:r>
        <w:rPr>
          <w:rFonts w:hint="eastAsia"/>
        </w:rPr>
        <w:t>赤溪河干流流域内现有丰都县十直供水站水源地，水源地规范化建设应做好以下工作：</w:t>
      </w:r>
    </w:p>
    <w:p>
      <w:pPr>
        <w:numPr>
          <w:ilvl w:val="0"/>
          <w:numId w:val="15"/>
        </w:numPr>
        <w:bidi w:val="0"/>
        <w:ind w:left="425" w:leftChars="0" w:right="0" w:rightChars="0" w:hanging="425" w:firstLineChars="0"/>
        <w:rPr>
          <w:rFonts w:hint="eastAsia"/>
        </w:rPr>
      </w:pPr>
      <w:r>
        <w:rPr>
          <w:rFonts w:hint="eastAsia"/>
        </w:rPr>
        <w:t>完善保护区标志</w:t>
      </w:r>
    </w:p>
    <w:p>
      <w:pPr>
        <w:bidi w:val="0"/>
        <w:rPr>
          <w:rFonts w:hint="eastAsia"/>
        </w:rPr>
      </w:pPr>
      <w:r>
        <w:rPr>
          <w:rFonts w:hint="eastAsia"/>
        </w:rPr>
        <w:t>按照《饮用水水源保护区标志技术要求》(HJ/T433)，要查漏补缺，规范、整齐、统一设置界碑、交通警示牌和宣传牌等标识，以及保护区内道路警示标志，保持状态完好，警示过往行人、车辆及其他活动，远离水源，防止污染。</w:t>
      </w:r>
    </w:p>
    <w:p>
      <w:pPr>
        <w:numPr>
          <w:ilvl w:val="0"/>
          <w:numId w:val="15"/>
        </w:numPr>
        <w:bidi w:val="0"/>
        <w:ind w:left="425" w:leftChars="0" w:right="0" w:rightChars="0" w:hanging="425" w:firstLineChars="0"/>
        <w:rPr>
          <w:rFonts w:hint="eastAsia"/>
        </w:rPr>
      </w:pPr>
      <w:r>
        <w:rPr>
          <w:rFonts w:hint="eastAsia"/>
        </w:rPr>
        <w:t>合理设置隔离防护</w:t>
      </w:r>
    </w:p>
    <w:p>
      <w:pPr>
        <w:bidi w:val="0"/>
        <w:rPr>
          <w:rFonts w:hint="eastAsia"/>
        </w:rPr>
      </w:pPr>
      <w:r>
        <w:rPr>
          <w:rFonts w:hint="eastAsia"/>
        </w:rPr>
        <w:t>对岸堤水库一级保护区周边人群密集，生产生活活动频繁的区域设置隔离防护设施，杜绝人类活动对取水口的影响。对保护区有道路交通穿越的桥梁要建设防撞护栏、事故导流槽和应急池等设施。同时，要建立定期巡查制度，明确责任，确保各类隔离防护设施正常使用。</w:t>
      </w:r>
    </w:p>
    <w:p>
      <w:pPr>
        <w:pStyle w:val="25"/>
        <w:bidi w:val="0"/>
        <w:rPr>
          <w:rFonts w:hint="eastAsia"/>
        </w:rPr>
      </w:pPr>
      <w:r>
        <w:drawing>
          <wp:inline distT="0" distB="0" distL="114300" distR="114300">
            <wp:extent cx="5268595" cy="3114040"/>
            <wp:effectExtent l="0" t="0" r="825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8595" cy="3114040"/>
                    </a:xfrm>
                    <a:prstGeom prst="rect">
                      <a:avLst/>
                    </a:prstGeom>
                    <a:noFill/>
                    <a:ln>
                      <a:noFill/>
                    </a:ln>
                  </pic:spPr>
                </pic:pic>
              </a:graphicData>
            </a:graphic>
          </wp:inline>
        </w:drawing>
      </w:r>
    </w:p>
    <w:p>
      <w:pPr>
        <w:pStyle w:val="25"/>
        <w:bidi w:val="0"/>
        <w:rPr>
          <w:rFonts w:hint="eastAsia"/>
        </w:rPr>
      </w:pPr>
      <w:r>
        <w:rPr>
          <w:rFonts w:hint="eastAsia"/>
        </w:rPr>
        <w:t>图</w:t>
      </w:r>
      <w:r>
        <w:rPr>
          <w:rFonts w:hint="eastAsia"/>
          <w:lang w:val="en-US" w:eastAsia="zh-CN"/>
        </w:rPr>
        <w:t>6.</w:t>
      </w:r>
      <w:r>
        <w:rPr>
          <w:rFonts w:hint="eastAsia"/>
        </w:rPr>
        <w:t>4-1         饮用水水源保护区隔离网结构示意图</w:t>
      </w:r>
    </w:p>
    <w:p>
      <w:pPr>
        <w:numPr>
          <w:ilvl w:val="0"/>
          <w:numId w:val="15"/>
        </w:numPr>
        <w:bidi w:val="0"/>
        <w:ind w:left="425" w:leftChars="0" w:right="0" w:rightChars="0" w:hanging="425" w:firstLineChars="0"/>
        <w:rPr>
          <w:rFonts w:hint="eastAsia"/>
        </w:rPr>
      </w:pPr>
      <w:r>
        <w:rPr>
          <w:rFonts w:hint="eastAsia"/>
        </w:rPr>
        <w:t>开展生态修复与保护工作</w:t>
      </w:r>
    </w:p>
    <w:p>
      <w:pPr>
        <w:bidi w:val="0"/>
        <w:rPr>
          <w:rFonts w:hint="eastAsia"/>
        </w:rPr>
      </w:pPr>
      <w:r>
        <w:rPr>
          <w:rFonts w:hint="eastAsia"/>
        </w:rPr>
        <w:t>加强环保宣传，发动大众共同保障饮用水源安全，提高保护区群众自觉保护饮用水水源的意识；开展生态农业、退耕还林、植树造林，监督保护区内植树造林情况，落实重庆市总体要求的县级以上饮用水源地一级保护区内适宜绿化的陆域植被覆盖率。</w:t>
      </w:r>
    </w:p>
    <w:p>
      <w:pPr>
        <w:bidi w:val="0"/>
        <w:rPr>
          <w:rFonts w:hint="eastAsia"/>
        </w:rPr>
      </w:pPr>
      <w:r>
        <w:rPr>
          <w:rFonts w:hint="eastAsia"/>
        </w:rPr>
        <w:t>本次</w:t>
      </w:r>
      <w:r>
        <w:rPr>
          <w:rFonts w:hint="eastAsia"/>
          <w:lang w:eastAsia="zh-CN"/>
        </w:rPr>
        <w:t>丰都县</w:t>
      </w:r>
      <w:r>
        <w:rPr>
          <w:rFonts w:hint="eastAsia"/>
        </w:rPr>
        <w:t>十直供水站水源地标准化建设规划投资</w:t>
      </w:r>
      <w:r>
        <w:rPr>
          <w:rFonts w:hint="eastAsia"/>
          <w:lang w:val="en-US" w:eastAsia="zh-CN"/>
        </w:rPr>
        <w:t>5</w:t>
      </w:r>
      <w:r>
        <w:rPr>
          <w:rFonts w:hint="eastAsia"/>
        </w:rPr>
        <w:t>万元，于20</w:t>
      </w:r>
      <w:r>
        <w:rPr>
          <w:rFonts w:hint="eastAsia"/>
          <w:lang w:val="en-US" w:eastAsia="zh-CN"/>
        </w:rPr>
        <w:t>23</w:t>
      </w:r>
      <w:r>
        <w:rPr>
          <w:rFonts w:hint="eastAsia"/>
        </w:rPr>
        <w:t>年年末完成。</w:t>
      </w:r>
    </w:p>
    <w:p>
      <w:pPr>
        <w:pStyle w:val="4"/>
        <w:bidi w:val="0"/>
        <w:rPr>
          <w:rFonts w:hint="eastAsia"/>
        </w:rPr>
      </w:pPr>
      <w:bookmarkStart w:id="67" w:name="_Toc503903396"/>
      <w:bookmarkStart w:id="68" w:name="_Toc501837473"/>
      <w:bookmarkStart w:id="69" w:name="_Toc501837958"/>
      <w:r>
        <w:rPr>
          <w:rFonts w:hint="eastAsia"/>
        </w:rPr>
        <w:t>沿河保洁措施</w:t>
      </w:r>
      <w:bookmarkEnd w:id="67"/>
      <w:bookmarkEnd w:id="68"/>
      <w:bookmarkEnd w:id="69"/>
    </w:p>
    <w:p>
      <w:pPr>
        <w:bidi w:val="0"/>
        <w:rPr>
          <w:rFonts w:hint="eastAsia"/>
        </w:rPr>
      </w:pPr>
      <w:r>
        <w:rPr>
          <w:rFonts w:hint="eastAsia"/>
        </w:rPr>
        <w:t>河面垃圾、杂物、藻类打捞：河面存在不少垃圾</w:t>
      </w:r>
      <w:r>
        <w:rPr>
          <w:rFonts w:hint="eastAsia"/>
          <w:lang w:eastAsia="zh-CN"/>
        </w:rPr>
        <w:t>，</w:t>
      </w:r>
      <w:r>
        <w:rPr>
          <w:rFonts w:hint="eastAsia"/>
        </w:rPr>
        <w:t>需要加强对河面垃圾、杂物及藻类的打捞。</w:t>
      </w:r>
    </w:p>
    <w:p>
      <w:pPr>
        <w:bidi w:val="0"/>
        <w:rPr>
          <w:rFonts w:hint="eastAsia"/>
        </w:rPr>
      </w:pPr>
      <w:r>
        <w:rPr>
          <w:rFonts w:hint="eastAsia"/>
        </w:rPr>
        <w:t>沿河垃圾清理整治：主河道两侧沿河堆放在岸边的垃圾全部进行清理。河面打捞上来临时堆放在河岸边的垃圾要及时清理干净。</w:t>
      </w:r>
    </w:p>
    <w:p>
      <w:pPr>
        <w:bidi w:val="0"/>
        <w:rPr>
          <w:rFonts w:hint="eastAsia"/>
        </w:rPr>
      </w:pPr>
      <w:r>
        <w:rPr>
          <w:rFonts w:hint="eastAsia"/>
        </w:rPr>
        <w:t>河道保洁管理：健全河道长效保洁机制。</w:t>
      </w:r>
    </w:p>
    <w:p>
      <w:pPr>
        <w:pStyle w:val="2"/>
        <w:bidi w:val="0"/>
        <w:rPr>
          <w:rFonts w:hint="eastAsia"/>
        </w:rPr>
      </w:pPr>
      <w:bookmarkStart w:id="70" w:name="_Toc23577"/>
      <w:r>
        <w:rPr>
          <w:rFonts w:hint="eastAsia"/>
        </w:rPr>
        <w:t>水生态修复措施</w:t>
      </w:r>
      <w:bookmarkEnd w:id="70"/>
    </w:p>
    <w:p>
      <w:pPr>
        <w:numPr>
          <w:ilvl w:val="0"/>
          <w:numId w:val="16"/>
        </w:numPr>
        <w:bidi w:val="0"/>
        <w:ind w:left="425" w:leftChars="0" w:right="0" w:rightChars="0" w:hanging="425" w:firstLineChars="0"/>
        <w:outlineLvl w:val="2"/>
        <w:rPr>
          <w:rFonts w:hint="default"/>
        </w:rPr>
      </w:pPr>
      <w:r>
        <w:rPr>
          <w:rFonts w:hint="eastAsia"/>
        </w:rPr>
        <w:t>健全水生态文明体系</w:t>
      </w:r>
    </w:p>
    <w:p>
      <w:pPr>
        <w:bidi w:val="0"/>
        <w:rPr>
          <w:rFonts w:hint="default"/>
        </w:rPr>
      </w:pPr>
      <w:r>
        <w:t>明晰水生态功能定位和空间分区，根据</w:t>
      </w:r>
      <w:r>
        <w:rPr>
          <w:rFonts w:hint="eastAsia"/>
          <w:lang w:eastAsia="zh-CN"/>
        </w:rPr>
        <w:t>赤溪河</w:t>
      </w:r>
      <w:r>
        <w:t>的管理和保护范围，切实维护水生态空间，划定水生态环境敏感区和脆弱区等区域水生态红线；严格限制建设项目占用自然岸线，崇龛镇的规划应保留一定比例的水域面积。</w:t>
      </w:r>
    </w:p>
    <w:p>
      <w:pPr>
        <w:numPr>
          <w:ilvl w:val="0"/>
          <w:numId w:val="16"/>
        </w:numPr>
        <w:bidi w:val="0"/>
        <w:ind w:left="425" w:leftChars="0" w:right="0" w:rightChars="0" w:hanging="425" w:firstLineChars="0"/>
        <w:outlineLvl w:val="2"/>
        <w:rPr>
          <w:rFonts w:hint="default"/>
        </w:rPr>
      </w:pPr>
      <w:r>
        <w:rPr>
          <w:rFonts w:hint="eastAsia"/>
        </w:rPr>
        <w:t>强化流域统筹协调管理</w:t>
      </w:r>
    </w:p>
    <w:p>
      <w:pPr>
        <w:bidi w:val="0"/>
        <w:rPr>
          <w:rFonts w:hint="default"/>
        </w:rPr>
      </w:pPr>
      <w:r>
        <w:t>实施山、水、林、田综合治理坚持水量、水质和水生态统一规划，统筹考虑水生态保护与修复、点源与非点源污染治理等方面的关系，科学制定流域水生态保护与修复规划方案。在</w:t>
      </w:r>
      <w:r>
        <w:rPr>
          <w:rFonts w:hint="eastAsia"/>
          <w:lang w:eastAsia="zh-CN"/>
        </w:rPr>
        <w:t>赤溪河</w:t>
      </w:r>
      <w:r>
        <w:t>全流域层次上统筹流域水资源开发利用与节约保护、防洪减灾、水污染防治和生态治理等要求。建立和完善流域水生态补偿机制，协调生态环境保护及其经济利益之间的分配关系。督促电站所有人根据枯期</w:t>
      </w:r>
      <w:r>
        <w:rPr>
          <w:rFonts w:hint="eastAsia"/>
          <w:lang w:eastAsia="zh-CN"/>
        </w:rPr>
        <w:t>赤溪河</w:t>
      </w:r>
      <w:r>
        <w:t>最小生态用水量足量下发生态用水，并予以监督。</w:t>
      </w:r>
    </w:p>
    <w:p>
      <w:pPr>
        <w:pStyle w:val="2"/>
        <w:bidi w:val="0"/>
        <w:rPr>
          <w:rFonts w:hint="eastAsia"/>
        </w:rPr>
      </w:pPr>
      <w:bookmarkStart w:id="71" w:name="_Toc16319"/>
      <w:r>
        <w:rPr>
          <w:rFonts w:hint="eastAsia"/>
        </w:rPr>
        <w:t>执法监管措施</w:t>
      </w:r>
      <w:bookmarkEnd w:id="71"/>
    </w:p>
    <w:p>
      <w:pPr>
        <w:pStyle w:val="4"/>
        <w:bidi w:val="0"/>
      </w:pPr>
      <w:r>
        <w:rPr>
          <w:rFonts w:hint="eastAsia"/>
        </w:rPr>
        <w:t>全面落实“河长制”管理</w:t>
      </w:r>
    </w:p>
    <w:p>
      <w:pPr>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河长制管理体系建设旨在通过构建河长制管理体制、河长制制度体系、明确河长的职责，设立河长公示牌，保障流域执法监督体系建设的实施。</w:t>
      </w:r>
    </w:p>
    <w:p>
      <w:pPr>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提升管理手段。建立以政府监管、社会监督、技术监测为核心的流域河库管理保护监测网络体系及信息化管理平台，完善水利、环保等部门现有水质监测站点，充分利用现有水利、环保、农业、林业等部门信息实现信息共享，以流域电子地图为基础，采用虚拟技术和计算机技术，全面提升河库管理保护信息化管理水平，实现流域断面水质水量水面监测数据报送、工作即时通讯、河长工作平台、巡河信息 管理、责任落实督办、投诉处理追责、危机事件处理、监督考核评价等功能。</w:t>
      </w:r>
    </w:p>
    <w:p>
      <w:pPr>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强化考核问责。对乡镇（街道） 河长制落实情况进行考核，将河长制工作纳入乡镇（街道） 党政经济社会发展实绩考核和县级党政机关目标管理绩效考核。根据不同河库存在的主要问题，实行差异化绩效考核，结果纳入领导干部自然资源资产离任审计。县级河长负责组织对下一级河长进行考核，考核结果作为党政领导干部综合考核评价 的重要依据。实行生态环境损害责任终身追究制，对造成生态环境损害的，严格按照有关规定追究责任。</w:t>
      </w:r>
    </w:p>
    <w:p>
      <w:pPr>
        <w:pStyle w:val="4"/>
        <w:bidi w:val="0"/>
      </w:pPr>
      <w:bookmarkStart w:id="72" w:name="_Toc501384769"/>
      <w:bookmarkStart w:id="73" w:name="_Toc503903400"/>
      <w:bookmarkStart w:id="74" w:name="_Toc501837966"/>
      <w:bookmarkStart w:id="75" w:name="_Toc501837481"/>
      <w:r>
        <w:rPr>
          <w:rFonts w:hint="eastAsia"/>
        </w:rPr>
        <w:t>建立执法监督制度，强化法律手段</w:t>
      </w:r>
      <w:bookmarkEnd w:id="72"/>
      <w:bookmarkEnd w:id="73"/>
      <w:bookmarkEnd w:id="74"/>
      <w:bookmarkEnd w:id="75"/>
    </w:p>
    <w:p>
      <w:pPr>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执法监督需“有剑可亮”，建立执法监督制度才能使河道管理整治工作有法可依。</w:t>
      </w:r>
    </w:p>
    <w:p>
      <w:pPr>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执法监督制度的建立需综合考虑社会状况，融合自然科学和规定的职责，充分体现民主立法水平。以县区为单元，政府组织为先导，召集涉河利益方、社会团体等进行多方讨论，合理、公开的建立健全河库管理执法监督制度。同时，应赋予其一定的法律效力，最终实现“有剑可亮，挥剑有力”。</w:t>
      </w:r>
    </w:p>
    <w:p>
      <w:pPr>
        <w:pStyle w:val="4"/>
        <w:bidi w:val="0"/>
        <w:rPr>
          <w:rFonts w:hint="eastAsia"/>
        </w:rPr>
      </w:pPr>
      <w:bookmarkStart w:id="76" w:name="_Toc503903401"/>
      <w:bookmarkStart w:id="77" w:name="_Toc501384770"/>
      <w:bookmarkStart w:id="78" w:name="_Toc501837482"/>
      <w:bookmarkStart w:id="79" w:name="_Toc501837967"/>
      <w:r>
        <w:rPr>
          <w:rFonts w:hint="eastAsia"/>
        </w:rPr>
        <w:t>细化执法监督机制，明确责权分工</w:t>
      </w:r>
      <w:bookmarkEnd w:id="76"/>
      <w:bookmarkEnd w:id="77"/>
      <w:bookmarkEnd w:id="78"/>
      <w:bookmarkEnd w:id="79"/>
    </w:p>
    <w:p>
      <w:pPr>
        <w:bidi w:val="0"/>
        <w:rPr>
          <w:rFonts w:hint="eastAsia"/>
        </w:rPr>
      </w:pPr>
      <w:r>
        <w:rPr>
          <w:rFonts w:hint="eastAsia"/>
        </w:rPr>
        <w:t>河道管理事务繁杂，管理工作需实现多部门合作，共建共管。为此，细化执法监督机制是执法监督工作顺畅运行的前提和重要保障。通过细化执法监督机制，使执法监督工作协调有力、责权分明。</w:t>
      </w:r>
    </w:p>
    <w:p>
      <w:pPr>
        <w:pStyle w:val="4"/>
        <w:bidi w:val="0"/>
        <w:rPr>
          <w:rFonts w:hint="eastAsia"/>
        </w:rPr>
      </w:pPr>
      <w:bookmarkStart w:id="80" w:name="_Toc503903403"/>
      <w:bookmarkStart w:id="81" w:name="_Toc501384772"/>
      <w:bookmarkStart w:id="82" w:name="_Toc501837969"/>
      <w:bookmarkStart w:id="83" w:name="_Toc501837484"/>
      <w:r>
        <w:rPr>
          <w:rFonts w:hint="eastAsia"/>
        </w:rPr>
        <w:t>加强信息交流，不断提升专业水平</w:t>
      </w:r>
      <w:bookmarkEnd w:id="80"/>
      <w:bookmarkEnd w:id="81"/>
      <w:bookmarkEnd w:id="82"/>
      <w:bookmarkEnd w:id="83"/>
    </w:p>
    <w:p>
      <w:pPr>
        <w:bidi w:val="0"/>
        <w:rPr>
          <w:rFonts w:hint="eastAsia" w:ascii="方正仿宋_GBK" w:hAnsi="宋体" w:eastAsia="方正仿宋_GBK"/>
          <w:szCs w:val="30"/>
        </w:rPr>
      </w:pPr>
      <w:r>
        <w:rPr>
          <w:rFonts w:hint="eastAsia"/>
        </w:rPr>
        <w:t>专业标准化管理是维护建设成果，使其效益发挥的后续保障。通过信息交流，不断提升专业水平，才能有效巩固建设成果，规范执法监督行为，提升监督执法效能。</w:t>
      </w:r>
    </w:p>
    <w:p>
      <w:pPr>
        <w:adjustRightInd w:val="0"/>
        <w:snapToGrid w:val="0"/>
        <w:spacing w:line="520" w:lineRule="exact"/>
        <w:ind w:firstLine="600" w:firstLineChars="200"/>
        <w:rPr>
          <w:rFonts w:hint="eastAsia" w:ascii="方正仿宋_GBK" w:hAnsi="Times New Roman" w:eastAsia="方正仿宋_GBK"/>
          <w:sz w:val="30"/>
          <w:szCs w:val="30"/>
        </w:rPr>
        <w:sectPr>
          <w:headerReference r:id="rId8" w:type="default"/>
          <w:footerReference r:id="rId9" w:type="default"/>
          <w:footerReference r:id="rId10" w:type="even"/>
          <w:pgSz w:w="11906" w:h="16838"/>
          <w:pgMar w:top="1418" w:right="1418" w:bottom="1418" w:left="1418" w:header="851" w:footer="992" w:gutter="0"/>
          <w:pgNumType w:fmt="decimal"/>
          <w:cols w:space="425" w:num="1"/>
          <w:docGrid w:linePitch="312" w:charSpace="2297"/>
        </w:sectPr>
      </w:pPr>
    </w:p>
    <w:p>
      <w:pPr>
        <w:pStyle w:val="3"/>
        <w:bidi w:val="0"/>
      </w:pPr>
      <w:bookmarkStart w:id="84" w:name="_Toc10909"/>
      <w:r>
        <w:t>实施效果评价</w:t>
      </w:r>
      <w:bookmarkEnd w:id="84"/>
    </w:p>
    <w:p>
      <w:pPr>
        <w:pStyle w:val="2"/>
        <w:bidi w:val="0"/>
        <w:rPr>
          <w:rFonts w:hint="eastAsia"/>
        </w:rPr>
      </w:pPr>
      <w:bookmarkStart w:id="85" w:name="_Toc14080"/>
      <w:r>
        <w:rPr>
          <w:rFonts w:hint="eastAsia"/>
        </w:rPr>
        <w:t>环境效益</w:t>
      </w:r>
      <w:bookmarkEnd w:id="85"/>
    </w:p>
    <w:p>
      <w:pPr>
        <w:bidi w:val="0"/>
        <w:rPr>
          <w:rFonts w:hint="eastAsia"/>
        </w:rPr>
      </w:pPr>
      <w:r>
        <w:rPr>
          <w:rFonts w:hint="eastAsia"/>
          <w:lang w:eastAsia="zh-CN"/>
        </w:rPr>
        <w:t>赤溪河</w:t>
      </w:r>
      <w:r>
        <w:rPr>
          <w:rFonts w:hint="default"/>
        </w:rPr>
        <w:t>流域“一河一策”方案是全面贯彻落实《关于全面推行河长制的意见》及加快实现</w:t>
      </w:r>
      <w:r>
        <w:rPr>
          <w:rFonts w:hint="eastAsia"/>
          <w:lang w:eastAsia="zh-CN"/>
        </w:rPr>
        <w:t>赤溪河</w:t>
      </w:r>
      <w:r>
        <w:rPr>
          <w:rFonts w:hint="default"/>
        </w:rPr>
        <w:t>“河畅、水清、坡绿、岸美”的重要举措。方案实施后将使流域水资源得到有效保护、合理利用水域岸线、水生态环境得到修复、治理，大大改善流域内水体及流域内农村的环境，水环境状态得到显著改善。</w:t>
      </w:r>
    </w:p>
    <w:p>
      <w:pPr>
        <w:pStyle w:val="2"/>
        <w:bidi w:val="0"/>
        <w:rPr>
          <w:rFonts w:hint="eastAsia"/>
        </w:rPr>
      </w:pPr>
      <w:bookmarkStart w:id="86" w:name="_Toc16273"/>
      <w:r>
        <w:rPr>
          <w:rFonts w:hint="eastAsia"/>
        </w:rPr>
        <w:t>经济效益</w:t>
      </w:r>
      <w:bookmarkEnd w:id="86"/>
    </w:p>
    <w:p>
      <w:pPr>
        <w:bidi w:val="0"/>
        <w:rPr>
          <w:rFonts w:hint="default"/>
        </w:rPr>
      </w:pPr>
      <w:r>
        <w:rPr>
          <w:rFonts w:hint="default"/>
        </w:rPr>
        <w:t>流域环境整治过程中的垃圾收运设施、河流生态修复与水环境综合整治工程是</w:t>
      </w:r>
      <w:r>
        <w:rPr>
          <w:rFonts w:hint="eastAsia"/>
          <w:lang w:val="en-US" w:eastAsia="zh-CN"/>
        </w:rPr>
        <w:t>赤溪河流域的</w:t>
      </w:r>
      <w:r>
        <w:rPr>
          <w:rFonts w:hint="default"/>
        </w:rPr>
        <w:t>重要基础设施建设，项目实施后将带动区域经济发展，引领更多的经济投资。</w:t>
      </w:r>
    </w:p>
    <w:p>
      <w:pPr>
        <w:pStyle w:val="2"/>
        <w:bidi w:val="0"/>
        <w:rPr>
          <w:rFonts w:hint="eastAsia"/>
        </w:rPr>
      </w:pPr>
      <w:bookmarkStart w:id="87" w:name="_Toc7846"/>
      <w:r>
        <w:rPr>
          <w:rFonts w:hint="eastAsia"/>
        </w:rPr>
        <w:t>社会效益</w:t>
      </w:r>
      <w:bookmarkEnd w:id="87"/>
    </w:p>
    <w:p>
      <w:pPr>
        <w:bidi w:val="0"/>
        <w:rPr>
          <w:rFonts w:hint="default"/>
        </w:rPr>
      </w:pPr>
      <w:r>
        <w:rPr>
          <w:rFonts w:hint="default"/>
        </w:rPr>
        <w:t>（1）</w:t>
      </w:r>
      <w:r>
        <w:rPr>
          <w:rFonts w:hint="eastAsia"/>
          <w:lang w:eastAsia="zh-CN"/>
        </w:rPr>
        <w:t>赤溪河</w:t>
      </w:r>
      <w:r>
        <w:rPr>
          <w:rFonts w:hint="default"/>
        </w:rPr>
        <w:t>流域“一河一策”方案可以解决流域内生活污水直排、生活垃圾无组织堆放及流域水体水质等问题，方案实施后，周边居民生活环境得到了大大的改善，可保证区域按总体规划持续向前发展。</w:t>
      </w:r>
    </w:p>
    <w:p>
      <w:pPr>
        <w:bidi w:val="0"/>
        <w:rPr>
          <w:rFonts w:hint="default"/>
        </w:rPr>
      </w:pPr>
      <w:r>
        <w:rPr>
          <w:rFonts w:hint="default"/>
        </w:rPr>
        <w:t>（2）可改善流域内的投资环境，为经济发展创造更有利的条件。由此可见，</w:t>
      </w:r>
      <w:r>
        <w:rPr>
          <w:rFonts w:hint="eastAsia"/>
          <w:lang w:eastAsia="zh-CN"/>
        </w:rPr>
        <w:t>赤溪河</w:t>
      </w:r>
      <w:r>
        <w:rPr>
          <w:rFonts w:hint="default"/>
        </w:rPr>
        <w:t>流域“一河一策”方案的实施将产生很大的社会效益，是无法用价值观念来估量的。</w:t>
      </w:r>
    </w:p>
    <w:p>
      <w:pPr>
        <w:rPr>
          <w:rFonts w:hint="eastAsia"/>
        </w:rPr>
      </w:pPr>
    </w:p>
    <w:p>
      <w:pPr>
        <w:pStyle w:val="3"/>
        <w:numPr>
          <w:ilvl w:val="0"/>
          <w:numId w:val="2"/>
        </w:numPr>
        <w:bidi w:val="0"/>
        <w:sectPr>
          <w:pgSz w:w="11906" w:h="16838"/>
          <w:pgMar w:top="1440" w:right="1800" w:bottom="1440" w:left="1800" w:header="851" w:footer="992" w:gutter="0"/>
          <w:pgNumType w:fmt="decimal"/>
          <w:cols w:space="425" w:num="1"/>
          <w:docGrid w:type="lines" w:linePitch="312" w:charSpace="0"/>
        </w:sectPr>
      </w:pPr>
    </w:p>
    <w:p>
      <w:pPr>
        <w:pStyle w:val="3"/>
        <w:bidi w:val="0"/>
      </w:pPr>
      <w:bookmarkStart w:id="88" w:name="_Toc23402"/>
      <w:r>
        <w:t>保障措施</w:t>
      </w:r>
      <w:bookmarkEnd w:id="88"/>
    </w:p>
    <w:p>
      <w:pPr>
        <w:pStyle w:val="2"/>
        <w:bidi w:val="0"/>
        <w:rPr>
          <w:rFonts w:hint="eastAsia"/>
        </w:rPr>
      </w:pPr>
      <w:bookmarkStart w:id="89" w:name="_Toc25281"/>
      <w:r>
        <w:rPr>
          <w:rFonts w:hint="eastAsia"/>
        </w:rPr>
        <w:t>组织保障</w:t>
      </w:r>
      <w:bookmarkEnd w:id="89"/>
    </w:p>
    <w:p>
      <w:pPr>
        <w:bidi w:val="0"/>
      </w:pPr>
      <w:r>
        <w:rPr>
          <w:rFonts w:hint="eastAsia"/>
          <w:lang w:eastAsia="zh-CN"/>
        </w:rPr>
        <w:t>赤溪河</w:t>
      </w:r>
      <w:r>
        <w:t>为区级河流，根据《重庆市一河（库）一策”方案编制大纲》（试行）的相关要求，河长</w:t>
      </w:r>
      <w:r>
        <w:rPr>
          <w:rFonts w:hint="eastAsia"/>
        </w:rPr>
        <w:t>为</w:t>
      </w:r>
      <w:r>
        <w:t>方案实施的组织领导，河长办公室负责具体组织、协调、分办、督办等工作，联系部门负责督促</w:t>
      </w:r>
      <w:r>
        <w:rPr>
          <w:rFonts w:hint="eastAsia"/>
          <w:lang w:eastAsia="zh-CN"/>
        </w:rPr>
        <w:t>赤溪河</w:t>
      </w:r>
      <w:r>
        <w:t>“一河（库）一策”方案编制工作落实，发现问题及时报告河长。</w:t>
      </w:r>
      <w:r>
        <w:rPr>
          <w:rFonts w:hint="eastAsia"/>
          <w:lang w:eastAsia="zh-CN"/>
        </w:rPr>
        <w:t>赤溪河</w:t>
      </w:r>
      <w:r>
        <w:t>流经区域范围内的各级河长及村级河道巡查员和联系部门，见下表</w:t>
      </w:r>
      <w:r>
        <w:rPr>
          <w:rFonts w:hint="eastAsia"/>
          <w:lang w:val="en-US" w:eastAsia="zh-CN"/>
        </w:rPr>
        <w:t>8</w:t>
      </w:r>
      <w:r>
        <w:t>.1-1。</w:t>
      </w:r>
    </w:p>
    <w:p>
      <w:pPr>
        <w:pStyle w:val="25"/>
        <w:bidi w:val="0"/>
        <w:rPr>
          <w:rFonts w:hint="default"/>
        </w:rPr>
      </w:pPr>
      <w:r>
        <w:rPr>
          <w:rFonts w:hint="default"/>
        </w:rPr>
        <w:t>表8.1-1 由上至下河长体系情况表</w:t>
      </w:r>
    </w:p>
    <w:tbl>
      <w:tblPr>
        <w:tblStyle w:val="20"/>
        <w:tblW w:w="8522" w:type="dxa"/>
        <w:tblInd w:w="0" w:type="dxa"/>
        <w:tblLayout w:type="fixed"/>
        <w:tblCellMar>
          <w:top w:w="0" w:type="dxa"/>
          <w:left w:w="108" w:type="dxa"/>
          <w:bottom w:w="0" w:type="dxa"/>
          <w:right w:w="108" w:type="dxa"/>
        </w:tblCellMar>
      </w:tblPr>
      <w:tblGrid>
        <w:gridCol w:w="1245"/>
        <w:gridCol w:w="1284"/>
        <w:gridCol w:w="1180"/>
        <w:gridCol w:w="2919"/>
        <w:gridCol w:w="1894"/>
      </w:tblGrid>
      <w:tr>
        <w:tblPrEx>
          <w:tblCellMar>
            <w:top w:w="0" w:type="dxa"/>
            <w:left w:w="108" w:type="dxa"/>
            <w:bottom w:w="0" w:type="dxa"/>
            <w:right w:w="108" w:type="dxa"/>
          </w:tblCellMar>
        </w:tblPrEx>
        <w:trPr>
          <w:trHeight w:val="285" w:hRule="atLeast"/>
        </w:trPr>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5"/>
              <w:bidi w:val="0"/>
              <w:rPr>
                <w:rFonts w:hint="default"/>
              </w:rPr>
            </w:pPr>
            <w:r>
              <w:rPr>
                <w:rFonts w:hint="default"/>
              </w:rPr>
              <w:t>等　级</w:t>
            </w:r>
          </w:p>
        </w:tc>
        <w:tc>
          <w:tcPr>
            <w:tcW w:w="2464" w:type="dxa"/>
            <w:gridSpan w:val="2"/>
            <w:tcBorders>
              <w:top w:val="single" w:color="auto" w:sz="4" w:space="0"/>
              <w:left w:val="nil"/>
              <w:bottom w:val="single" w:color="auto" w:sz="4" w:space="0"/>
              <w:right w:val="single" w:color="auto" w:sz="4" w:space="0"/>
            </w:tcBorders>
            <w:shd w:val="clear" w:color="auto" w:fill="auto"/>
            <w:vAlign w:val="center"/>
          </w:tcPr>
          <w:p>
            <w:pPr>
              <w:pStyle w:val="25"/>
              <w:bidi w:val="0"/>
              <w:rPr>
                <w:rFonts w:hint="default"/>
              </w:rPr>
            </w:pPr>
            <w:r>
              <w:rPr>
                <w:rFonts w:hint="default"/>
              </w:rPr>
              <w:t>姓　名</w:t>
            </w:r>
          </w:p>
        </w:tc>
        <w:tc>
          <w:tcPr>
            <w:tcW w:w="2919" w:type="dxa"/>
            <w:tcBorders>
              <w:top w:val="single" w:color="auto" w:sz="4" w:space="0"/>
              <w:left w:val="nil"/>
              <w:bottom w:val="single" w:color="auto" w:sz="4" w:space="0"/>
              <w:right w:val="single" w:color="auto" w:sz="4" w:space="0"/>
            </w:tcBorders>
            <w:shd w:val="clear" w:color="auto" w:fill="auto"/>
            <w:vAlign w:val="center"/>
          </w:tcPr>
          <w:p>
            <w:pPr>
              <w:pStyle w:val="25"/>
              <w:bidi w:val="0"/>
              <w:rPr>
                <w:rFonts w:hint="default"/>
              </w:rPr>
            </w:pPr>
            <w:r>
              <w:rPr>
                <w:rFonts w:hint="default"/>
              </w:rPr>
              <w:t>职　　务</w:t>
            </w:r>
          </w:p>
        </w:tc>
        <w:tc>
          <w:tcPr>
            <w:tcW w:w="1894" w:type="dxa"/>
            <w:tcBorders>
              <w:top w:val="single" w:color="auto" w:sz="4" w:space="0"/>
              <w:left w:val="nil"/>
              <w:bottom w:val="single" w:color="auto" w:sz="4" w:space="0"/>
              <w:right w:val="single" w:color="auto" w:sz="4" w:space="0"/>
            </w:tcBorders>
            <w:shd w:val="clear" w:color="auto" w:fill="auto"/>
            <w:vAlign w:val="center"/>
          </w:tcPr>
          <w:p>
            <w:pPr>
              <w:pStyle w:val="25"/>
              <w:bidi w:val="0"/>
              <w:rPr>
                <w:rFonts w:hint="default"/>
              </w:rPr>
            </w:pPr>
            <w:r>
              <w:rPr>
                <w:rFonts w:hint="default"/>
              </w:rPr>
              <w:t>联系方式</w:t>
            </w:r>
          </w:p>
        </w:tc>
      </w:tr>
      <w:tr>
        <w:tblPrEx>
          <w:tblCellMar>
            <w:top w:w="0" w:type="dxa"/>
            <w:left w:w="108" w:type="dxa"/>
            <w:bottom w:w="0" w:type="dxa"/>
            <w:right w:w="108" w:type="dxa"/>
          </w:tblCellMar>
        </w:tblPrEx>
        <w:trPr>
          <w:trHeight w:val="510" w:hRule="atLeast"/>
        </w:trPr>
        <w:tc>
          <w:tcPr>
            <w:tcW w:w="1245" w:type="dxa"/>
            <w:tcBorders>
              <w:top w:val="nil"/>
              <w:left w:val="single" w:color="auto" w:sz="4" w:space="0"/>
              <w:bottom w:val="single" w:color="auto" w:sz="4" w:space="0"/>
              <w:right w:val="single" w:color="auto" w:sz="4" w:space="0"/>
            </w:tcBorders>
            <w:shd w:val="clear" w:color="auto" w:fill="auto"/>
            <w:vAlign w:val="center"/>
          </w:tcPr>
          <w:p>
            <w:pPr>
              <w:pStyle w:val="25"/>
              <w:bidi w:val="0"/>
              <w:rPr>
                <w:rFonts w:hint="default"/>
              </w:rPr>
            </w:pPr>
            <w:r>
              <w:rPr>
                <w:rFonts w:hint="default"/>
              </w:rPr>
              <w:t>区级</w:t>
            </w:r>
          </w:p>
        </w:tc>
        <w:tc>
          <w:tcPr>
            <w:tcW w:w="2464" w:type="dxa"/>
            <w:gridSpan w:val="2"/>
            <w:tcBorders>
              <w:top w:val="single" w:color="auto" w:sz="4" w:space="0"/>
              <w:left w:val="nil"/>
              <w:bottom w:val="single" w:color="auto" w:sz="4" w:space="0"/>
              <w:right w:val="single" w:color="auto" w:sz="4" w:space="0"/>
            </w:tcBorders>
            <w:shd w:val="clear" w:color="auto" w:fill="auto"/>
            <w:vAlign w:val="center"/>
          </w:tcPr>
          <w:p>
            <w:pPr>
              <w:pStyle w:val="25"/>
              <w:bidi w:val="0"/>
              <w:rPr>
                <w:rFonts w:hint="eastAsia"/>
                <w:lang w:eastAsia="zh-CN"/>
              </w:rPr>
            </w:pPr>
            <w:r>
              <w:rPr>
                <w:rFonts w:hint="eastAsia"/>
              </w:rPr>
              <w:t>陈金富</w:t>
            </w:r>
          </w:p>
        </w:tc>
        <w:tc>
          <w:tcPr>
            <w:tcW w:w="2919"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rPr>
                <w:rFonts w:hint="eastAsia"/>
              </w:rPr>
              <w:t>副县长</w:t>
            </w:r>
          </w:p>
        </w:tc>
        <w:tc>
          <w:tcPr>
            <w:tcW w:w="1894" w:type="dxa"/>
            <w:tcBorders>
              <w:top w:val="nil"/>
              <w:left w:val="nil"/>
              <w:bottom w:val="single" w:color="auto" w:sz="4" w:space="0"/>
              <w:right w:val="single" w:color="auto" w:sz="4" w:space="0"/>
            </w:tcBorders>
            <w:shd w:val="clear" w:color="auto" w:fill="auto"/>
            <w:vAlign w:val="center"/>
          </w:tcPr>
          <w:p>
            <w:pPr>
              <w:pStyle w:val="25"/>
              <w:bidi w:val="0"/>
              <w:rPr>
                <w:rFonts w:hint="default"/>
              </w:rPr>
            </w:pPr>
          </w:p>
        </w:tc>
      </w:tr>
      <w:tr>
        <w:tblPrEx>
          <w:tblCellMar>
            <w:top w:w="0" w:type="dxa"/>
            <w:left w:w="108" w:type="dxa"/>
            <w:bottom w:w="0" w:type="dxa"/>
            <w:right w:w="108" w:type="dxa"/>
          </w:tblCellMar>
        </w:tblPrEx>
        <w:trPr>
          <w:trHeight w:val="285" w:hRule="atLeast"/>
        </w:trPr>
        <w:tc>
          <w:tcPr>
            <w:tcW w:w="1245" w:type="dxa"/>
            <w:vMerge w:val="restart"/>
            <w:tcBorders>
              <w:top w:val="nil"/>
              <w:left w:val="single" w:color="auto" w:sz="4" w:space="0"/>
              <w:right w:val="single" w:color="auto" w:sz="4" w:space="0"/>
            </w:tcBorders>
            <w:shd w:val="clear" w:color="auto" w:fill="auto"/>
            <w:vAlign w:val="center"/>
          </w:tcPr>
          <w:p>
            <w:pPr>
              <w:pStyle w:val="25"/>
              <w:bidi w:val="0"/>
              <w:rPr>
                <w:rFonts w:hint="default"/>
                <w:lang w:val="en-US" w:eastAsia="zh-CN"/>
              </w:rPr>
            </w:pPr>
            <w:r>
              <w:rPr>
                <w:rFonts w:hint="eastAsia"/>
                <w:lang w:val="en-US" w:eastAsia="zh-CN"/>
              </w:rPr>
              <w:t>镇级</w:t>
            </w:r>
          </w:p>
        </w:tc>
        <w:tc>
          <w:tcPr>
            <w:tcW w:w="1284" w:type="dxa"/>
            <w:tcBorders>
              <w:top w:val="single" w:color="auto" w:sz="4" w:space="0"/>
              <w:left w:val="nil"/>
              <w:bottom w:val="single" w:color="auto" w:sz="4" w:space="0"/>
              <w:right w:val="single" w:color="auto" w:sz="4" w:space="0"/>
            </w:tcBorders>
            <w:shd w:val="clear" w:color="auto" w:fill="auto"/>
            <w:vAlign w:val="center"/>
          </w:tcPr>
          <w:p>
            <w:pPr>
              <w:pStyle w:val="25"/>
              <w:bidi w:val="0"/>
              <w:ind w:left="0" w:leftChars="0" w:right="0" w:rightChars="0" w:firstLine="0" w:firstLineChars="0"/>
              <w:rPr>
                <w:rFonts w:hint="default" w:ascii="Times New Roman" w:hAnsi="Times New Roman" w:eastAsia="方正仿宋_GBK" w:cs="方正仿宋_GBK"/>
                <w:kern w:val="2"/>
                <w:sz w:val="21"/>
                <w:szCs w:val="21"/>
                <w:lang w:val="zh-CN" w:eastAsia="zh-CN" w:bidi="zh-CN"/>
              </w:rPr>
            </w:pPr>
            <w:r>
              <w:rPr>
                <w:rFonts w:hint="eastAsia"/>
                <w:lang w:val="en-US" w:eastAsia="zh-CN"/>
              </w:rPr>
              <w:t>十直镇</w:t>
            </w:r>
          </w:p>
        </w:tc>
        <w:tc>
          <w:tcPr>
            <w:tcW w:w="1180" w:type="dxa"/>
            <w:tcBorders>
              <w:top w:val="single" w:color="auto" w:sz="4" w:space="0"/>
              <w:left w:val="nil"/>
              <w:bottom w:val="single" w:color="auto" w:sz="4" w:space="0"/>
              <w:right w:val="single" w:color="auto" w:sz="4" w:space="0"/>
            </w:tcBorders>
            <w:shd w:val="clear" w:color="auto" w:fill="auto"/>
            <w:vAlign w:val="center"/>
          </w:tcPr>
          <w:p>
            <w:pPr>
              <w:pStyle w:val="25"/>
              <w:bidi w:val="0"/>
              <w:ind w:left="0" w:leftChars="0" w:right="0" w:rightChars="0" w:firstLine="0" w:firstLineChars="0"/>
              <w:rPr>
                <w:rFonts w:hint="eastAsia" w:ascii="Times New Roman" w:hAnsi="Times New Roman"/>
              </w:rPr>
            </w:pPr>
            <w:r>
              <w:rPr>
                <w:rFonts w:hint="eastAsia" w:ascii="Times New Roman" w:hAnsi="Times New Roman"/>
              </w:rPr>
              <w:t>谭余庆</w:t>
            </w:r>
          </w:p>
        </w:tc>
        <w:tc>
          <w:tcPr>
            <w:tcW w:w="2919"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rPr>
                <w:rFonts w:hint="eastAsia"/>
              </w:rPr>
              <w:t>十直镇镇长</w:t>
            </w:r>
          </w:p>
        </w:tc>
        <w:tc>
          <w:tcPr>
            <w:tcW w:w="1894" w:type="dxa"/>
            <w:tcBorders>
              <w:top w:val="nil"/>
              <w:left w:val="nil"/>
              <w:bottom w:val="single" w:color="auto" w:sz="4" w:space="0"/>
              <w:right w:val="single" w:color="auto" w:sz="4" w:space="0"/>
            </w:tcBorders>
            <w:shd w:val="clear" w:color="auto" w:fill="auto"/>
            <w:vAlign w:val="center"/>
          </w:tcPr>
          <w:p>
            <w:pPr>
              <w:pStyle w:val="25"/>
              <w:bidi w:val="0"/>
              <w:rPr>
                <w:rFonts w:hint="default"/>
              </w:rPr>
            </w:pPr>
          </w:p>
        </w:tc>
      </w:tr>
      <w:tr>
        <w:tblPrEx>
          <w:tblCellMar>
            <w:top w:w="0" w:type="dxa"/>
            <w:left w:w="108" w:type="dxa"/>
            <w:bottom w:w="0" w:type="dxa"/>
            <w:right w:w="108" w:type="dxa"/>
          </w:tblCellMar>
        </w:tblPrEx>
        <w:trPr>
          <w:trHeight w:val="285" w:hRule="atLeast"/>
        </w:trPr>
        <w:tc>
          <w:tcPr>
            <w:tcW w:w="1245" w:type="dxa"/>
            <w:vMerge w:val="continue"/>
            <w:tcBorders>
              <w:left w:val="single" w:color="auto" w:sz="4" w:space="0"/>
              <w:right w:val="single" w:color="auto" w:sz="4" w:space="0"/>
            </w:tcBorders>
            <w:shd w:val="clear" w:color="auto" w:fill="auto"/>
            <w:vAlign w:val="center"/>
          </w:tcPr>
          <w:p>
            <w:pPr>
              <w:pStyle w:val="25"/>
              <w:bidi w:val="0"/>
              <w:rPr>
                <w:rFonts w:hint="eastAsia"/>
                <w:lang w:val="en-US" w:eastAsia="zh-CN"/>
              </w:rPr>
            </w:pPr>
          </w:p>
        </w:tc>
        <w:tc>
          <w:tcPr>
            <w:tcW w:w="1284" w:type="dxa"/>
            <w:tcBorders>
              <w:top w:val="single" w:color="auto" w:sz="4" w:space="0"/>
              <w:left w:val="nil"/>
              <w:bottom w:val="single" w:color="auto" w:sz="4" w:space="0"/>
              <w:right w:val="single" w:color="auto" w:sz="4" w:space="0"/>
            </w:tcBorders>
            <w:shd w:val="clear" w:color="auto" w:fill="auto"/>
            <w:vAlign w:val="center"/>
          </w:tcPr>
          <w:p>
            <w:pPr>
              <w:pStyle w:val="25"/>
              <w:bidi w:val="0"/>
              <w:ind w:left="0" w:leftChars="0" w:right="0" w:rightChars="0" w:firstLine="0" w:firstLineChars="0"/>
              <w:rPr>
                <w:rFonts w:hint="default" w:ascii="Times New Roman" w:hAnsi="Times New Roman" w:eastAsia="方正仿宋_GBK" w:cs="方正仿宋_GBK"/>
                <w:kern w:val="2"/>
                <w:sz w:val="21"/>
                <w:szCs w:val="21"/>
                <w:lang w:val="en-US" w:eastAsia="zh-CN" w:bidi="zh-CN"/>
              </w:rPr>
            </w:pPr>
            <w:r>
              <w:rPr>
                <w:rFonts w:hint="eastAsia"/>
                <w:lang w:val="en-US" w:eastAsia="zh-CN"/>
              </w:rPr>
              <w:t>树人镇</w:t>
            </w:r>
          </w:p>
        </w:tc>
        <w:tc>
          <w:tcPr>
            <w:tcW w:w="1180" w:type="dxa"/>
            <w:tcBorders>
              <w:top w:val="single" w:color="auto" w:sz="4" w:space="0"/>
              <w:left w:val="nil"/>
              <w:bottom w:val="single" w:color="auto" w:sz="4" w:space="0"/>
              <w:right w:val="single" w:color="auto" w:sz="4" w:space="0"/>
            </w:tcBorders>
            <w:shd w:val="clear" w:color="auto" w:fill="auto"/>
            <w:vAlign w:val="center"/>
          </w:tcPr>
          <w:p>
            <w:pPr>
              <w:pStyle w:val="25"/>
              <w:bidi w:val="0"/>
              <w:ind w:left="0" w:leftChars="0" w:right="0" w:rightChars="0" w:firstLine="0" w:firstLineChars="0"/>
              <w:rPr>
                <w:rFonts w:hint="eastAsia" w:ascii="Times New Roman" w:hAnsi="Times New Roman"/>
              </w:rPr>
            </w:pPr>
            <w:r>
              <w:rPr>
                <w:rFonts w:hint="eastAsia" w:ascii="Times New Roman" w:hAnsi="Times New Roman"/>
              </w:rPr>
              <w:t>黄廷国</w:t>
            </w:r>
          </w:p>
        </w:tc>
        <w:tc>
          <w:tcPr>
            <w:tcW w:w="2919"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rPr>
                <w:rFonts w:hint="eastAsia"/>
              </w:rPr>
              <w:t>树人镇党委副书记</w:t>
            </w:r>
          </w:p>
        </w:tc>
        <w:tc>
          <w:tcPr>
            <w:tcW w:w="1894" w:type="dxa"/>
            <w:tcBorders>
              <w:top w:val="nil"/>
              <w:left w:val="nil"/>
              <w:bottom w:val="single" w:color="auto" w:sz="4" w:space="0"/>
              <w:right w:val="single" w:color="auto" w:sz="4" w:space="0"/>
            </w:tcBorders>
            <w:shd w:val="clear" w:color="auto" w:fill="auto"/>
            <w:vAlign w:val="center"/>
          </w:tcPr>
          <w:p>
            <w:pPr>
              <w:pStyle w:val="25"/>
              <w:bidi w:val="0"/>
            </w:pPr>
          </w:p>
        </w:tc>
      </w:tr>
      <w:tr>
        <w:tblPrEx>
          <w:tblCellMar>
            <w:top w:w="0" w:type="dxa"/>
            <w:left w:w="108" w:type="dxa"/>
            <w:bottom w:w="0" w:type="dxa"/>
            <w:right w:w="108" w:type="dxa"/>
          </w:tblCellMar>
        </w:tblPrEx>
        <w:trPr>
          <w:trHeight w:val="285" w:hRule="atLeast"/>
        </w:trPr>
        <w:tc>
          <w:tcPr>
            <w:tcW w:w="1245" w:type="dxa"/>
            <w:vMerge w:val="continue"/>
            <w:tcBorders>
              <w:left w:val="single" w:color="auto" w:sz="4" w:space="0"/>
              <w:bottom w:val="single" w:color="auto" w:sz="4" w:space="0"/>
              <w:right w:val="single" w:color="auto" w:sz="4" w:space="0"/>
            </w:tcBorders>
            <w:shd w:val="clear" w:color="auto" w:fill="auto"/>
            <w:vAlign w:val="center"/>
          </w:tcPr>
          <w:p>
            <w:pPr>
              <w:pStyle w:val="25"/>
              <w:bidi w:val="0"/>
              <w:rPr>
                <w:rFonts w:hint="default"/>
                <w:lang w:val="en-US" w:eastAsia="zh-CN"/>
              </w:rPr>
            </w:pPr>
          </w:p>
        </w:tc>
        <w:tc>
          <w:tcPr>
            <w:tcW w:w="1284" w:type="dxa"/>
            <w:tcBorders>
              <w:top w:val="single" w:color="auto" w:sz="4" w:space="0"/>
              <w:left w:val="nil"/>
              <w:bottom w:val="single" w:color="auto" w:sz="4" w:space="0"/>
              <w:right w:val="single" w:color="auto" w:sz="4" w:space="0"/>
            </w:tcBorders>
            <w:shd w:val="clear" w:color="auto" w:fill="auto"/>
            <w:vAlign w:val="center"/>
          </w:tcPr>
          <w:p>
            <w:pPr>
              <w:pStyle w:val="25"/>
              <w:bidi w:val="0"/>
              <w:ind w:left="0" w:leftChars="0" w:right="0" w:rightChars="0" w:firstLine="0" w:firstLineChars="0"/>
              <w:rPr>
                <w:rFonts w:hint="default" w:ascii="Times New Roman" w:hAnsi="Times New Roman" w:eastAsia="方正仿宋_GBK" w:cs="方正仿宋_GBK"/>
                <w:kern w:val="2"/>
                <w:sz w:val="21"/>
                <w:szCs w:val="21"/>
                <w:lang w:val="en-US" w:eastAsia="zh-CN" w:bidi="zh-CN"/>
              </w:rPr>
            </w:pPr>
            <w:r>
              <w:rPr>
                <w:rFonts w:hint="eastAsia"/>
                <w:lang w:val="en-US" w:eastAsia="zh-CN"/>
              </w:rPr>
              <w:t>名人街道</w:t>
            </w:r>
          </w:p>
        </w:tc>
        <w:tc>
          <w:tcPr>
            <w:tcW w:w="1180" w:type="dxa"/>
            <w:tcBorders>
              <w:top w:val="single" w:color="auto" w:sz="4" w:space="0"/>
              <w:left w:val="nil"/>
              <w:bottom w:val="single" w:color="auto" w:sz="4" w:space="0"/>
              <w:right w:val="single" w:color="auto" w:sz="4" w:space="0"/>
            </w:tcBorders>
            <w:shd w:val="clear" w:color="auto" w:fill="auto"/>
            <w:vAlign w:val="center"/>
          </w:tcPr>
          <w:p>
            <w:pPr>
              <w:pStyle w:val="25"/>
              <w:bidi w:val="0"/>
              <w:ind w:left="0" w:leftChars="0" w:right="0" w:rightChars="0" w:firstLine="0" w:firstLineChars="0"/>
              <w:rPr>
                <w:rFonts w:hint="eastAsia" w:ascii="Times New Roman" w:hAnsi="Times New Roman"/>
              </w:rPr>
            </w:pPr>
            <w:r>
              <w:rPr>
                <w:rFonts w:hint="eastAsia" w:ascii="Times New Roman" w:hAnsi="Times New Roman"/>
              </w:rPr>
              <w:t>周登权</w:t>
            </w:r>
          </w:p>
        </w:tc>
        <w:tc>
          <w:tcPr>
            <w:tcW w:w="2919"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rPr>
                <w:rFonts w:hint="eastAsia"/>
              </w:rPr>
              <w:t>名山街道办事处主任</w:t>
            </w:r>
          </w:p>
        </w:tc>
        <w:tc>
          <w:tcPr>
            <w:tcW w:w="1894" w:type="dxa"/>
            <w:tcBorders>
              <w:top w:val="nil"/>
              <w:left w:val="nil"/>
              <w:bottom w:val="single" w:color="auto" w:sz="4" w:space="0"/>
              <w:right w:val="single" w:color="auto" w:sz="4" w:space="0"/>
            </w:tcBorders>
            <w:shd w:val="clear" w:color="auto" w:fill="auto"/>
            <w:vAlign w:val="center"/>
          </w:tcPr>
          <w:p>
            <w:pPr>
              <w:pStyle w:val="25"/>
              <w:bidi w:val="0"/>
            </w:pPr>
          </w:p>
        </w:tc>
      </w:tr>
      <w:tr>
        <w:tblPrEx>
          <w:tblCellMar>
            <w:top w:w="0" w:type="dxa"/>
            <w:left w:w="108" w:type="dxa"/>
            <w:bottom w:w="0" w:type="dxa"/>
            <w:right w:w="108" w:type="dxa"/>
          </w:tblCellMar>
        </w:tblPrEx>
        <w:trPr>
          <w:trHeight w:val="285" w:hRule="atLeast"/>
        </w:trPr>
        <w:tc>
          <w:tcPr>
            <w:tcW w:w="1245" w:type="dxa"/>
            <w:vMerge w:val="restart"/>
            <w:tcBorders>
              <w:top w:val="nil"/>
              <w:left w:val="single" w:color="auto" w:sz="4" w:space="0"/>
              <w:bottom w:val="single" w:color="auto" w:sz="4" w:space="0"/>
              <w:right w:val="single" w:color="auto" w:sz="4" w:space="0"/>
            </w:tcBorders>
            <w:shd w:val="clear" w:color="auto" w:fill="auto"/>
            <w:vAlign w:val="center"/>
          </w:tcPr>
          <w:p>
            <w:pPr>
              <w:pStyle w:val="25"/>
              <w:bidi w:val="0"/>
              <w:rPr>
                <w:rFonts w:hint="default"/>
              </w:rPr>
            </w:pPr>
            <w:r>
              <w:rPr>
                <w:rFonts w:hint="default"/>
              </w:rPr>
              <w:t>村级</w:t>
            </w:r>
          </w:p>
        </w:tc>
        <w:tc>
          <w:tcPr>
            <w:tcW w:w="1284"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rPr>
                <w:rFonts w:hint="eastAsia"/>
              </w:rPr>
              <w:t>莲花村</w:t>
            </w:r>
          </w:p>
        </w:tc>
        <w:tc>
          <w:tcPr>
            <w:tcW w:w="1180"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r>
              <w:rPr>
                <w:rFonts w:hint="default"/>
              </w:rPr>
              <w:t>村党支部书记</w:t>
            </w:r>
          </w:p>
        </w:tc>
        <w:tc>
          <w:tcPr>
            <w:tcW w:w="1894"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r>
      <w:tr>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rPr>
                <w:rFonts w:hint="eastAsia"/>
              </w:rPr>
              <w:t>十字村</w:t>
            </w:r>
          </w:p>
        </w:tc>
        <w:tc>
          <w:tcPr>
            <w:tcW w:w="1180"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r>
              <w:rPr>
                <w:rFonts w:hint="default"/>
              </w:rPr>
              <w:t>村支部书记</w:t>
            </w:r>
          </w:p>
        </w:tc>
        <w:tc>
          <w:tcPr>
            <w:tcW w:w="1894"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r>
      <w:tr>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rPr>
                <w:rFonts w:hint="eastAsia"/>
              </w:rPr>
              <w:t>新屋村</w:t>
            </w:r>
          </w:p>
        </w:tc>
        <w:tc>
          <w:tcPr>
            <w:tcW w:w="1180"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r>
              <w:rPr>
                <w:rFonts w:hint="default"/>
              </w:rPr>
              <w:t>村委会主任</w:t>
            </w:r>
          </w:p>
        </w:tc>
        <w:tc>
          <w:tcPr>
            <w:tcW w:w="1894"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r>
      <w:tr>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rPr>
                <w:rFonts w:hint="eastAsia"/>
              </w:rPr>
              <w:t>万寿桥村</w:t>
            </w:r>
          </w:p>
        </w:tc>
        <w:tc>
          <w:tcPr>
            <w:tcW w:w="1180"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r>
              <w:rPr>
                <w:rFonts w:hint="default"/>
              </w:rPr>
              <w:t>村党支部书记</w:t>
            </w:r>
          </w:p>
        </w:tc>
        <w:tc>
          <w:tcPr>
            <w:tcW w:w="1894"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r>
      <w:tr>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rPr>
                <w:rFonts w:hint="eastAsia"/>
              </w:rPr>
              <w:t>岩口场村</w:t>
            </w:r>
          </w:p>
        </w:tc>
        <w:tc>
          <w:tcPr>
            <w:tcW w:w="1180"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r>
              <w:rPr>
                <w:rFonts w:hint="default"/>
              </w:rPr>
              <w:t>村党支部书记</w:t>
            </w:r>
          </w:p>
        </w:tc>
        <w:tc>
          <w:tcPr>
            <w:tcW w:w="1894"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r>
      <w:tr>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rPr>
                <w:rFonts w:hint="eastAsia"/>
              </w:rPr>
              <w:t>三口井村</w:t>
            </w:r>
          </w:p>
        </w:tc>
        <w:tc>
          <w:tcPr>
            <w:tcW w:w="1180"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r>
              <w:rPr>
                <w:rFonts w:hint="default"/>
              </w:rPr>
              <w:t>村党支部书记</w:t>
            </w:r>
          </w:p>
        </w:tc>
        <w:tc>
          <w:tcPr>
            <w:tcW w:w="1894"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r>
      <w:tr>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rPr>
                <w:rFonts w:hint="eastAsia"/>
              </w:rPr>
              <w:t>大石板村</w:t>
            </w:r>
          </w:p>
        </w:tc>
        <w:tc>
          <w:tcPr>
            <w:tcW w:w="1180"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r>
              <w:rPr>
                <w:rFonts w:hint="default"/>
              </w:rPr>
              <w:t>村党支部书记</w:t>
            </w:r>
          </w:p>
        </w:tc>
        <w:tc>
          <w:tcPr>
            <w:tcW w:w="1894"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r>
      <w:tr>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pPr>
              <w:pStyle w:val="25"/>
              <w:bidi w:val="0"/>
              <w:rPr>
                <w:rFonts w:hint="eastAsia"/>
              </w:rPr>
            </w:pPr>
            <w:r>
              <w:rPr>
                <w:rFonts w:hint="eastAsia"/>
                <w:lang w:val="en-US" w:eastAsia="zh-CN"/>
              </w:rPr>
              <w:t>农花</w:t>
            </w:r>
            <w:r>
              <w:rPr>
                <w:rFonts w:hint="eastAsia"/>
              </w:rPr>
              <w:t>村</w:t>
            </w:r>
          </w:p>
        </w:tc>
        <w:tc>
          <w:tcPr>
            <w:tcW w:w="1180"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r>
              <w:rPr>
                <w:rFonts w:hint="default"/>
              </w:rPr>
              <w:t>村党支部书记</w:t>
            </w:r>
          </w:p>
        </w:tc>
        <w:tc>
          <w:tcPr>
            <w:tcW w:w="1894"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r>
      <w:tr>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pPr>
              <w:pStyle w:val="25"/>
              <w:bidi w:val="0"/>
              <w:rPr>
                <w:rFonts w:hint="default"/>
              </w:rPr>
            </w:pPr>
            <w:r>
              <w:rPr>
                <w:rFonts w:hint="eastAsia"/>
              </w:rPr>
              <w:t>赤溪村</w:t>
            </w:r>
          </w:p>
        </w:tc>
        <w:tc>
          <w:tcPr>
            <w:tcW w:w="1180"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r>
              <w:rPr>
                <w:rFonts w:hint="default"/>
              </w:rPr>
              <w:t>村民委委员</w:t>
            </w:r>
          </w:p>
        </w:tc>
        <w:tc>
          <w:tcPr>
            <w:tcW w:w="1894" w:type="dxa"/>
            <w:tcBorders>
              <w:top w:val="nil"/>
              <w:left w:val="nil"/>
              <w:bottom w:val="single" w:color="auto" w:sz="4" w:space="0"/>
              <w:right w:val="single" w:color="auto" w:sz="4" w:space="0"/>
            </w:tcBorders>
            <w:shd w:val="clear" w:color="auto" w:fill="auto"/>
            <w:noWrap/>
            <w:vAlign w:val="center"/>
          </w:tcPr>
          <w:p>
            <w:pPr>
              <w:pStyle w:val="25"/>
              <w:bidi w:val="0"/>
              <w:rPr>
                <w:rFonts w:hint="default"/>
              </w:rPr>
            </w:pPr>
          </w:p>
        </w:tc>
      </w:tr>
    </w:tbl>
    <w:p>
      <w:pPr>
        <w:bidi w:val="0"/>
      </w:pPr>
      <w:r>
        <w:t>区级河长</w:t>
      </w:r>
      <w:r>
        <w:rPr>
          <w:rFonts w:hint="eastAsia"/>
        </w:rPr>
        <w:t>：</w:t>
      </w:r>
      <w:r>
        <w:t>负责组织方案实施、协调</w:t>
      </w:r>
      <w:r>
        <w:rPr>
          <w:rFonts w:hint="eastAsia"/>
          <w:lang w:eastAsia="zh-CN"/>
        </w:rPr>
        <w:t>赤溪河</w:t>
      </w:r>
      <w:r>
        <w:t>河道保护管理工作，督促乡镇“河长”和区直有关部门履行职责</w:t>
      </w:r>
      <w:r>
        <w:rPr>
          <w:rFonts w:hint="eastAsia"/>
        </w:rPr>
        <w:t>。</w:t>
      </w:r>
    </w:p>
    <w:p>
      <w:pPr>
        <w:bidi w:val="0"/>
      </w:pPr>
      <w:r>
        <w:t>镇级河长</w:t>
      </w:r>
      <w:r>
        <w:rPr>
          <w:rFonts w:hint="eastAsia"/>
        </w:rPr>
        <w:t>：</w:t>
      </w:r>
      <w:r>
        <w:t>负责牵头推进河道突出问题整治、水污染综合防治、河道巡查保洁、河道生态修复和河道保护管理，协调解决实际问题，检查督导“河段长”、“河道管理员"履行职责。具体承担以下工作:</w:t>
      </w:r>
    </w:p>
    <w:p>
      <w:pPr>
        <w:numPr>
          <w:ilvl w:val="0"/>
          <w:numId w:val="17"/>
        </w:numPr>
        <w:bidi w:val="0"/>
        <w:ind w:left="425" w:leftChars="0" w:hanging="425" w:firstLineChars="0"/>
      </w:pPr>
      <w:r>
        <w:t>协调协助执法部门对河道污染进行调查处理;</w:t>
      </w:r>
    </w:p>
    <w:p>
      <w:pPr>
        <w:numPr>
          <w:ilvl w:val="0"/>
          <w:numId w:val="17"/>
        </w:numPr>
        <w:bidi w:val="0"/>
        <w:ind w:left="425" w:leftChars="0" w:hanging="425" w:firstLineChars="0"/>
      </w:pPr>
      <w:r>
        <w:t>河道的日常疏浚、清障、保洁工作，开展河道管理日常巡查;</w:t>
      </w:r>
    </w:p>
    <w:p>
      <w:pPr>
        <w:numPr>
          <w:ilvl w:val="0"/>
          <w:numId w:val="17"/>
        </w:numPr>
        <w:bidi w:val="0"/>
        <w:ind w:left="425" w:leftChars="0" w:hanging="425" w:firstLineChars="0"/>
      </w:pPr>
      <w:r>
        <w:t>河道的乱搭乱建、乱堆乱放行为处理;</w:t>
      </w:r>
    </w:p>
    <w:p>
      <w:pPr>
        <w:numPr>
          <w:ilvl w:val="0"/>
          <w:numId w:val="17"/>
        </w:numPr>
        <w:bidi w:val="0"/>
        <w:ind w:left="425" w:leftChars="0" w:hanging="425" w:firstLineChars="0"/>
      </w:pPr>
      <w:r>
        <w:t>设置具有保洁人员名单、监督电话等内容的宣传标牌;</w:t>
      </w:r>
    </w:p>
    <w:p>
      <w:pPr>
        <w:numPr>
          <w:ilvl w:val="0"/>
          <w:numId w:val="17"/>
        </w:numPr>
        <w:bidi w:val="0"/>
        <w:ind w:left="425" w:leftChars="0" w:hanging="425" w:firstLineChars="0"/>
      </w:pPr>
      <w:r>
        <w:t>确保河道整治无事故，安全设施齐全;</w:t>
      </w:r>
    </w:p>
    <w:p>
      <w:pPr>
        <w:numPr>
          <w:ilvl w:val="0"/>
          <w:numId w:val="17"/>
        </w:numPr>
        <w:bidi w:val="0"/>
        <w:ind w:left="425" w:leftChars="0" w:hanging="425" w:firstLineChars="0"/>
      </w:pPr>
      <w:r>
        <w:t>收集管理资料，建立相应保洁台账，及时上报信息;</w:t>
      </w:r>
    </w:p>
    <w:p>
      <w:pPr>
        <w:numPr>
          <w:ilvl w:val="0"/>
          <w:numId w:val="17"/>
        </w:numPr>
        <w:bidi w:val="0"/>
        <w:ind w:left="425" w:leftChars="0" w:hanging="425" w:firstLineChars="0"/>
      </w:pPr>
      <w:r>
        <w:t>做好突发事件处理，并及时汇报;</w:t>
      </w:r>
    </w:p>
    <w:p>
      <w:pPr>
        <w:numPr>
          <w:ilvl w:val="0"/>
          <w:numId w:val="17"/>
        </w:numPr>
        <w:bidi w:val="0"/>
        <w:ind w:left="425" w:leftChars="0" w:hanging="425" w:firstLineChars="0"/>
      </w:pPr>
      <w:r>
        <w:t>做好河道保洁宣传工作，引导大家自觉保持河道清洁。</w:t>
      </w:r>
    </w:p>
    <w:p>
      <w:pPr>
        <w:bidi w:val="0"/>
      </w:pPr>
      <w:r>
        <w:rPr>
          <w:rFonts w:hint="eastAsia"/>
        </w:rPr>
        <w:t>村级河长</w:t>
      </w:r>
      <w:r>
        <w:t>具体承担以下工作:</w:t>
      </w:r>
    </w:p>
    <w:p>
      <w:pPr>
        <w:numPr>
          <w:ilvl w:val="0"/>
          <w:numId w:val="18"/>
        </w:numPr>
        <w:bidi w:val="0"/>
        <w:ind w:left="425" w:leftChars="0" w:hanging="425" w:firstLineChars="0"/>
      </w:pPr>
      <w:r>
        <w:rPr>
          <w:rFonts w:hint="eastAsia"/>
        </w:rPr>
        <w:t>完成村级河长常规性巡河任务。(每周一次)</w:t>
      </w:r>
    </w:p>
    <w:p>
      <w:pPr>
        <w:numPr>
          <w:ilvl w:val="0"/>
          <w:numId w:val="18"/>
        </w:numPr>
        <w:bidi w:val="0"/>
        <w:ind w:left="425" w:leftChars="0" w:hanging="425" w:firstLineChars="0"/>
      </w:pPr>
      <w:r>
        <w:rPr>
          <w:rFonts w:hint="eastAsia"/>
        </w:rPr>
        <w:t>巡查任务：</w:t>
      </w:r>
    </w:p>
    <w:p>
      <w:pPr>
        <w:bidi w:val="0"/>
      </w:pPr>
      <w:r>
        <w:rPr>
          <w:rFonts w:hint="eastAsia"/>
        </w:rPr>
        <w:t> </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河面、河岸保洁是否到位；</w:t>
      </w:r>
    </w:p>
    <w:p>
      <w:pPr>
        <w:bidi w:val="0"/>
      </w:pPr>
      <w:r>
        <w:rPr>
          <w:rFonts w:hint="eastAsia"/>
        </w:rPr>
        <w:t> </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河底有无明显污泥或垃圾淤积；</w:t>
      </w:r>
    </w:p>
    <w:p>
      <w:pPr>
        <w:bidi w:val="0"/>
      </w:pPr>
      <w:r>
        <w:rPr>
          <w:rFonts w:hint="eastAsia"/>
        </w:rPr>
        <w:t> </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河道水体有无异味，颜色是否正常(如发黑、发黄、发白等)</w:t>
      </w:r>
    </w:p>
    <w:p>
      <w:pPr>
        <w:bidi w:val="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是否有新增入河排污口；入河排污口排放废水的颜色、气味是否异常；</w:t>
      </w:r>
    </w:p>
    <w:p>
      <w:pPr>
        <w:bidi w:val="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是否存在涉水违建(构)筑物，是否倾倒废土弃渣；工业固废和危废，是否存在其他侵占河道的问题；</w:t>
      </w:r>
    </w:p>
    <w:p>
      <w:pPr>
        <w:bidi w:val="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是否存在非法电鱼、网鱼、药鱼等破坏水生态环境的行为；</w:t>
      </w:r>
    </w:p>
    <w:p>
      <w:pPr>
        <w:bidi w:val="0"/>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河长公示牌等涉水告示牌设置是否规范，是否存在倾斜、破坏、变形、变色、老化等影响使用的问题；</w:t>
      </w:r>
    </w:p>
    <w:p>
      <w:pPr>
        <w:bidi w:val="0"/>
      </w:pPr>
      <w:r>
        <w:rPr>
          <w:rFonts w:hint="eastAsia"/>
        </w:rPr>
        <w:t>（3）发现问题及时处理和上报。</w:t>
      </w:r>
    </w:p>
    <w:p>
      <w:pPr>
        <w:pStyle w:val="2"/>
        <w:bidi w:val="0"/>
        <w:rPr>
          <w:rFonts w:hint="eastAsia"/>
        </w:rPr>
      </w:pPr>
      <w:bookmarkStart w:id="90" w:name="_Toc30726"/>
      <w:r>
        <w:rPr>
          <w:rFonts w:hint="eastAsia"/>
        </w:rPr>
        <w:t>制度保障</w:t>
      </w:r>
      <w:bookmarkEnd w:id="90"/>
    </w:p>
    <w:p>
      <w:pPr>
        <w:spacing w:line="360" w:lineRule="auto"/>
        <w:ind w:firstLine="640" w:firstLineChars="200"/>
        <w:rPr>
          <w:rFonts w:hint="default" w:ascii="Times New Roman" w:hAnsi="Times New Roman"/>
        </w:rPr>
      </w:pPr>
      <w:r>
        <w:rPr>
          <w:rFonts w:hint="default" w:ascii="Times New Roman" w:hAnsi="Times New Roman"/>
        </w:rPr>
        <w:t>建立健全推行河长制各项制度，主要包括河长会议制度、信息共享制度、信息报送制度、工作督察制度、考核问责和激励制度、验收制度等。</w:t>
      </w:r>
    </w:p>
    <w:p>
      <w:pPr>
        <w:rPr>
          <w:rFonts w:hint="eastAsia"/>
        </w:rPr>
      </w:pPr>
      <w:r>
        <w:rPr>
          <w:rFonts w:hint="default" w:ascii="Times New Roman" w:hAnsi="Times New Roman"/>
        </w:rPr>
        <w:t>区政府要建立信息共享制度，定期通报河库管理保护情况，及时跟踪河长制实施进展。建立工作督察制度，对河长制实施情况和河长履职情况进行督察。建立考核问责与激励机制，对成绩突出的河长及责任单位进行通报，对失职失责的严肃问责。建立验收制度，按照工作方案确定的时间节点，及时对建立河长制工作进行验收</w:t>
      </w:r>
      <w:r>
        <w:rPr>
          <w:rFonts w:hint="default" w:ascii="Times New Roman" w:hAnsi="Times New Roman"/>
          <w:lang w:val="zh-CN"/>
        </w:rPr>
        <w:t>。</w:t>
      </w:r>
    </w:p>
    <w:p>
      <w:pPr>
        <w:pStyle w:val="2"/>
        <w:bidi w:val="0"/>
        <w:rPr>
          <w:rFonts w:hint="eastAsia"/>
        </w:rPr>
      </w:pPr>
      <w:bookmarkStart w:id="91" w:name="_Toc8075"/>
      <w:r>
        <w:rPr>
          <w:rFonts w:hint="eastAsia"/>
        </w:rPr>
        <w:t>经费保障</w:t>
      </w:r>
      <w:bookmarkEnd w:id="91"/>
    </w:p>
    <w:p>
      <w:pPr>
        <w:bidi w:val="0"/>
        <w:rPr>
          <w:rFonts w:hint="eastAsia"/>
        </w:rPr>
      </w:pPr>
      <w:r>
        <w:rPr>
          <w:rFonts w:hint="eastAsia"/>
        </w:rPr>
        <w:t>丰都县赤溪河“一河一策”方案的各项经费，应由丰都县统一协调。丰都县为农业县，财政收入相对薄弱，为此，在资金保障方面应加强以下工作：</w:t>
      </w:r>
    </w:p>
    <w:p>
      <w:pPr>
        <w:keepNext w:val="0"/>
        <w:keepLines w:val="0"/>
        <w:pageBreakBefore w:val="0"/>
        <w:widowControl w:val="0"/>
        <w:numPr>
          <w:ilvl w:val="0"/>
          <w:numId w:val="19"/>
        </w:numPr>
        <w:kinsoku/>
        <w:wordWrap/>
        <w:overflowPunct/>
        <w:topLinePunct w:val="0"/>
        <w:autoSpaceDE w:val="0"/>
        <w:autoSpaceDN w:val="0"/>
        <w:bidi w:val="0"/>
        <w:adjustRightInd/>
        <w:snapToGrid/>
        <w:ind w:left="0" w:leftChars="0" w:firstLine="0" w:firstLineChars="0"/>
        <w:textAlignment w:val="auto"/>
        <w:rPr>
          <w:rFonts w:hint="eastAsia"/>
        </w:rPr>
      </w:pPr>
      <w:r>
        <w:rPr>
          <w:rFonts w:hint="eastAsia"/>
        </w:rPr>
        <w:t>根据方案，细化资金使用计划，分清轻重缓急，优先保障现有未完成项目建设资金，着重考虑整治效益明显项目。全县河道统筹考虑，制定资金使用审批流程和监管制度，确保资金投入有效发挥。</w:t>
      </w:r>
    </w:p>
    <w:p>
      <w:pPr>
        <w:keepNext w:val="0"/>
        <w:keepLines w:val="0"/>
        <w:pageBreakBefore w:val="0"/>
        <w:widowControl w:val="0"/>
        <w:numPr>
          <w:ilvl w:val="0"/>
          <w:numId w:val="19"/>
        </w:numPr>
        <w:kinsoku/>
        <w:wordWrap/>
        <w:overflowPunct/>
        <w:topLinePunct w:val="0"/>
        <w:autoSpaceDE w:val="0"/>
        <w:autoSpaceDN w:val="0"/>
        <w:bidi w:val="0"/>
        <w:adjustRightInd/>
        <w:snapToGrid/>
        <w:ind w:left="0" w:leftChars="0" w:firstLine="0" w:firstLineChars="0"/>
        <w:textAlignment w:val="auto"/>
        <w:rPr>
          <w:rFonts w:hint="eastAsia"/>
        </w:rPr>
      </w:pPr>
      <w:r>
        <w:rPr>
          <w:rFonts w:hint="eastAsia"/>
        </w:rPr>
        <w:t>各相关部门应积极发挥自主能动性，努力争取上级专项补助资金。</w:t>
      </w:r>
    </w:p>
    <w:p>
      <w:pPr>
        <w:keepNext w:val="0"/>
        <w:keepLines w:val="0"/>
        <w:pageBreakBefore w:val="0"/>
        <w:widowControl w:val="0"/>
        <w:numPr>
          <w:ilvl w:val="0"/>
          <w:numId w:val="19"/>
        </w:numPr>
        <w:kinsoku/>
        <w:wordWrap/>
        <w:overflowPunct/>
        <w:topLinePunct w:val="0"/>
        <w:autoSpaceDE w:val="0"/>
        <w:autoSpaceDN w:val="0"/>
        <w:bidi w:val="0"/>
        <w:adjustRightInd/>
        <w:snapToGrid/>
        <w:ind w:left="0" w:leftChars="0" w:firstLine="0" w:firstLineChars="0"/>
        <w:textAlignment w:val="auto"/>
        <w:rPr>
          <w:rFonts w:hint="eastAsia"/>
        </w:rPr>
      </w:pPr>
      <w:r>
        <w:rPr>
          <w:rFonts w:hint="eastAsia"/>
        </w:rPr>
        <w:t>优先制定投资政策，坚持“政府主导、市场运作、社会参与”的原则，建立政府、企业、个人、社会多元化投入机制，拓宽融资渠道，落实规划项目建设资金。</w:t>
      </w:r>
    </w:p>
    <w:p>
      <w:pPr>
        <w:keepNext w:val="0"/>
        <w:keepLines w:val="0"/>
        <w:pageBreakBefore w:val="0"/>
        <w:widowControl w:val="0"/>
        <w:numPr>
          <w:ilvl w:val="0"/>
          <w:numId w:val="19"/>
        </w:numPr>
        <w:kinsoku/>
        <w:wordWrap/>
        <w:overflowPunct/>
        <w:topLinePunct w:val="0"/>
        <w:autoSpaceDE w:val="0"/>
        <w:autoSpaceDN w:val="0"/>
        <w:bidi w:val="0"/>
        <w:adjustRightInd/>
        <w:snapToGrid/>
        <w:ind w:left="0" w:leftChars="0" w:firstLine="0" w:firstLineChars="0"/>
        <w:textAlignment w:val="auto"/>
        <w:rPr>
          <w:rFonts w:hint="eastAsia"/>
        </w:rPr>
      </w:pPr>
      <w:r>
        <w:rPr>
          <w:rFonts w:hint="eastAsia"/>
        </w:rPr>
        <w:t>本着谁污染谁治理的原则，加强排污企业管理，监督其落实污染治理投资。</w:t>
      </w:r>
    </w:p>
    <w:p>
      <w:pPr>
        <w:keepNext w:val="0"/>
        <w:keepLines w:val="0"/>
        <w:pageBreakBefore w:val="0"/>
        <w:widowControl w:val="0"/>
        <w:numPr>
          <w:ilvl w:val="0"/>
          <w:numId w:val="19"/>
        </w:numPr>
        <w:kinsoku/>
        <w:wordWrap/>
        <w:overflowPunct/>
        <w:topLinePunct w:val="0"/>
        <w:autoSpaceDE w:val="0"/>
        <w:autoSpaceDN w:val="0"/>
        <w:bidi w:val="0"/>
        <w:adjustRightInd/>
        <w:snapToGrid/>
        <w:ind w:left="0" w:leftChars="0" w:firstLine="0" w:firstLineChars="0"/>
        <w:textAlignment w:val="auto"/>
        <w:rPr>
          <w:rFonts w:hint="eastAsia"/>
        </w:rPr>
      </w:pPr>
      <w:r>
        <w:rPr>
          <w:rFonts w:hint="eastAsia"/>
        </w:rPr>
        <w:t>加大扶持生态农村、生态农业建设，充分发挥带头示范作用，以效益树意识，用意识减投入。</w:t>
      </w:r>
    </w:p>
    <w:p>
      <w:pPr>
        <w:pStyle w:val="2"/>
        <w:bidi w:val="0"/>
        <w:rPr>
          <w:rFonts w:hint="eastAsia"/>
        </w:rPr>
      </w:pPr>
      <w:bookmarkStart w:id="92" w:name="_Toc30569"/>
      <w:r>
        <w:rPr>
          <w:rFonts w:hint="eastAsia"/>
        </w:rPr>
        <w:t>队伍保障</w:t>
      </w:r>
      <w:bookmarkEnd w:id="92"/>
    </w:p>
    <w:p>
      <w:pPr>
        <w:bidi w:val="0"/>
        <w:rPr>
          <w:rFonts w:hint="default"/>
        </w:rPr>
      </w:pPr>
      <w:r>
        <w:rPr>
          <w:rFonts w:hint="default"/>
        </w:rPr>
        <w:t>针对管理保护队伍能力建设方面</w:t>
      </w:r>
      <w:r>
        <w:t>，</w:t>
      </w:r>
      <w:r>
        <w:rPr>
          <w:rFonts w:hint="default"/>
        </w:rPr>
        <w:t>既要重视发挥老专家的作用，又要大胆启用青年专业技术人员，人员结构老、中、青合理配置，有利于各项制度的执行、措施的落实，更有利于河长制机制的长期有效运行。加大对河流轮疏机制、生态修复技术等方面的科学研究，加快推进生态河道治理技术方案编制，解决“一河一策”实施过程中的重点和难点问题。同时，做好对水域岸线保护利用、排污口监测审核、河湖监管信息化等方面的培训交流。</w:t>
      </w:r>
    </w:p>
    <w:p>
      <w:pPr>
        <w:bidi w:val="0"/>
        <w:rPr>
          <w:rFonts w:hint="default"/>
        </w:rPr>
      </w:pPr>
      <w:r>
        <w:rPr>
          <w:rFonts w:hint="default"/>
        </w:rPr>
        <w:t>发现问题或进行项目实施情况下，实时组织河长会议，使组织内各成员单位明确各自职责和权力，积极参与相关工作，协同一致保持联合执法队伍的稳定性。</w:t>
      </w:r>
    </w:p>
    <w:p>
      <w:pPr>
        <w:bidi w:val="0"/>
        <w:rPr>
          <w:rFonts w:hint="eastAsia"/>
        </w:rPr>
      </w:pPr>
      <w:r>
        <w:rPr>
          <w:rFonts w:hint="default"/>
        </w:rPr>
        <w:t>推动政府购买部分社会服务，或吸引社会力量参与部分工作，鼓励设立企业河长、民间河长、河长监督员、河道志愿者、巾帼护水岗以及民间自发或志愿的河长或监督员等，多方式多渠道多方人士参与河道管理，共同维护</w:t>
      </w:r>
      <w:r>
        <w:rPr>
          <w:rFonts w:hint="eastAsia"/>
          <w:lang w:eastAsia="zh-CN"/>
        </w:rPr>
        <w:t>赤溪河</w:t>
      </w:r>
      <w:r>
        <w:rPr>
          <w:rFonts w:hint="default"/>
        </w:rPr>
        <w:t>健康永续。</w:t>
      </w:r>
    </w:p>
    <w:p>
      <w:pPr>
        <w:pStyle w:val="2"/>
        <w:bidi w:val="0"/>
        <w:rPr>
          <w:rFonts w:hint="eastAsia"/>
        </w:rPr>
      </w:pPr>
      <w:bookmarkStart w:id="93" w:name="_Toc14137"/>
      <w:r>
        <w:rPr>
          <w:rFonts w:hint="eastAsia"/>
        </w:rPr>
        <w:t>机制保障</w:t>
      </w:r>
      <w:bookmarkEnd w:id="93"/>
    </w:p>
    <w:p>
      <w:pPr>
        <w:numPr>
          <w:ilvl w:val="0"/>
          <w:numId w:val="20"/>
        </w:numPr>
        <w:spacing w:line="360" w:lineRule="auto"/>
        <w:ind w:left="425" w:leftChars="0" w:hanging="425" w:firstLineChars="0"/>
        <w:outlineLvl w:val="2"/>
        <w:rPr>
          <w:rFonts w:hint="default" w:ascii="Times New Roman" w:hAnsi="Times New Roman"/>
        </w:rPr>
      </w:pPr>
      <w:r>
        <w:rPr>
          <w:rFonts w:hint="default" w:ascii="Times New Roman" w:hAnsi="Times New Roman"/>
        </w:rPr>
        <w:t>沟通协调机制</w:t>
      </w:r>
    </w:p>
    <w:p>
      <w:pPr>
        <w:spacing w:line="360" w:lineRule="auto"/>
        <w:ind w:firstLine="640" w:firstLineChars="200"/>
        <w:rPr>
          <w:rFonts w:hint="default" w:ascii="Times New Roman" w:hAnsi="Times New Roman"/>
        </w:rPr>
      </w:pPr>
      <w:r>
        <w:rPr>
          <w:rFonts w:hint="default" w:ascii="Times New Roman" w:hAnsi="Times New Roman"/>
        </w:rPr>
        <w:t>河湖管理保护涉及水利、农业、国土、林业等多个部门，涉及河流上下游、左右岸不同区域，需要在河长制的平台上，进一步加强区域间的沟通合作，形成合力，构建责任明确、协调有序、监管严格、保护有力的协作机制。</w:t>
      </w:r>
    </w:p>
    <w:p>
      <w:pPr>
        <w:numPr>
          <w:ilvl w:val="0"/>
          <w:numId w:val="20"/>
        </w:numPr>
        <w:spacing w:line="360" w:lineRule="auto"/>
        <w:ind w:left="425" w:leftChars="0" w:hanging="425" w:firstLineChars="0"/>
        <w:outlineLvl w:val="2"/>
        <w:rPr>
          <w:rFonts w:hint="default" w:ascii="Times New Roman" w:hAnsi="Times New Roman"/>
        </w:rPr>
      </w:pPr>
      <w:r>
        <w:rPr>
          <w:rFonts w:hint="default" w:ascii="Times New Roman" w:hAnsi="Times New Roman"/>
        </w:rPr>
        <w:t>综合执法机制</w:t>
      </w:r>
    </w:p>
    <w:p>
      <w:pPr>
        <w:spacing w:line="360" w:lineRule="auto"/>
        <w:ind w:firstLine="640" w:firstLineChars="200"/>
        <w:rPr>
          <w:rFonts w:hint="default" w:ascii="Times New Roman" w:hAnsi="Times New Roman"/>
        </w:rPr>
      </w:pPr>
      <w:r>
        <w:rPr>
          <w:rFonts w:hint="default" w:ascii="Times New Roman" w:hAnsi="Times New Roman"/>
        </w:rPr>
        <w:t>为严厉打击涉河违法行为，需要完善行政执法与刑事司法的衔接机制，整合各部门执法力量，建立部门联合执法、综合笔法机制，共同维护</w:t>
      </w:r>
      <w:r>
        <w:rPr>
          <w:rFonts w:hint="eastAsia" w:ascii="Times New Roman" w:hAnsi="Times New Roman"/>
          <w:lang w:eastAsia="zh-CN"/>
        </w:rPr>
        <w:t>赤溪河</w:t>
      </w:r>
      <w:r>
        <w:rPr>
          <w:rFonts w:hint="default" w:ascii="Times New Roman" w:hAnsi="Times New Roman"/>
        </w:rPr>
        <w:t>良好秩序。</w:t>
      </w:r>
    </w:p>
    <w:p>
      <w:pPr>
        <w:numPr>
          <w:ilvl w:val="0"/>
          <w:numId w:val="20"/>
        </w:numPr>
        <w:spacing w:line="360" w:lineRule="auto"/>
        <w:ind w:left="425" w:leftChars="0" w:hanging="425" w:firstLineChars="0"/>
        <w:outlineLvl w:val="2"/>
        <w:rPr>
          <w:rFonts w:hint="default" w:ascii="Times New Roman" w:hAnsi="Times New Roman"/>
        </w:rPr>
      </w:pPr>
      <w:r>
        <w:rPr>
          <w:rFonts w:hint="default" w:ascii="Times New Roman" w:hAnsi="Times New Roman"/>
        </w:rPr>
        <w:t>督查督导机制</w:t>
      </w:r>
    </w:p>
    <w:p>
      <w:pPr>
        <w:spacing w:line="360" w:lineRule="auto"/>
        <w:ind w:firstLine="640" w:firstLineChars="200"/>
        <w:rPr>
          <w:rFonts w:hint="default" w:ascii="Times New Roman" w:hAnsi="Times New Roman"/>
        </w:rPr>
      </w:pPr>
      <w:r>
        <w:rPr>
          <w:rFonts w:hint="default" w:ascii="Times New Roman" w:hAnsi="Times New Roman"/>
        </w:rPr>
        <w:t>河长制的实行还在不断的完善中，应建立专家和上下级、同级督查指导机制，不断完善工作流程，明确职责，促进工作方式方法的改进。</w:t>
      </w:r>
    </w:p>
    <w:p>
      <w:pPr>
        <w:numPr>
          <w:ilvl w:val="0"/>
          <w:numId w:val="20"/>
        </w:numPr>
        <w:spacing w:line="360" w:lineRule="auto"/>
        <w:ind w:left="425" w:leftChars="0" w:hanging="425" w:firstLineChars="0"/>
        <w:outlineLvl w:val="2"/>
        <w:rPr>
          <w:rFonts w:hint="default" w:ascii="Times New Roman" w:hAnsi="Times New Roman"/>
        </w:rPr>
      </w:pPr>
      <w:r>
        <w:rPr>
          <w:rFonts w:hint="default" w:ascii="Times New Roman" w:hAnsi="Times New Roman"/>
        </w:rPr>
        <w:t>考核问责和激励机制</w:t>
      </w:r>
    </w:p>
    <w:p>
      <w:pPr>
        <w:spacing w:line="360" w:lineRule="auto"/>
        <w:ind w:firstLine="640" w:firstLineChars="200"/>
        <w:rPr>
          <w:rFonts w:hint="default" w:ascii="Times New Roman" w:hAnsi="Times New Roman"/>
        </w:rPr>
      </w:pPr>
      <w:r>
        <w:rPr>
          <w:rFonts w:hint="default" w:ascii="Times New Roman" w:hAnsi="Times New Roman"/>
        </w:rPr>
        <w:t>职责明确、目标指标化、任务具体化，严格考核办法，对生态环境损害责任终身追究制，对成绩突出的河长及责任单位进行物质、精神名誉的激励，以及作为个人综合考评的依据。</w:t>
      </w:r>
    </w:p>
    <w:p>
      <w:pPr>
        <w:pStyle w:val="2"/>
        <w:bidi w:val="0"/>
        <w:rPr>
          <w:rFonts w:hint="eastAsia"/>
        </w:rPr>
      </w:pPr>
      <w:bookmarkStart w:id="94" w:name="_Toc18815"/>
      <w:r>
        <w:rPr>
          <w:rFonts w:hint="eastAsia"/>
        </w:rPr>
        <w:t>监督保障</w:t>
      </w:r>
      <w:bookmarkEnd w:id="94"/>
    </w:p>
    <w:p>
      <w:pPr>
        <w:bidi w:val="0"/>
        <w:rPr>
          <w:rFonts w:hint="default"/>
        </w:rPr>
      </w:pPr>
      <w:r>
        <w:rPr>
          <w:rFonts w:hint="default"/>
        </w:rPr>
        <w:t>加强同级督查督导与监督、人大政协监督、上级河长对下级河长的指导监督。建立健全河长制考核问责机制，由</w:t>
      </w:r>
      <w:r>
        <w:rPr>
          <w:rFonts w:hint="eastAsia"/>
          <w:lang w:eastAsia="zh-CN"/>
        </w:rPr>
        <w:t>丰都县</w:t>
      </w:r>
      <w:r>
        <w:rPr>
          <w:rFonts w:hint="default"/>
        </w:rPr>
        <w:t>河长办负责考核“一河一策”工作实施情况，崇龛镇按行政辖区范围建立“部门明确、责任到人”的河长制工作体系，强化层级考核。</w:t>
      </w:r>
      <w:r>
        <w:rPr>
          <w:rFonts w:hint="eastAsia"/>
          <w:lang w:eastAsia="zh-CN"/>
        </w:rPr>
        <w:t>丰都县</w:t>
      </w:r>
      <w:r>
        <w:rPr>
          <w:rFonts w:hint="default"/>
        </w:rPr>
        <w:t>河长办定期召开协调会议，同时充分利用河长制工作平台，组织成员单位人员定期或不定期开展现场督察，及时通报工作进展情况，加强监督考核，完善河长制长效监管机制。</w:t>
      </w:r>
    </w:p>
    <w:p>
      <w:pPr>
        <w:bidi w:val="0"/>
        <w:rPr>
          <w:rFonts w:hint="default"/>
        </w:rPr>
      </w:pPr>
      <w:r>
        <w:rPr>
          <w:rFonts w:hint="default"/>
        </w:rPr>
        <w:t>聘请环保、水利等相关技术人士作为社会监督员，从专业技术方面对</w:t>
      </w:r>
      <w:r>
        <w:rPr>
          <w:rFonts w:hint="eastAsia"/>
          <w:lang w:eastAsia="zh-CN"/>
        </w:rPr>
        <w:t>赤溪河</w:t>
      </w:r>
      <w:r>
        <w:rPr>
          <w:rFonts w:hint="default"/>
        </w:rPr>
        <w:t>管理保护效果进行监督和评价。</w:t>
      </w:r>
    </w:p>
    <w:p>
      <w:pPr>
        <w:bidi w:val="0"/>
        <w:rPr>
          <w:rFonts w:hint="eastAsia"/>
        </w:rPr>
      </w:pPr>
      <w:r>
        <w:rPr>
          <w:rFonts w:hint="default"/>
        </w:rPr>
        <w:t>建立河流管理保护信息发布平台，通过主要媒体向社会公告河长名单，加大全面推行河长制工作的宣传力度，营造依法治水、齐抓共管的良好社会氛围，引导广大群众积极参与河流管理保护，增强全社会对河流管理保护的责任意识、参与意识。</w:t>
      </w:r>
    </w:p>
    <w:p>
      <w:pPr>
        <w:pStyle w:val="4"/>
        <w:numPr>
          <w:ilvl w:val="0"/>
          <w:numId w:val="2"/>
        </w:numPr>
        <w:tabs>
          <w:tab w:val="left" w:pos="900"/>
          <w:tab w:val="left" w:pos="901"/>
        </w:tabs>
        <w:spacing w:before="80" w:after="0" w:line="240" w:lineRule="auto"/>
        <w:ind w:left="900" w:right="0" w:hanging="637"/>
        <w:jc w:val="left"/>
        <w:sectPr>
          <w:pgSz w:w="11906" w:h="16838"/>
          <w:pgMar w:top="1440" w:right="1800" w:bottom="1440" w:left="1800" w:header="851" w:footer="992" w:gutter="0"/>
          <w:pgNumType w:fmt="decimal"/>
          <w:cols w:space="425" w:num="1"/>
          <w:docGrid w:type="lines" w:linePitch="312" w:charSpace="0"/>
        </w:sectPr>
      </w:pPr>
    </w:p>
    <w:p>
      <w:pPr>
        <w:pStyle w:val="3"/>
        <w:bidi w:val="0"/>
      </w:pPr>
      <w:bookmarkStart w:id="95" w:name="_Toc26048"/>
      <w:r>
        <w:t>附表</w:t>
      </w:r>
      <w:bookmarkEnd w:id="95"/>
    </w:p>
    <w:p>
      <w:pPr>
        <w:pStyle w:val="2"/>
        <w:numPr>
          <w:ilvl w:val="1"/>
          <w:numId w:val="0"/>
        </w:numPr>
        <w:bidi w:val="0"/>
        <w:ind w:leftChars="0" w:right="0" w:rightChars="0"/>
        <w:jc w:val="center"/>
        <w:rPr>
          <w:rFonts w:hint="eastAsia"/>
        </w:rPr>
      </w:pPr>
      <w:bookmarkStart w:id="96" w:name="_Toc32564"/>
      <w:r>
        <w:rPr>
          <w:rFonts w:hint="eastAsia"/>
        </w:rPr>
        <w:t>附表 1</w:t>
      </w:r>
      <w:r>
        <w:rPr>
          <w:rFonts w:hint="eastAsia"/>
        </w:rPr>
        <w:tab/>
      </w:r>
      <w:r>
        <w:rPr>
          <w:rFonts w:hint="eastAsia"/>
        </w:rPr>
        <w:t>河库（河段）管理保护目标、任务清单</w:t>
      </w:r>
      <w:bookmarkEnd w:id="96"/>
    </w:p>
    <w:tbl>
      <w:tblPr>
        <w:tblStyle w:val="20"/>
        <w:tblW w:w="139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2"/>
        <w:gridCol w:w="576"/>
        <w:gridCol w:w="726"/>
        <w:gridCol w:w="1783"/>
        <w:gridCol w:w="1707"/>
        <w:gridCol w:w="6387"/>
        <w:gridCol w:w="1397"/>
        <w:gridCol w:w="645"/>
        <w:gridCol w:w="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blHeader/>
          <w:jc w:val="center"/>
        </w:trPr>
        <w:tc>
          <w:tcPr>
            <w:tcW w:w="472" w:type="dxa"/>
            <w:vMerge w:val="restart"/>
            <w:vAlign w:val="center"/>
          </w:tcPr>
          <w:p>
            <w:pPr>
              <w:pStyle w:val="25"/>
              <w:bidi w:val="0"/>
              <w:rPr>
                <w:rFonts w:hint="eastAsia"/>
              </w:rPr>
            </w:pPr>
          </w:p>
          <w:p>
            <w:pPr>
              <w:pStyle w:val="25"/>
              <w:bidi w:val="0"/>
              <w:rPr>
                <w:rFonts w:hint="eastAsia"/>
              </w:rPr>
            </w:pPr>
            <w:r>
              <w:rPr>
                <w:rFonts w:hint="eastAsia"/>
              </w:rPr>
              <w:t>河流</w:t>
            </w:r>
          </w:p>
        </w:tc>
        <w:tc>
          <w:tcPr>
            <w:tcW w:w="576" w:type="dxa"/>
            <w:vMerge w:val="restart"/>
            <w:vAlign w:val="center"/>
          </w:tcPr>
          <w:p>
            <w:pPr>
              <w:pStyle w:val="25"/>
              <w:bidi w:val="0"/>
              <w:rPr>
                <w:rFonts w:hint="eastAsia"/>
              </w:rPr>
            </w:pPr>
          </w:p>
          <w:p>
            <w:pPr>
              <w:pStyle w:val="25"/>
              <w:bidi w:val="0"/>
              <w:rPr>
                <w:rFonts w:hint="eastAsia"/>
              </w:rPr>
            </w:pPr>
            <w:r>
              <w:rPr>
                <w:rFonts w:hint="eastAsia"/>
              </w:rPr>
              <w:t>目标类别</w:t>
            </w:r>
          </w:p>
        </w:tc>
        <w:tc>
          <w:tcPr>
            <w:tcW w:w="4216" w:type="dxa"/>
            <w:gridSpan w:val="3"/>
            <w:vAlign w:val="center"/>
          </w:tcPr>
          <w:p>
            <w:pPr>
              <w:pStyle w:val="25"/>
              <w:bidi w:val="0"/>
              <w:rPr>
                <w:rFonts w:hint="eastAsia"/>
              </w:rPr>
            </w:pPr>
            <w:r>
              <w:rPr>
                <w:rFonts w:hint="eastAsia"/>
              </w:rPr>
              <w:t>目标</w:t>
            </w:r>
          </w:p>
        </w:tc>
        <w:tc>
          <w:tcPr>
            <w:tcW w:w="7784" w:type="dxa"/>
            <w:gridSpan w:val="2"/>
            <w:vAlign w:val="center"/>
          </w:tcPr>
          <w:p>
            <w:pPr>
              <w:pStyle w:val="25"/>
              <w:bidi w:val="0"/>
              <w:rPr>
                <w:rFonts w:hint="eastAsia"/>
              </w:rPr>
            </w:pPr>
            <w:r>
              <w:rPr>
                <w:rFonts w:hint="eastAsia"/>
              </w:rPr>
              <w:t>任务</w:t>
            </w:r>
          </w:p>
        </w:tc>
        <w:tc>
          <w:tcPr>
            <w:tcW w:w="645" w:type="dxa"/>
            <w:vMerge w:val="restart"/>
            <w:vAlign w:val="center"/>
          </w:tcPr>
          <w:p>
            <w:pPr>
              <w:pStyle w:val="25"/>
              <w:bidi w:val="0"/>
              <w:rPr>
                <w:rFonts w:hint="eastAsia"/>
              </w:rPr>
            </w:pPr>
            <w:r>
              <w:rPr>
                <w:rFonts w:hint="eastAsia"/>
              </w:rPr>
              <w:t>河长</w:t>
            </w:r>
          </w:p>
        </w:tc>
        <w:tc>
          <w:tcPr>
            <w:tcW w:w="269" w:type="dxa"/>
            <w:vMerge w:val="restart"/>
            <w:vAlign w:val="center"/>
          </w:tcPr>
          <w:p>
            <w:pPr>
              <w:pStyle w:val="25"/>
              <w:bidi w:val="0"/>
              <w:rPr>
                <w:rFonts w:hint="eastAsia"/>
              </w:rPr>
            </w:pPr>
            <w:r>
              <w:rPr>
                <w:rFonts w:hint="eastAsi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blHeader/>
          <w:jc w:val="center"/>
        </w:trPr>
        <w:tc>
          <w:tcPr>
            <w:tcW w:w="472" w:type="dxa"/>
            <w:vMerge w:val="continue"/>
            <w:tcBorders>
              <w:top w:val="nil"/>
            </w:tcBorders>
            <w:vAlign w:val="center"/>
          </w:tcPr>
          <w:p>
            <w:pPr>
              <w:pStyle w:val="25"/>
              <w:bidi w:val="0"/>
              <w:rPr>
                <w:rFonts w:hint="eastAsia"/>
              </w:rPr>
            </w:pPr>
          </w:p>
        </w:tc>
        <w:tc>
          <w:tcPr>
            <w:tcW w:w="576" w:type="dxa"/>
            <w:vMerge w:val="continue"/>
            <w:tcBorders>
              <w:top w:val="nil"/>
            </w:tcBorders>
            <w:vAlign w:val="center"/>
          </w:tcPr>
          <w:p>
            <w:pPr>
              <w:pStyle w:val="25"/>
              <w:bidi w:val="0"/>
              <w:rPr>
                <w:rFonts w:hint="eastAsia"/>
              </w:rPr>
            </w:pPr>
          </w:p>
        </w:tc>
        <w:tc>
          <w:tcPr>
            <w:tcW w:w="726" w:type="dxa"/>
            <w:vMerge w:val="restart"/>
            <w:vAlign w:val="center"/>
          </w:tcPr>
          <w:p>
            <w:pPr>
              <w:pStyle w:val="25"/>
              <w:bidi w:val="0"/>
              <w:rPr>
                <w:rFonts w:hint="eastAsia"/>
              </w:rPr>
            </w:pPr>
            <w:r>
              <w:rPr>
                <w:rFonts w:hint="eastAsia"/>
              </w:rPr>
              <w:t>主要指标</w:t>
            </w:r>
          </w:p>
        </w:tc>
        <w:tc>
          <w:tcPr>
            <w:tcW w:w="3490" w:type="dxa"/>
            <w:gridSpan w:val="2"/>
            <w:vAlign w:val="center"/>
          </w:tcPr>
          <w:p>
            <w:pPr>
              <w:pStyle w:val="25"/>
              <w:bidi w:val="0"/>
              <w:rPr>
                <w:rFonts w:hint="eastAsia"/>
              </w:rPr>
            </w:pPr>
            <w:r>
              <w:rPr>
                <w:rFonts w:hint="eastAsia"/>
              </w:rPr>
              <w:t>指标值</w:t>
            </w:r>
          </w:p>
        </w:tc>
        <w:tc>
          <w:tcPr>
            <w:tcW w:w="6387" w:type="dxa"/>
            <w:vMerge w:val="restart"/>
            <w:vAlign w:val="center"/>
          </w:tcPr>
          <w:p>
            <w:pPr>
              <w:pStyle w:val="25"/>
              <w:bidi w:val="0"/>
              <w:rPr>
                <w:rFonts w:hint="eastAsia"/>
              </w:rPr>
            </w:pPr>
            <w:r>
              <w:rPr>
                <w:rFonts w:hint="eastAsia"/>
              </w:rPr>
              <w:t>具体任务</w:t>
            </w:r>
          </w:p>
        </w:tc>
        <w:tc>
          <w:tcPr>
            <w:tcW w:w="1397" w:type="dxa"/>
            <w:vMerge w:val="restart"/>
            <w:vAlign w:val="center"/>
          </w:tcPr>
          <w:p>
            <w:pPr>
              <w:pStyle w:val="25"/>
              <w:bidi w:val="0"/>
              <w:rPr>
                <w:rFonts w:hint="eastAsia"/>
              </w:rPr>
            </w:pPr>
            <w:r>
              <w:rPr>
                <w:rFonts w:hint="eastAsia"/>
              </w:rPr>
              <w:t>责任部门</w:t>
            </w:r>
          </w:p>
        </w:tc>
        <w:tc>
          <w:tcPr>
            <w:tcW w:w="645" w:type="dxa"/>
            <w:vMerge w:val="continue"/>
            <w:tcBorders>
              <w:top w:val="nil"/>
            </w:tcBorders>
            <w:vAlign w:val="center"/>
          </w:tcPr>
          <w:p>
            <w:pPr>
              <w:pStyle w:val="25"/>
              <w:bidi w:val="0"/>
              <w:rPr>
                <w:rFonts w:hint="eastAsia"/>
              </w:rPr>
            </w:pPr>
          </w:p>
        </w:tc>
        <w:tc>
          <w:tcPr>
            <w:tcW w:w="269" w:type="dxa"/>
            <w:vMerge w:val="continue"/>
            <w:tcBorders>
              <w:top w:val="nil"/>
            </w:tcBorders>
            <w:vAlign w:val="center"/>
          </w:tcPr>
          <w:p>
            <w:pPr>
              <w:pStyle w:val="25"/>
              <w:bidi w:val="0"/>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blHeader/>
          <w:jc w:val="center"/>
        </w:trPr>
        <w:tc>
          <w:tcPr>
            <w:tcW w:w="472" w:type="dxa"/>
            <w:vMerge w:val="continue"/>
            <w:tcBorders>
              <w:top w:val="nil"/>
            </w:tcBorders>
            <w:vAlign w:val="center"/>
          </w:tcPr>
          <w:p>
            <w:pPr>
              <w:pStyle w:val="25"/>
              <w:bidi w:val="0"/>
              <w:rPr>
                <w:rFonts w:hint="eastAsia"/>
              </w:rPr>
            </w:pPr>
          </w:p>
        </w:tc>
        <w:tc>
          <w:tcPr>
            <w:tcW w:w="576" w:type="dxa"/>
            <w:vMerge w:val="continue"/>
            <w:tcBorders>
              <w:top w:val="nil"/>
            </w:tcBorders>
            <w:vAlign w:val="center"/>
          </w:tcPr>
          <w:p>
            <w:pPr>
              <w:pStyle w:val="25"/>
              <w:bidi w:val="0"/>
              <w:rPr>
                <w:rFonts w:hint="eastAsia"/>
              </w:rPr>
            </w:pPr>
          </w:p>
        </w:tc>
        <w:tc>
          <w:tcPr>
            <w:tcW w:w="726" w:type="dxa"/>
            <w:vMerge w:val="continue"/>
            <w:tcBorders>
              <w:top w:val="nil"/>
            </w:tcBorders>
            <w:vAlign w:val="center"/>
          </w:tcPr>
          <w:p>
            <w:pPr>
              <w:pStyle w:val="25"/>
              <w:bidi w:val="0"/>
              <w:rPr>
                <w:rFonts w:hint="eastAsia"/>
              </w:rPr>
            </w:pPr>
          </w:p>
        </w:tc>
        <w:tc>
          <w:tcPr>
            <w:tcW w:w="1783" w:type="dxa"/>
            <w:vAlign w:val="center"/>
          </w:tcPr>
          <w:p>
            <w:pPr>
              <w:pStyle w:val="25"/>
              <w:bidi w:val="0"/>
              <w:rPr>
                <w:rFonts w:hint="eastAsia"/>
              </w:rPr>
            </w:pPr>
            <w:r>
              <w:rPr>
                <w:rFonts w:hint="eastAsia"/>
              </w:rPr>
              <w:t>现状</w:t>
            </w:r>
          </w:p>
        </w:tc>
        <w:tc>
          <w:tcPr>
            <w:tcW w:w="1707" w:type="dxa"/>
            <w:vAlign w:val="center"/>
          </w:tcPr>
          <w:p>
            <w:pPr>
              <w:pStyle w:val="25"/>
              <w:bidi w:val="0"/>
              <w:rPr>
                <w:rFonts w:hint="eastAsia"/>
              </w:rPr>
            </w:pPr>
            <w:r>
              <w:rPr>
                <w:rFonts w:hint="eastAsia"/>
              </w:rPr>
              <w:t>预期</w:t>
            </w:r>
          </w:p>
        </w:tc>
        <w:tc>
          <w:tcPr>
            <w:tcW w:w="6387" w:type="dxa"/>
            <w:vMerge w:val="continue"/>
            <w:tcBorders>
              <w:top w:val="nil"/>
            </w:tcBorders>
            <w:vAlign w:val="center"/>
          </w:tcPr>
          <w:p>
            <w:pPr>
              <w:pStyle w:val="25"/>
              <w:bidi w:val="0"/>
              <w:rPr>
                <w:rFonts w:hint="eastAsia"/>
              </w:rPr>
            </w:pPr>
          </w:p>
        </w:tc>
        <w:tc>
          <w:tcPr>
            <w:tcW w:w="1397" w:type="dxa"/>
            <w:vMerge w:val="continue"/>
            <w:tcBorders>
              <w:top w:val="nil"/>
            </w:tcBorders>
            <w:vAlign w:val="center"/>
          </w:tcPr>
          <w:p>
            <w:pPr>
              <w:pStyle w:val="25"/>
              <w:bidi w:val="0"/>
              <w:rPr>
                <w:rFonts w:hint="eastAsia"/>
              </w:rPr>
            </w:pPr>
          </w:p>
        </w:tc>
        <w:tc>
          <w:tcPr>
            <w:tcW w:w="645" w:type="dxa"/>
            <w:vMerge w:val="continue"/>
            <w:tcBorders>
              <w:top w:val="nil"/>
            </w:tcBorders>
            <w:vAlign w:val="center"/>
          </w:tcPr>
          <w:p>
            <w:pPr>
              <w:pStyle w:val="25"/>
              <w:bidi w:val="0"/>
              <w:rPr>
                <w:rFonts w:hint="eastAsia"/>
              </w:rPr>
            </w:pPr>
          </w:p>
        </w:tc>
        <w:tc>
          <w:tcPr>
            <w:tcW w:w="269" w:type="dxa"/>
            <w:vMerge w:val="continue"/>
            <w:tcBorders>
              <w:top w:val="nil"/>
            </w:tcBorders>
            <w:vAlign w:val="center"/>
          </w:tcPr>
          <w:p>
            <w:pPr>
              <w:pStyle w:val="25"/>
              <w:bidi w:val="0"/>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472" w:type="dxa"/>
            <w:vMerge w:val="restart"/>
            <w:vAlign w:val="center"/>
          </w:tcPr>
          <w:p>
            <w:pPr>
              <w:pStyle w:val="25"/>
              <w:bidi w:val="0"/>
              <w:rPr>
                <w:rFonts w:hint="default" w:eastAsia="方正仿宋_GBK"/>
                <w:lang w:val="en-US" w:eastAsia="zh-CN"/>
              </w:rPr>
            </w:pPr>
            <w:r>
              <w:rPr>
                <w:rFonts w:hint="eastAsia"/>
                <w:lang w:val="en-US" w:eastAsia="zh-CN"/>
              </w:rPr>
              <w:t>赤溪河全流域</w:t>
            </w:r>
          </w:p>
        </w:tc>
        <w:tc>
          <w:tcPr>
            <w:tcW w:w="576" w:type="dxa"/>
            <w:vAlign w:val="center"/>
          </w:tcPr>
          <w:p>
            <w:pPr>
              <w:pStyle w:val="25"/>
              <w:bidi w:val="0"/>
              <w:rPr>
                <w:rFonts w:hint="eastAsia"/>
              </w:rPr>
            </w:pPr>
            <w:r>
              <w:rPr>
                <w:rFonts w:hint="eastAsia"/>
              </w:rPr>
              <w:t>水资源保护</w:t>
            </w:r>
          </w:p>
        </w:tc>
        <w:tc>
          <w:tcPr>
            <w:tcW w:w="726" w:type="dxa"/>
            <w:vAlign w:val="center"/>
          </w:tcPr>
          <w:p>
            <w:pPr>
              <w:pStyle w:val="25"/>
              <w:bidi w:val="0"/>
              <w:rPr>
                <w:rFonts w:hint="eastAsia"/>
              </w:rPr>
            </w:pPr>
            <w:r>
              <w:rPr>
                <w:rFonts w:hint="eastAsia"/>
              </w:rPr>
              <w:t>农田灌溉水有效利用系数</w:t>
            </w:r>
          </w:p>
        </w:tc>
        <w:tc>
          <w:tcPr>
            <w:tcW w:w="1783" w:type="dxa"/>
            <w:vAlign w:val="center"/>
          </w:tcPr>
          <w:p>
            <w:pPr>
              <w:pStyle w:val="25"/>
              <w:bidi w:val="0"/>
              <w:rPr>
                <w:rFonts w:hint="eastAsia"/>
                <w:lang w:eastAsia="zh-CN"/>
              </w:rPr>
            </w:pPr>
            <w:r>
              <w:rPr>
                <w:rFonts w:hint="eastAsia"/>
              </w:rPr>
              <w:t>0.4</w:t>
            </w:r>
            <w:r>
              <w:rPr>
                <w:rFonts w:hint="eastAsia"/>
                <w:lang w:val="en-US" w:eastAsia="zh-CN"/>
              </w:rPr>
              <w:t>7</w:t>
            </w:r>
          </w:p>
        </w:tc>
        <w:tc>
          <w:tcPr>
            <w:tcW w:w="1707" w:type="dxa"/>
            <w:vAlign w:val="center"/>
          </w:tcPr>
          <w:p>
            <w:pPr>
              <w:pStyle w:val="25"/>
              <w:bidi w:val="0"/>
              <w:rPr>
                <w:rFonts w:hint="eastAsia"/>
              </w:rPr>
            </w:pPr>
            <w:r>
              <w:rPr>
                <w:rFonts w:hint="eastAsia"/>
              </w:rPr>
              <w:t>水资源管理“三条红线”控制指标的水平值</w:t>
            </w:r>
          </w:p>
        </w:tc>
        <w:tc>
          <w:tcPr>
            <w:tcW w:w="6387" w:type="dxa"/>
            <w:vAlign w:val="center"/>
          </w:tcPr>
          <w:p>
            <w:pPr>
              <w:pStyle w:val="25"/>
              <w:bidi w:val="0"/>
              <w:rPr>
                <w:rFonts w:hint="eastAsia"/>
              </w:rPr>
            </w:pPr>
            <w:r>
              <w:rPr>
                <w:rFonts w:hint="eastAsia"/>
              </w:rPr>
              <w:t>落实最严格水资源管理制度，取用水必须符合用水总量、用水效率和水功能</w:t>
            </w:r>
            <w:r>
              <w:rPr>
                <w:rFonts w:hint="eastAsia"/>
                <w:lang w:eastAsia="zh-CN"/>
              </w:rPr>
              <w:t>县</w:t>
            </w:r>
            <w:r>
              <w:rPr>
                <w:rFonts w:hint="eastAsia"/>
              </w:rPr>
              <w:t>水质达标率“三条红线”。清理调查各取用水户是否办理取水许可证，是否超证取水等，如有违规情况，应限时整改到位。加强节约用水宣传，推广应用节水技术，达到节水技术应用目标</w:t>
            </w:r>
          </w:p>
        </w:tc>
        <w:tc>
          <w:tcPr>
            <w:tcW w:w="1397" w:type="dxa"/>
            <w:vAlign w:val="center"/>
          </w:tcPr>
          <w:p>
            <w:pPr>
              <w:pStyle w:val="25"/>
              <w:bidi w:val="0"/>
              <w:rPr>
                <w:rFonts w:hint="eastAsia"/>
                <w:lang w:val="en-US" w:eastAsia="zh-CN"/>
              </w:rPr>
            </w:pPr>
            <w:r>
              <w:rPr>
                <w:rFonts w:hint="eastAsia"/>
                <w:lang w:val="en-US" w:eastAsia="zh-CN"/>
              </w:rPr>
              <w:t>县经信委、保合镇、十直镇、树人镇、名山街道</w:t>
            </w:r>
          </w:p>
        </w:tc>
        <w:tc>
          <w:tcPr>
            <w:tcW w:w="645" w:type="dxa"/>
            <w:vMerge w:val="restart"/>
            <w:vAlign w:val="center"/>
          </w:tcPr>
          <w:p>
            <w:pPr>
              <w:pStyle w:val="25"/>
              <w:bidi w:val="0"/>
              <w:rPr>
                <w:rFonts w:hint="eastAsia" w:eastAsia="方正仿宋_GBK"/>
                <w:lang w:val="en-US" w:eastAsia="zh-CN"/>
              </w:rPr>
            </w:pPr>
            <w:r>
              <w:rPr>
                <w:rFonts w:hint="eastAsia"/>
                <w:lang w:val="en-US" w:eastAsia="zh-CN"/>
              </w:rPr>
              <w:t>陈金富（副县长）</w:t>
            </w:r>
          </w:p>
        </w:tc>
        <w:tc>
          <w:tcPr>
            <w:tcW w:w="269" w:type="dxa"/>
            <w:vAlign w:val="center"/>
          </w:tcPr>
          <w:p>
            <w:pPr>
              <w:pStyle w:val="25"/>
              <w:bidi w:val="0"/>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472" w:type="dxa"/>
            <w:vMerge w:val="continue"/>
            <w:tcBorders>
              <w:top w:val="nil"/>
            </w:tcBorders>
            <w:vAlign w:val="center"/>
          </w:tcPr>
          <w:p>
            <w:pPr>
              <w:pStyle w:val="25"/>
              <w:bidi w:val="0"/>
              <w:rPr>
                <w:rFonts w:hint="eastAsia"/>
              </w:rPr>
            </w:pPr>
          </w:p>
        </w:tc>
        <w:tc>
          <w:tcPr>
            <w:tcW w:w="576" w:type="dxa"/>
            <w:vAlign w:val="center"/>
          </w:tcPr>
          <w:p>
            <w:pPr>
              <w:pStyle w:val="25"/>
              <w:bidi w:val="0"/>
              <w:rPr>
                <w:rFonts w:hint="eastAsia"/>
              </w:rPr>
            </w:pPr>
            <w:r>
              <w:rPr>
                <w:rFonts w:hint="eastAsia"/>
              </w:rPr>
              <w:t>水域岸线管理保护</w:t>
            </w:r>
          </w:p>
        </w:tc>
        <w:tc>
          <w:tcPr>
            <w:tcW w:w="726" w:type="dxa"/>
            <w:vAlign w:val="center"/>
          </w:tcPr>
          <w:p>
            <w:pPr>
              <w:pStyle w:val="25"/>
              <w:bidi w:val="0"/>
              <w:rPr>
                <w:rFonts w:hint="eastAsia"/>
                <w:lang w:val="zh-CN" w:eastAsia="zh-CN"/>
              </w:rPr>
            </w:pPr>
            <w:r>
              <w:rPr>
                <w:rFonts w:hint="eastAsia" w:ascii="方正仿宋_GBK" w:hAnsi="宋体" w:eastAsia="方正仿宋_GBK" w:cs="宋体"/>
                <w:color w:val="000000"/>
                <w:kern w:val="0"/>
                <w:szCs w:val="21"/>
              </w:rPr>
              <w:t>水域岸线治理</w:t>
            </w:r>
          </w:p>
        </w:tc>
        <w:tc>
          <w:tcPr>
            <w:tcW w:w="1783" w:type="dxa"/>
            <w:vAlign w:val="center"/>
          </w:tcPr>
          <w:p>
            <w:pPr>
              <w:pStyle w:val="25"/>
              <w:bidi w:val="0"/>
              <w:rPr>
                <w:rFonts w:hint="default" w:eastAsia="方正仿宋_GBK"/>
                <w:lang w:val="en-US" w:eastAsia="zh-CN"/>
              </w:rPr>
            </w:pPr>
            <w:r>
              <w:rPr>
                <w:rFonts w:hint="eastAsia"/>
                <w:lang w:val="en-US" w:eastAsia="zh-CN"/>
              </w:rPr>
              <w:t>95%</w:t>
            </w:r>
          </w:p>
        </w:tc>
        <w:tc>
          <w:tcPr>
            <w:tcW w:w="1707" w:type="dxa"/>
            <w:vAlign w:val="center"/>
          </w:tcPr>
          <w:p>
            <w:pPr>
              <w:pStyle w:val="25"/>
              <w:bidi w:val="0"/>
              <w:rPr>
                <w:rFonts w:hint="eastAsia"/>
                <w:lang w:val="zh-CN" w:eastAsia="zh-CN"/>
              </w:rPr>
            </w:pPr>
            <w:r>
              <w:rPr>
                <w:rFonts w:hint="eastAsia"/>
              </w:rPr>
              <w:t>100%</w:t>
            </w:r>
          </w:p>
        </w:tc>
        <w:tc>
          <w:tcPr>
            <w:tcW w:w="6387" w:type="dxa"/>
            <w:vAlign w:val="center"/>
          </w:tcPr>
          <w:p>
            <w:pPr>
              <w:pStyle w:val="25"/>
              <w:bidi w:val="0"/>
              <w:rPr>
                <w:rFonts w:hint="eastAsia"/>
                <w:lang w:eastAsia="zh-CN"/>
              </w:rPr>
            </w:pPr>
            <w:r>
              <w:rPr>
                <w:rFonts w:hint="eastAsia" w:ascii="方正仿宋_GBK" w:hAnsi="宋体" w:eastAsia="方正仿宋_GBK" w:cs="宋体"/>
                <w:color w:val="000000"/>
                <w:kern w:val="0"/>
                <w:szCs w:val="21"/>
              </w:rPr>
              <w:t>清退河滩地种植</w:t>
            </w:r>
          </w:p>
        </w:tc>
        <w:tc>
          <w:tcPr>
            <w:tcW w:w="1397" w:type="dxa"/>
            <w:vAlign w:val="center"/>
          </w:tcPr>
          <w:p>
            <w:pPr>
              <w:pStyle w:val="25"/>
              <w:bidi w:val="0"/>
              <w:rPr>
                <w:rFonts w:hint="eastAsia"/>
              </w:rPr>
            </w:pPr>
            <w:r>
              <w:rPr>
                <w:rFonts w:hint="eastAsia"/>
                <w:lang w:eastAsia="zh-CN"/>
              </w:rPr>
              <w:t>县</w:t>
            </w:r>
            <w:r>
              <w:rPr>
                <w:rFonts w:hint="eastAsia"/>
              </w:rPr>
              <w:t>水利局</w:t>
            </w:r>
          </w:p>
        </w:tc>
        <w:tc>
          <w:tcPr>
            <w:tcW w:w="645" w:type="dxa"/>
            <w:vMerge w:val="continue"/>
            <w:tcBorders>
              <w:top w:val="nil"/>
            </w:tcBorders>
            <w:vAlign w:val="center"/>
          </w:tcPr>
          <w:p>
            <w:pPr>
              <w:pStyle w:val="25"/>
              <w:bidi w:val="0"/>
              <w:rPr>
                <w:rFonts w:hint="eastAsia"/>
              </w:rPr>
            </w:pPr>
          </w:p>
        </w:tc>
        <w:tc>
          <w:tcPr>
            <w:tcW w:w="269" w:type="dxa"/>
            <w:vAlign w:val="center"/>
          </w:tcPr>
          <w:p>
            <w:pPr>
              <w:pStyle w:val="25"/>
              <w:bidi w:val="0"/>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472" w:type="dxa"/>
            <w:vMerge w:val="continue"/>
            <w:tcBorders>
              <w:top w:val="nil"/>
            </w:tcBorders>
            <w:vAlign w:val="center"/>
          </w:tcPr>
          <w:p>
            <w:pPr>
              <w:pStyle w:val="25"/>
              <w:bidi w:val="0"/>
              <w:rPr>
                <w:rFonts w:hint="eastAsia"/>
              </w:rPr>
            </w:pPr>
          </w:p>
        </w:tc>
        <w:tc>
          <w:tcPr>
            <w:tcW w:w="576" w:type="dxa"/>
            <w:vAlign w:val="center"/>
          </w:tcPr>
          <w:p>
            <w:pPr>
              <w:pStyle w:val="25"/>
              <w:bidi w:val="0"/>
              <w:rPr>
                <w:rFonts w:hint="eastAsia"/>
              </w:rPr>
            </w:pPr>
            <w:r>
              <w:rPr>
                <w:rFonts w:hint="eastAsia"/>
              </w:rPr>
              <w:t>水污染防治</w:t>
            </w:r>
          </w:p>
        </w:tc>
        <w:tc>
          <w:tcPr>
            <w:tcW w:w="726" w:type="dxa"/>
            <w:vAlign w:val="center"/>
          </w:tcPr>
          <w:p>
            <w:pPr>
              <w:pStyle w:val="25"/>
              <w:bidi w:val="0"/>
              <w:rPr>
                <w:rFonts w:hint="eastAsia"/>
              </w:rPr>
            </w:pPr>
            <w:r>
              <w:rPr>
                <w:rFonts w:hint="eastAsia"/>
              </w:rPr>
              <w:t>农业面源污染</w:t>
            </w:r>
          </w:p>
        </w:tc>
        <w:tc>
          <w:tcPr>
            <w:tcW w:w="1783" w:type="dxa"/>
            <w:vAlign w:val="center"/>
          </w:tcPr>
          <w:p>
            <w:pPr>
              <w:pStyle w:val="25"/>
              <w:bidi w:val="0"/>
              <w:rPr>
                <w:rFonts w:hint="eastAsia"/>
              </w:rPr>
            </w:pPr>
            <w:r>
              <w:rPr>
                <w:rFonts w:hint="eastAsia"/>
              </w:rPr>
              <w:t>COD</w:t>
            </w:r>
            <w:r>
              <w:rPr>
                <w:rFonts w:hint="eastAsia"/>
                <w:lang w:eastAsia="zh-CN"/>
              </w:rPr>
              <w:t>：</w:t>
            </w:r>
            <w:r>
              <w:rPr>
                <w:rFonts w:hint="eastAsia"/>
                <w:lang w:val="en-US" w:eastAsia="zh-CN"/>
              </w:rPr>
              <w:t>14.26</w:t>
            </w:r>
            <w:r>
              <w:rPr>
                <w:rFonts w:hint="eastAsia"/>
              </w:rPr>
              <w:t>吨/年、NH3-N</w:t>
            </w:r>
            <w:r>
              <w:rPr>
                <w:rFonts w:hint="eastAsia"/>
                <w:lang w:eastAsia="zh-CN"/>
              </w:rPr>
              <w:t>：</w:t>
            </w:r>
            <w:r>
              <w:rPr>
                <w:rFonts w:hint="eastAsia"/>
                <w:lang w:val="en-US" w:eastAsia="zh-CN"/>
              </w:rPr>
              <w:t>1.85</w:t>
            </w:r>
            <w:r>
              <w:rPr>
                <w:rFonts w:hint="eastAsia"/>
              </w:rPr>
              <w:t>吨/年、TP1吨/年</w:t>
            </w:r>
          </w:p>
        </w:tc>
        <w:tc>
          <w:tcPr>
            <w:tcW w:w="1707" w:type="dxa"/>
            <w:vAlign w:val="center"/>
          </w:tcPr>
          <w:p>
            <w:pPr>
              <w:pStyle w:val="25"/>
              <w:bidi w:val="0"/>
              <w:rPr>
                <w:rFonts w:hint="default" w:eastAsia="方正仿宋_GBK"/>
                <w:lang w:val="en-US" w:eastAsia="zh-CN"/>
              </w:rPr>
            </w:pPr>
            <w:r>
              <w:rPr>
                <w:rFonts w:hint="eastAsia"/>
                <w:lang w:val="en-US" w:eastAsia="zh-CN"/>
              </w:rPr>
              <w:t>零增长</w:t>
            </w:r>
          </w:p>
        </w:tc>
        <w:tc>
          <w:tcPr>
            <w:tcW w:w="6387" w:type="dxa"/>
            <w:vAlign w:val="center"/>
          </w:tcPr>
          <w:p>
            <w:pPr>
              <w:pStyle w:val="25"/>
              <w:bidi w:val="0"/>
              <w:rPr>
                <w:rFonts w:hint="eastAsia"/>
                <w:lang w:val="en-US" w:eastAsia="zh-CN"/>
              </w:rPr>
            </w:pPr>
            <w:r>
              <w:rPr>
                <w:rFonts w:hint="eastAsia"/>
              </w:rPr>
              <w:t>开展农业面源污染治理工作，严控农药、化肥施用</w:t>
            </w:r>
          </w:p>
        </w:tc>
        <w:tc>
          <w:tcPr>
            <w:tcW w:w="1397" w:type="dxa"/>
            <w:vAlign w:val="center"/>
          </w:tcPr>
          <w:p>
            <w:pPr>
              <w:pStyle w:val="25"/>
              <w:bidi w:val="0"/>
              <w:rPr>
                <w:rFonts w:hint="eastAsia"/>
              </w:rPr>
            </w:pPr>
            <w:r>
              <w:rPr>
                <w:rFonts w:hint="eastAsia"/>
                <w:lang w:val="en-US" w:eastAsia="zh-CN"/>
              </w:rPr>
              <w:t>保合镇、十直镇、树人镇、名山街道</w:t>
            </w:r>
          </w:p>
        </w:tc>
        <w:tc>
          <w:tcPr>
            <w:tcW w:w="645" w:type="dxa"/>
            <w:vMerge w:val="continue"/>
            <w:tcBorders>
              <w:top w:val="nil"/>
            </w:tcBorders>
            <w:vAlign w:val="center"/>
          </w:tcPr>
          <w:p>
            <w:pPr>
              <w:pStyle w:val="25"/>
              <w:bidi w:val="0"/>
              <w:rPr>
                <w:rFonts w:hint="eastAsia"/>
              </w:rPr>
            </w:pPr>
          </w:p>
        </w:tc>
        <w:tc>
          <w:tcPr>
            <w:tcW w:w="269" w:type="dxa"/>
            <w:vAlign w:val="center"/>
          </w:tcPr>
          <w:p>
            <w:pPr>
              <w:pStyle w:val="25"/>
              <w:bidi w:val="0"/>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472" w:type="dxa"/>
            <w:vMerge w:val="continue"/>
            <w:tcBorders>
              <w:top w:val="nil"/>
            </w:tcBorders>
            <w:vAlign w:val="center"/>
          </w:tcPr>
          <w:p>
            <w:pPr>
              <w:pStyle w:val="25"/>
              <w:bidi w:val="0"/>
              <w:rPr>
                <w:rFonts w:hint="eastAsia"/>
              </w:rPr>
            </w:pPr>
          </w:p>
        </w:tc>
        <w:tc>
          <w:tcPr>
            <w:tcW w:w="576" w:type="dxa"/>
            <w:vAlign w:val="center"/>
          </w:tcPr>
          <w:p>
            <w:pPr>
              <w:pStyle w:val="25"/>
              <w:bidi w:val="0"/>
              <w:rPr>
                <w:rFonts w:hint="eastAsia"/>
              </w:rPr>
            </w:pPr>
            <w:r>
              <w:rPr>
                <w:rFonts w:hint="eastAsia"/>
              </w:rPr>
              <w:t>水环境治理</w:t>
            </w:r>
          </w:p>
        </w:tc>
        <w:tc>
          <w:tcPr>
            <w:tcW w:w="726" w:type="dxa"/>
            <w:vAlign w:val="center"/>
          </w:tcPr>
          <w:p>
            <w:pPr>
              <w:pStyle w:val="25"/>
              <w:bidi w:val="0"/>
              <w:rPr>
                <w:rFonts w:hint="eastAsia"/>
              </w:rPr>
            </w:pPr>
            <w:r>
              <w:rPr>
                <w:rFonts w:hint="eastAsia"/>
              </w:rPr>
              <w:t>水源地规范化建设</w:t>
            </w:r>
          </w:p>
          <w:p>
            <w:pPr>
              <w:pStyle w:val="25"/>
              <w:bidi w:val="0"/>
              <w:rPr>
                <w:rFonts w:hint="eastAsia"/>
              </w:rPr>
            </w:pPr>
          </w:p>
        </w:tc>
        <w:tc>
          <w:tcPr>
            <w:tcW w:w="1783" w:type="dxa"/>
            <w:vAlign w:val="center"/>
          </w:tcPr>
          <w:p>
            <w:pPr>
              <w:pStyle w:val="25"/>
              <w:bidi w:val="0"/>
              <w:rPr>
                <w:rFonts w:hint="eastAsia"/>
                <w:lang w:val="en-US" w:eastAsia="zh-CN"/>
              </w:rPr>
            </w:pPr>
            <w:r>
              <w:rPr>
                <w:rFonts w:hint="eastAsia"/>
              </w:rPr>
              <w:t>保护</w:t>
            </w:r>
            <w:r>
              <w:rPr>
                <w:rFonts w:hint="eastAsia"/>
                <w:lang w:eastAsia="zh-CN"/>
              </w:rPr>
              <w:t>县</w:t>
            </w:r>
            <w:r>
              <w:rPr>
                <w:rFonts w:hint="eastAsia"/>
              </w:rPr>
              <w:t>标志</w:t>
            </w:r>
            <w:r>
              <w:rPr>
                <w:rFonts w:hint="eastAsia"/>
                <w:lang w:val="en-US" w:eastAsia="zh-CN"/>
              </w:rPr>
              <w:t>未完善，无隔离防护</w:t>
            </w:r>
          </w:p>
        </w:tc>
        <w:tc>
          <w:tcPr>
            <w:tcW w:w="1707" w:type="dxa"/>
            <w:vAlign w:val="center"/>
          </w:tcPr>
          <w:p>
            <w:pPr>
              <w:pStyle w:val="25"/>
              <w:bidi w:val="0"/>
              <w:rPr>
                <w:rFonts w:hint="eastAsia"/>
                <w:lang w:val="en-US" w:eastAsia="zh-CN"/>
              </w:rPr>
            </w:pPr>
            <w:r>
              <w:rPr>
                <w:rFonts w:hint="eastAsia"/>
                <w:lang w:val="en-US" w:eastAsia="zh-CN"/>
              </w:rPr>
              <w:t>规范化建设</w:t>
            </w:r>
          </w:p>
        </w:tc>
        <w:tc>
          <w:tcPr>
            <w:tcW w:w="6387" w:type="dxa"/>
            <w:vAlign w:val="center"/>
          </w:tcPr>
          <w:p>
            <w:pPr>
              <w:pStyle w:val="25"/>
              <w:bidi w:val="0"/>
              <w:rPr>
                <w:rFonts w:hint="eastAsia"/>
              </w:rPr>
            </w:pPr>
            <w:r>
              <w:rPr>
                <w:rFonts w:hint="eastAsia"/>
              </w:rPr>
              <w:t>丰都县十直供水站水源地完善保护</w:t>
            </w:r>
            <w:r>
              <w:rPr>
                <w:rFonts w:hint="eastAsia"/>
                <w:lang w:eastAsia="zh-CN"/>
              </w:rPr>
              <w:t>县</w:t>
            </w:r>
            <w:r>
              <w:rPr>
                <w:rFonts w:hint="eastAsia"/>
              </w:rPr>
              <w:t>标志</w:t>
            </w:r>
            <w:r>
              <w:rPr>
                <w:rFonts w:hint="eastAsia"/>
                <w:lang w:eastAsia="zh-CN"/>
              </w:rPr>
              <w:t>、</w:t>
            </w:r>
            <w:r>
              <w:rPr>
                <w:rFonts w:hint="eastAsia"/>
              </w:rPr>
              <w:t>合理设置隔离防护</w:t>
            </w:r>
            <w:r>
              <w:rPr>
                <w:rFonts w:hint="eastAsia"/>
                <w:lang w:eastAsia="zh-CN"/>
              </w:rPr>
              <w:t>、</w:t>
            </w:r>
            <w:r>
              <w:rPr>
                <w:rFonts w:hint="eastAsia"/>
              </w:rPr>
              <w:t>开展生态修复与保护工作</w:t>
            </w:r>
          </w:p>
        </w:tc>
        <w:tc>
          <w:tcPr>
            <w:tcW w:w="1397" w:type="dxa"/>
            <w:vAlign w:val="center"/>
          </w:tcPr>
          <w:p>
            <w:pPr>
              <w:pStyle w:val="25"/>
              <w:bidi w:val="0"/>
              <w:rPr>
                <w:rFonts w:hint="eastAsia"/>
              </w:rPr>
            </w:pPr>
            <w:r>
              <w:rPr>
                <w:rFonts w:hint="eastAsia"/>
                <w:lang w:val="en-US" w:eastAsia="zh-CN"/>
              </w:rPr>
              <w:t>十直镇</w:t>
            </w:r>
          </w:p>
        </w:tc>
        <w:tc>
          <w:tcPr>
            <w:tcW w:w="645" w:type="dxa"/>
            <w:vMerge w:val="continue"/>
            <w:tcBorders>
              <w:top w:val="nil"/>
            </w:tcBorders>
            <w:vAlign w:val="center"/>
          </w:tcPr>
          <w:p>
            <w:pPr>
              <w:pStyle w:val="25"/>
              <w:bidi w:val="0"/>
              <w:rPr>
                <w:rFonts w:hint="eastAsia"/>
              </w:rPr>
            </w:pPr>
          </w:p>
        </w:tc>
        <w:tc>
          <w:tcPr>
            <w:tcW w:w="269" w:type="dxa"/>
            <w:vAlign w:val="center"/>
          </w:tcPr>
          <w:p>
            <w:pPr>
              <w:pStyle w:val="25"/>
              <w:bidi w:val="0"/>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472" w:type="dxa"/>
            <w:vMerge w:val="continue"/>
            <w:tcBorders>
              <w:top w:val="nil"/>
            </w:tcBorders>
            <w:vAlign w:val="center"/>
          </w:tcPr>
          <w:p>
            <w:pPr>
              <w:pStyle w:val="25"/>
              <w:bidi w:val="0"/>
              <w:rPr>
                <w:rFonts w:hint="eastAsia"/>
              </w:rPr>
            </w:pPr>
          </w:p>
        </w:tc>
        <w:tc>
          <w:tcPr>
            <w:tcW w:w="576" w:type="dxa"/>
            <w:vAlign w:val="center"/>
          </w:tcPr>
          <w:p>
            <w:pPr>
              <w:pStyle w:val="25"/>
              <w:bidi w:val="0"/>
              <w:rPr>
                <w:rFonts w:hint="eastAsia"/>
              </w:rPr>
            </w:pPr>
            <w:r>
              <w:rPr>
                <w:rFonts w:hint="eastAsia"/>
              </w:rPr>
              <w:t>水生态修复</w:t>
            </w:r>
          </w:p>
        </w:tc>
        <w:tc>
          <w:tcPr>
            <w:tcW w:w="726" w:type="dxa"/>
            <w:vAlign w:val="center"/>
          </w:tcPr>
          <w:p>
            <w:pPr>
              <w:pStyle w:val="25"/>
              <w:bidi w:val="0"/>
              <w:rPr>
                <w:rFonts w:hint="eastAsia"/>
              </w:rPr>
            </w:pPr>
            <w:r>
              <w:rPr>
                <w:rFonts w:hint="eastAsia"/>
              </w:rPr>
              <w:t>生物多样性</w:t>
            </w:r>
          </w:p>
        </w:tc>
        <w:tc>
          <w:tcPr>
            <w:tcW w:w="1783" w:type="dxa"/>
            <w:vAlign w:val="center"/>
          </w:tcPr>
          <w:p>
            <w:pPr>
              <w:pStyle w:val="25"/>
              <w:bidi w:val="0"/>
              <w:rPr>
                <w:rFonts w:hint="eastAsia"/>
              </w:rPr>
            </w:pPr>
            <w:r>
              <w:rPr>
                <w:rFonts w:hint="eastAsia"/>
              </w:rPr>
              <w:t>植被单一，生物多样性差</w:t>
            </w:r>
          </w:p>
        </w:tc>
        <w:tc>
          <w:tcPr>
            <w:tcW w:w="1707" w:type="dxa"/>
            <w:vAlign w:val="center"/>
          </w:tcPr>
          <w:p>
            <w:pPr>
              <w:pStyle w:val="25"/>
              <w:bidi w:val="0"/>
              <w:rPr>
                <w:rFonts w:hint="eastAsia"/>
              </w:rPr>
            </w:pPr>
            <w:r>
              <w:rPr>
                <w:rFonts w:hint="eastAsia"/>
              </w:rPr>
              <w:t>生物、栖息地具有多样性；达到平衡、适度、和谐河流修复</w:t>
            </w:r>
          </w:p>
        </w:tc>
        <w:tc>
          <w:tcPr>
            <w:tcW w:w="6387" w:type="dxa"/>
            <w:vAlign w:val="center"/>
          </w:tcPr>
          <w:p>
            <w:pPr>
              <w:pStyle w:val="25"/>
              <w:bidi w:val="0"/>
              <w:rPr>
                <w:rFonts w:hint="eastAsia"/>
              </w:rPr>
            </w:pPr>
            <w:r>
              <w:rPr>
                <w:rFonts w:hint="eastAsia"/>
              </w:rPr>
              <w:t>河岸种植自然草皮、灌木和乔木相结合的绿化植物，营造优美水景观。河岸种植自然草皮、灌木和乔木相结合的绿化植物，营造优美水景观。在</w:t>
            </w:r>
            <w:r>
              <w:rPr>
                <w:rFonts w:hint="eastAsia"/>
                <w:lang w:eastAsia="zh-CN"/>
              </w:rPr>
              <w:t>赤溪河</w:t>
            </w:r>
            <w:r>
              <w:rPr>
                <w:rFonts w:hint="eastAsia"/>
              </w:rPr>
              <w:t>沿岸开展生态清洁型小流域治理，探索生态保护补偿机制，建立水体景观带，带动周边水生态文明建设</w:t>
            </w:r>
          </w:p>
        </w:tc>
        <w:tc>
          <w:tcPr>
            <w:tcW w:w="1397" w:type="dxa"/>
            <w:vAlign w:val="center"/>
          </w:tcPr>
          <w:p>
            <w:pPr>
              <w:pStyle w:val="25"/>
              <w:bidi w:val="0"/>
              <w:rPr>
                <w:rFonts w:hint="eastAsia"/>
              </w:rPr>
            </w:pPr>
            <w:r>
              <w:rPr>
                <w:rFonts w:hint="eastAsia"/>
                <w:lang w:val="en-US" w:eastAsia="zh-CN"/>
              </w:rPr>
              <w:t>县经信委、保合镇、十直镇、树人镇、名山街道</w:t>
            </w:r>
          </w:p>
        </w:tc>
        <w:tc>
          <w:tcPr>
            <w:tcW w:w="645" w:type="dxa"/>
            <w:vMerge w:val="continue"/>
            <w:tcBorders>
              <w:top w:val="nil"/>
            </w:tcBorders>
            <w:vAlign w:val="center"/>
          </w:tcPr>
          <w:p>
            <w:pPr>
              <w:pStyle w:val="25"/>
              <w:bidi w:val="0"/>
              <w:rPr>
                <w:rFonts w:hint="eastAsia"/>
              </w:rPr>
            </w:pPr>
          </w:p>
        </w:tc>
        <w:tc>
          <w:tcPr>
            <w:tcW w:w="269" w:type="dxa"/>
            <w:vAlign w:val="center"/>
          </w:tcPr>
          <w:p>
            <w:pPr>
              <w:pStyle w:val="25"/>
              <w:bidi w:val="0"/>
              <w:rPr>
                <w:rFonts w:hint="eastAsia"/>
              </w:rPr>
            </w:pPr>
          </w:p>
        </w:tc>
      </w:tr>
    </w:tbl>
    <w:p>
      <w:pPr>
        <w:rPr>
          <w:rFonts w:hint="eastAsia"/>
        </w:rPr>
        <w:sectPr>
          <w:pgSz w:w="16838" w:h="11906" w:orient="landscape"/>
          <w:pgMar w:top="1800" w:right="1440" w:bottom="1800" w:left="1440" w:header="851" w:footer="992" w:gutter="0"/>
          <w:pgNumType w:fmt="decimal"/>
          <w:cols w:space="425" w:num="1"/>
          <w:docGrid w:type="lines" w:linePitch="312" w:charSpace="0"/>
        </w:sectPr>
      </w:pPr>
    </w:p>
    <w:p>
      <w:pPr>
        <w:pStyle w:val="2"/>
        <w:numPr>
          <w:ilvl w:val="1"/>
          <w:numId w:val="0"/>
        </w:numPr>
        <w:bidi w:val="0"/>
        <w:ind w:leftChars="0" w:right="0" w:rightChars="0"/>
        <w:jc w:val="center"/>
        <w:rPr>
          <w:rFonts w:hint="eastAsia"/>
        </w:rPr>
      </w:pPr>
      <w:bookmarkStart w:id="97" w:name="_Toc29156"/>
      <w:r>
        <w:rPr>
          <w:rFonts w:hint="eastAsia"/>
        </w:rPr>
        <w:t>附表 2</w:t>
      </w:r>
      <w:r>
        <w:rPr>
          <w:rFonts w:hint="eastAsia"/>
        </w:rPr>
        <w:tab/>
      </w:r>
      <w:r>
        <w:rPr>
          <w:rFonts w:hint="eastAsia"/>
        </w:rPr>
        <w:t>河库（河段）管理保护问题、措施及责任清单</w:t>
      </w:r>
      <w:bookmarkEnd w:id="97"/>
    </w:p>
    <w:p>
      <w:pPr>
        <w:keepNext w:val="0"/>
        <w:keepLines w:val="0"/>
        <w:pageBreakBefore w:val="0"/>
        <w:widowControl w:val="0"/>
        <w:tabs>
          <w:tab w:val="left" w:pos="7719"/>
        </w:tabs>
        <w:kinsoku/>
        <w:wordWrap/>
        <w:overflowPunct/>
        <w:topLinePunct w:val="0"/>
        <w:autoSpaceDE w:val="0"/>
        <w:autoSpaceDN w:val="0"/>
        <w:bidi w:val="0"/>
        <w:adjustRightInd/>
        <w:snapToGrid/>
        <w:ind w:left="0" w:right="0" w:firstLine="0"/>
        <w:jc w:val="right"/>
        <w:textAlignment w:val="auto"/>
        <w:rPr>
          <w:rFonts w:hint="eastAsia"/>
        </w:rPr>
      </w:pPr>
      <w:r>
        <w:rPr>
          <w:rFonts w:hint="eastAsia" w:ascii="仿宋" w:eastAsia="仿宋"/>
          <w:sz w:val="24"/>
        </w:rPr>
        <w:t>河长：陈金富（</w:t>
      </w:r>
      <w:r>
        <w:rPr>
          <w:rFonts w:hint="eastAsia" w:ascii="仿宋" w:eastAsia="仿宋"/>
          <w:sz w:val="24"/>
          <w:lang w:val="en-US" w:eastAsia="zh-CN"/>
        </w:rPr>
        <w:t>副县长</w:t>
      </w:r>
      <w:r>
        <w:rPr>
          <w:rFonts w:hint="eastAsia" w:ascii="仿宋" w:eastAsia="仿宋"/>
          <w:sz w:val="24"/>
        </w:rPr>
        <w:t>）</w:t>
      </w:r>
    </w:p>
    <w:tbl>
      <w:tblPr>
        <w:tblStyle w:val="20"/>
        <w:tblW w:w="139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3"/>
        <w:gridCol w:w="742"/>
        <w:gridCol w:w="283"/>
        <w:gridCol w:w="3663"/>
        <w:gridCol w:w="1514"/>
        <w:gridCol w:w="823"/>
        <w:gridCol w:w="722"/>
        <w:gridCol w:w="2460"/>
        <w:gridCol w:w="722"/>
        <w:gridCol w:w="868"/>
        <w:gridCol w:w="621"/>
        <w:gridCol w:w="957"/>
        <w:gridCol w:w="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1" w:hRule="atLeast"/>
          <w:tblHeader/>
        </w:trPr>
        <w:tc>
          <w:tcPr>
            <w:tcW w:w="363" w:type="dxa"/>
            <w:vMerge w:val="restart"/>
          </w:tcPr>
          <w:p>
            <w:pPr>
              <w:pStyle w:val="25"/>
              <w:bidi w:val="0"/>
            </w:pPr>
          </w:p>
          <w:p>
            <w:pPr>
              <w:pStyle w:val="25"/>
              <w:bidi w:val="0"/>
            </w:pPr>
          </w:p>
          <w:p>
            <w:pPr>
              <w:pStyle w:val="25"/>
              <w:bidi w:val="0"/>
              <w:rPr>
                <w:rFonts w:hint="eastAsia"/>
              </w:rPr>
            </w:pPr>
            <w:r>
              <w:rPr>
                <w:rFonts w:hint="eastAsia"/>
              </w:rPr>
              <w:t>问题类别</w:t>
            </w:r>
          </w:p>
        </w:tc>
        <w:tc>
          <w:tcPr>
            <w:tcW w:w="742" w:type="dxa"/>
            <w:vMerge w:val="restart"/>
          </w:tcPr>
          <w:p>
            <w:pPr>
              <w:pStyle w:val="25"/>
              <w:bidi w:val="0"/>
            </w:pPr>
          </w:p>
          <w:p>
            <w:pPr>
              <w:pStyle w:val="25"/>
              <w:bidi w:val="0"/>
            </w:pPr>
          </w:p>
          <w:p>
            <w:pPr>
              <w:pStyle w:val="25"/>
              <w:bidi w:val="0"/>
              <w:rPr>
                <w:rFonts w:hint="eastAsia"/>
              </w:rPr>
            </w:pPr>
            <w:r>
              <w:rPr>
                <w:rFonts w:hint="eastAsia"/>
              </w:rPr>
              <w:t>主要问题</w:t>
            </w:r>
          </w:p>
        </w:tc>
        <w:tc>
          <w:tcPr>
            <w:tcW w:w="283" w:type="dxa"/>
            <w:vMerge w:val="restart"/>
          </w:tcPr>
          <w:p>
            <w:pPr>
              <w:pStyle w:val="25"/>
              <w:bidi w:val="0"/>
            </w:pPr>
          </w:p>
          <w:p>
            <w:pPr>
              <w:pStyle w:val="25"/>
              <w:bidi w:val="0"/>
            </w:pPr>
          </w:p>
          <w:p>
            <w:pPr>
              <w:pStyle w:val="25"/>
              <w:bidi w:val="0"/>
              <w:rPr>
                <w:rFonts w:hint="eastAsia"/>
              </w:rPr>
            </w:pPr>
            <w:r>
              <w:rPr>
                <w:rFonts w:hint="eastAsia"/>
              </w:rPr>
              <w:t>所在位置</w:t>
            </w:r>
          </w:p>
        </w:tc>
        <w:tc>
          <w:tcPr>
            <w:tcW w:w="3663" w:type="dxa"/>
            <w:vMerge w:val="restart"/>
          </w:tcPr>
          <w:p>
            <w:pPr>
              <w:pStyle w:val="25"/>
              <w:bidi w:val="0"/>
            </w:pPr>
          </w:p>
          <w:p>
            <w:pPr>
              <w:pStyle w:val="25"/>
              <w:bidi w:val="0"/>
            </w:pPr>
          </w:p>
          <w:p>
            <w:pPr>
              <w:pStyle w:val="25"/>
              <w:bidi w:val="0"/>
              <w:rPr>
                <w:rFonts w:hint="eastAsia"/>
              </w:rPr>
            </w:pPr>
            <w:r>
              <w:rPr>
                <w:rFonts w:hint="eastAsia"/>
              </w:rPr>
              <w:t>措施内容</w:t>
            </w:r>
          </w:p>
        </w:tc>
        <w:tc>
          <w:tcPr>
            <w:tcW w:w="1514" w:type="dxa"/>
            <w:vMerge w:val="restart"/>
          </w:tcPr>
          <w:p>
            <w:pPr>
              <w:pStyle w:val="25"/>
              <w:bidi w:val="0"/>
            </w:pPr>
          </w:p>
          <w:p>
            <w:pPr>
              <w:pStyle w:val="25"/>
              <w:bidi w:val="0"/>
            </w:pPr>
          </w:p>
          <w:p>
            <w:pPr>
              <w:pStyle w:val="25"/>
              <w:bidi w:val="0"/>
              <w:rPr>
                <w:rFonts w:hint="eastAsia"/>
              </w:rPr>
            </w:pPr>
            <w:r>
              <w:rPr>
                <w:rFonts w:hint="eastAsia"/>
              </w:rPr>
              <w:t>建设依据</w:t>
            </w:r>
          </w:p>
        </w:tc>
        <w:tc>
          <w:tcPr>
            <w:tcW w:w="823" w:type="dxa"/>
            <w:vMerge w:val="restart"/>
          </w:tcPr>
          <w:p>
            <w:pPr>
              <w:pStyle w:val="25"/>
              <w:bidi w:val="0"/>
            </w:pPr>
          </w:p>
          <w:p>
            <w:pPr>
              <w:pStyle w:val="25"/>
              <w:bidi w:val="0"/>
            </w:pPr>
          </w:p>
          <w:p>
            <w:pPr>
              <w:pStyle w:val="25"/>
              <w:bidi w:val="0"/>
              <w:rPr>
                <w:rFonts w:hint="eastAsia"/>
              </w:rPr>
            </w:pPr>
            <w:r>
              <w:rPr>
                <w:rFonts w:hint="eastAsia"/>
              </w:rPr>
              <w:t>资金来源</w:t>
            </w:r>
          </w:p>
        </w:tc>
        <w:tc>
          <w:tcPr>
            <w:tcW w:w="6350" w:type="dxa"/>
            <w:gridSpan w:val="6"/>
          </w:tcPr>
          <w:p>
            <w:pPr>
              <w:pStyle w:val="25"/>
              <w:bidi w:val="0"/>
              <w:rPr>
                <w:rFonts w:hint="eastAsia"/>
              </w:rPr>
            </w:pPr>
            <w:r>
              <w:rPr>
                <w:rFonts w:hint="eastAsia"/>
              </w:rPr>
              <w:t>责任分工</w:t>
            </w:r>
          </w:p>
        </w:tc>
        <w:tc>
          <w:tcPr>
            <w:tcW w:w="241" w:type="dxa"/>
            <w:vMerge w:val="restart"/>
          </w:tcPr>
          <w:p>
            <w:pPr>
              <w:pStyle w:val="25"/>
              <w:bidi w:val="0"/>
            </w:pPr>
          </w:p>
          <w:p>
            <w:pPr>
              <w:pStyle w:val="25"/>
              <w:bidi w:val="0"/>
            </w:pPr>
          </w:p>
          <w:p>
            <w:pPr>
              <w:pStyle w:val="25"/>
              <w:bidi w:val="0"/>
              <w:rPr>
                <w:rFonts w:hint="eastAsia"/>
              </w:rPr>
            </w:pPr>
            <w:r>
              <w:rPr>
                <w:rFonts w:hint="eastAsi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2" w:hRule="atLeast"/>
          <w:tblHeader/>
        </w:trPr>
        <w:tc>
          <w:tcPr>
            <w:tcW w:w="363" w:type="dxa"/>
            <w:vMerge w:val="continue"/>
            <w:tcBorders>
              <w:top w:val="nil"/>
            </w:tcBorders>
          </w:tcPr>
          <w:p>
            <w:pPr>
              <w:pStyle w:val="25"/>
              <w:bidi w:val="0"/>
            </w:pPr>
          </w:p>
        </w:tc>
        <w:tc>
          <w:tcPr>
            <w:tcW w:w="742" w:type="dxa"/>
            <w:vMerge w:val="continue"/>
            <w:tcBorders>
              <w:top w:val="nil"/>
            </w:tcBorders>
          </w:tcPr>
          <w:p>
            <w:pPr>
              <w:pStyle w:val="25"/>
              <w:bidi w:val="0"/>
            </w:pPr>
          </w:p>
        </w:tc>
        <w:tc>
          <w:tcPr>
            <w:tcW w:w="283" w:type="dxa"/>
            <w:vMerge w:val="continue"/>
            <w:tcBorders>
              <w:top w:val="nil"/>
            </w:tcBorders>
          </w:tcPr>
          <w:p>
            <w:pPr>
              <w:pStyle w:val="25"/>
              <w:bidi w:val="0"/>
            </w:pPr>
          </w:p>
        </w:tc>
        <w:tc>
          <w:tcPr>
            <w:tcW w:w="3663" w:type="dxa"/>
            <w:vMerge w:val="continue"/>
            <w:tcBorders>
              <w:top w:val="nil"/>
            </w:tcBorders>
          </w:tcPr>
          <w:p>
            <w:pPr>
              <w:pStyle w:val="25"/>
              <w:bidi w:val="0"/>
            </w:pPr>
          </w:p>
        </w:tc>
        <w:tc>
          <w:tcPr>
            <w:tcW w:w="1514" w:type="dxa"/>
            <w:vMerge w:val="continue"/>
            <w:tcBorders>
              <w:top w:val="nil"/>
            </w:tcBorders>
          </w:tcPr>
          <w:p>
            <w:pPr>
              <w:pStyle w:val="25"/>
              <w:bidi w:val="0"/>
            </w:pPr>
          </w:p>
        </w:tc>
        <w:tc>
          <w:tcPr>
            <w:tcW w:w="823" w:type="dxa"/>
            <w:vMerge w:val="continue"/>
            <w:tcBorders>
              <w:top w:val="nil"/>
            </w:tcBorders>
          </w:tcPr>
          <w:p>
            <w:pPr>
              <w:pStyle w:val="25"/>
              <w:bidi w:val="0"/>
            </w:pPr>
          </w:p>
        </w:tc>
        <w:tc>
          <w:tcPr>
            <w:tcW w:w="3182" w:type="dxa"/>
            <w:gridSpan w:val="2"/>
          </w:tcPr>
          <w:p>
            <w:pPr>
              <w:pStyle w:val="25"/>
              <w:bidi w:val="0"/>
              <w:rPr>
                <w:rFonts w:hint="eastAsia"/>
              </w:rPr>
            </w:pPr>
            <w:r>
              <w:rPr>
                <w:rFonts w:hint="eastAsia"/>
              </w:rPr>
              <w:t>责任部门</w:t>
            </w:r>
          </w:p>
        </w:tc>
        <w:tc>
          <w:tcPr>
            <w:tcW w:w="1590" w:type="dxa"/>
            <w:gridSpan w:val="2"/>
          </w:tcPr>
          <w:p>
            <w:pPr>
              <w:pStyle w:val="25"/>
              <w:bidi w:val="0"/>
              <w:rPr>
                <w:rFonts w:hint="eastAsia"/>
              </w:rPr>
            </w:pPr>
            <w:r>
              <w:rPr>
                <w:rFonts w:hint="eastAsia"/>
              </w:rPr>
              <w:t>配合部门</w:t>
            </w:r>
          </w:p>
        </w:tc>
        <w:tc>
          <w:tcPr>
            <w:tcW w:w="1578" w:type="dxa"/>
            <w:gridSpan w:val="2"/>
          </w:tcPr>
          <w:p>
            <w:pPr>
              <w:pStyle w:val="25"/>
              <w:bidi w:val="0"/>
              <w:rPr>
                <w:rFonts w:hint="eastAsia"/>
              </w:rPr>
            </w:pPr>
            <w:r>
              <w:rPr>
                <w:rFonts w:hint="eastAsia"/>
              </w:rPr>
              <w:t>监督部门</w:t>
            </w:r>
          </w:p>
        </w:tc>
        <w:tc>
          <w:tcPr>
            <w:tcW w:w="241" w:type="dxa"/>
            <w:vMerge w:val="continue"/>
            <w:tcBorders>
              <w:top w:val="nil"/>
            </w:tcBorders>
          </w:tcPr>
          <w:p>
            <w:pPr>
              <w:pStyle w:val="25"/>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82" w:hRule="atLeast"/>
          <w:tblHeader/>
        </w:trPr>
        <w:tc>
          <w:tcPr>
            <w:tcW w:w="363" w:type="dxa"/>
            <w:vMerge w:val="continue"/>
            <w:tcBorders>
              <w:top w:val="nil"/>
            </w:tcBorders>
          </w:tcPr>
          <w:p>
            <w:pPr>
              <w:pStyle w:val="25"/>
              <w:bidi w:val="0"/>
            </w:pPr>
          </w:p>
        </w:tc>
        <w:tc>
          <w:tcPr>
            <w:tcW w:w="742" w:type="dxa"/>
            <w:vMerge w:val="continue"/>
            <w:tcBorders>
              <w:top w:val="nil"/>
            </w:tcBorders>
          </w:tcPr>
          <w:p>
            <w:pPr>
              <w:pStyle w:val="25"/>
              <w:bidi w:val="0"/>
            </w:pPr>
          </w:p>
        </w:tc>
        <w:tc>
          <w:tcPr>
            <w:tcW w:w="283" w:type="dxa"/>
            <w:vMerge w:val="continue"/>
            <w:tcBorders>
              <w:top w:val="nil"/>
            </w:tcBorders>
          </w:tcPr>
          <w:p>
            <w:pPr>
              <w:pStyle w:val="25"/>
              <w:bidi w:val="0"/>
            </w:pPr>
          </w:p>
        </w:tc>
        <w:tc>
          <w:tcPr>
            <w:tcW w:w="3663" w:type="dxa"/>
            <w:vMerge w:val="continue"/>
            <w:tcBorders>
              <w:top w:val="nil"/>
            </w:tcBorders>
          </w:tcPr>
          <w:p>
            <w:pPr>
              <w:pStyle w:val="25"/>
              <w:bidi w:val="0"/>
            </w:pPr>
          </w:p>
        </w:tc>
        <w:tc>
          <w:tcPr>
            <w:tcW w:w="1514" w:type="dxa"/>
            <w:vMerge w:val="continue"/>
            <w:tcBorders>
              <w:top w:val="nil"/>
            </w:tcBorders>
          </w:tcPr>
          <w:p>
            <w:pPr>
              <w:pStyle w:val="25"/>
              <w:bidi w:val="0"/>
            </w:pPr>
          </w:p>
        </w:tc>
        <w:tc>
          <w:tcPr>
            <w:tcW w:w="823" w:type="dxa"/>
            <w:vMerge w:val="continue"/>
            <w:tcBorders>
              <w:top w:val="nil"/>
            </w:tcBorders>
          </w:tcPr>
          <w:p>
            <w:pPr>
              <w:pStyle w:val="25"/>
              <w:bidi w:val="0"/>
            </w:pPr>
          </w:p>
        </w:tc>
        <w:tc>
          <w:tcPr>
            <w:tcW w:w="722" w:type="dxa"/>
          </w:tcPr>
          <w:p>
            <w:pPr>
              <w:pStyle w:val="25"/>
              <w:bidi w:val="0"/>
              <w:rPr>
                <w:rFonts w:hint="eastAsia"/>
              </w:rPr>
            </w:pPr>
            <w:r>
              <w:rPr>
                <w:rFonts w:hint="eastAsia"/>
              </w:rPr>
              <w:t>部门名称</w:t>
            </w:r>
          </w:p>
        </w:tc>
        <w:tc>
          <w:tcPr>
            <w:tcW w:w="2460" w:type="dxa"/>
          </w:tcPr>
          <w:p>
            <w:pPr>
              <w:pStyle w:val="25"/>
              <w:bidi w:val="0"/>
              <w:rPr>
                <w:rFonts w:hint="eastAsia"/>
              </w:rPr>
            </w:pPr>
            <w:r>
              <w:rPr>
                <w:rFonts w:hint="eastAsia"/>
              </w:rPr>
              <w:t>责任事项</w:t>
            </w:r>
          </w:p>
        </w:tc>
        <w:tc>
          <w:tcPr>
            <w:tcW w:w="722" w:type="dxa"/>
          </w:tcPr>
          <w:p>
            <w:pPr>
              <w:pStyle w:val="25"/>
              <w:bidi w:val="0"/>
              <w:rPr>
                <w:rFonts w:hint="eastAsia"/>
              </w:rPr>
            </w:pPr>
            <w:r>
              <w:rPr>
                <w:rFonts w:hint="eastAsia"/>
              </w:rPr>
              <w:t>部门名称</w:t>
            </w:r>
          </w:p>
        </w:tc>
        <w:tc>
          <w:tcPr>
            <w:tcW w:w="868" w:type="dxa"/>
          </w:tcPr>
          <w:p>
            <w:pPr>
              <w:pStyle w:val="25"/>
              <w:bidi w:val="0"/>
              <w:rPr>
                <w:rFonts w:hint="eastAsia"/>
              </w:rPr>
            </w:pPr>
            <w:r>
              <w:rPr>
                <w:rFonts w:hint="eastAsia"/>
              </w:rPr>
              <w:t>责任事项</w:t>
            </w:r>
          </w:p>
        </w:tc>
        <w:tc>
          <w:tcPr>
            <w:tcW w:w="621" w:type="dxa"/>
          </w:tcPr>
          <w:p>
            <w:pPr>
              <w:pStyle w:val="25"/>
              <w:bidi w:val="0"/>
              <w:rPr>
                <w:rFonts w:hint="eastAsia"/>
              </w:rPr>
            </w:pPr>
            <w:r>
              <w:rPr>
                <w:rFonts w:hint="eastAsia"/>
              </w:rPr>
              <w:t>部门名称</w:t>
            </w:r>
          </w:p>
        </w:tc>
        <w:tc>
          <w:tcPr>
            <w:tcW w:w="957" w:type="dxa"/>
          </w:tcPr>
          <w:p>
            <w:pPr>
              <w:pStyle w:val="25"/>
              <w:bidi w:val="0"/>
              <w:rPr>
                <w:rFonts w:hint="eastAsia"/>
              </w:rPr>
            </w:pPr>
            <w:r>
              <w:rPr>
                <w:rFonts w:hint="eastAsia"/>
              </w:rPr>
              <w:t>监督事项</w:t>
            </w:r>
          </w:p>
        </w:tc>
        <w:tc>
          <w:tcPr>
            <w:tcW w:w="241" w:type="dxa"/>
            <w:vMerge w:val="continue"/>
            <w:tcBorders>
              <w:top w:val="nil"/>
            </w:tcBorders>
          </w:tcPr>
          <w:p>
            <w:pPr>
              <w:pStyle w:val="25"/>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2" w:hRule="atLeast"/>
        </w:trPr>
        <w:tc>
          <w:tcPr>
            <w:tcW w:w="363" w:type="dxa"/>
          </w:tcPr>
          <w:p>
            <w:pPr>
              <w:pStyle w:val="25"/>
              <w:bidi w:val="0"/>
              <w:rPr>
                <w:rFonts w:hint="eastAsia"/>
              </w:rPr>
            </w:pPr>
            <w:r>
              <w:rPr>
                <w:rFonts w:hint="eastAsia"/>
              </w:rPr>
              <w:t>水资源保护</w:t>
            </w:r>
          </w:p>
        </w:tc>
        <w:tc>
          <w:tcPr>
            <w:tcW w:w="742" w:type="dxa"/>
          </w:tcPr>
          <w:p>
            <w:pPr>
              <w:pStyle w:val="25"/>
              <w:bidi w:val="0"/>
              <w:rPr>
                <w:rFonts w:hint="default" w:eastAsia="方正仿宋_GBK"/>
                <w:lang w:val="en-US" w:eastAsia="zh-CN"/>
              </w:rPr>
            </w:pPr>
            <w:r>
              <w:rPr>
                <w:rFonts w:hint="eastAsia" w:ascii="方正仿宋_GBK" w:hAnsi="宋体" w:eastAsia="方正仿宋_GBK" w:cs="宋体"/>
                <w:color w:val="000000"/>
                <w:kern w:val="0"/>
                <w:szCs w:val="21"/>
              </w:rPr>
              <w:t>树人灌区</w:t>
            </w:r>
            <w:r>
              <w:rPr>
                <w:rFonts w:hint="eastAsia" w:ascii="方正仿宋_GBK" w:hAnsi="宋体" w:cs="宋体"/>
                <w:color w:val="000000"/>
                <w:kern w:val="0"/>
                <w:szCs w:val="21"/>
                <w:lang w:val="en-US" w:eastAsia="zh-CN"/>
              </w:rPr>
              <w:t>节水工程老旧</w:t>
            </w:r>
          </w:p>
        </w:tc>
        <w:tc>
          <w:tcPr>
            <w:tcW w:w="283" w:type="dxa"/>
          </w:tcPr>
          <w:p>
            <w:pPr>
              <w:pStyle w:val="25"/>
              <w:bidi w:val="0"/>
            </w:pPr>
            <w:r>
              <w:rPr>
                <w:rFonts w:hint="eastAsia" w:ascii="方正仿宋_GBK" w:hAnsi="宋体" w:eastAsia="方正仿宋_GBK" w:cs="宋体"/>
                <w:color w:val="000000"/>
                <w:kern w:val="0"/>
                <w:szCs w:val="21"/>
              </w:rPr>
              <w:t>树人镇</w:t>
            </w:r>
          </w:p>
        </w:tc>
        <w:tc>
          <w:tcPr>
            <w:tcW w:w="3663" w:type="dxa"/>
          </w:tcPr>
          <w:p>
            <w:pPr>
              <w:pStyle w:val="25"/>
              <w:bidi w:val="0"/>
            </w:pPr>
            <w:r>
              <w:rPr>
                <w:rFonts w:hint="eastAsia"/>
              </w:rPr>
              <w:t>开展树人灌区续建配套及节水改造工程建设</w:t>
            </w:r>
          </w:p>
        </w:tc>
        <w:tc>
          <w:tcPr>
            <w:tcW w:w="1514" w:type="dxa"/>
          </w:tcPr>
          <w:p>
            <w:pPr>
              <w:pStyle w:val="25"/>
              <w:bidi w:val="0"/>
            </w:pPr>
            <w:r>
              <w:rPr>
                <w:rFonts w:hint="default"/>
              </w:rPr>
              <w:t>《</w:t>
            </w:r>
            <w:r>
              <w:rPr>
                <w:rFonts w:hint="eastAsia"/>
                <w:lang w:eastAsia="zh-CN"/>
              </w:rPr>
              <w:t>丰都县赤溪河</w:t>
            </w:r>
            <w:r>
              <w:t>“一河一策方案</w:t>
            </w:r>
            <w:r>
              <w:rPr>
                <w:rFonts w:hint="default"/>
              </w:rPr>
              <w:t>》（</w:t>
            </w:r>
            <w:r>
              <w:t>201</w:t>
            </w:r>
            <w:r>
              <w:rPr>
                <w:rFonts w:hint="eastAsia"/>
                <w:lang w:val="en-US" w:eastAsia="zh-CN"/>
              </w:rPr>
              <w:t>8</w:t>
            </w:r>
            <w:r>
              <w:t>-2020</w:t>
            </w:r>
            <w:r>
              <w:rPr>
                <w:rFonts w:hint="default"/>
              </w:rPr>
              <w:t>年）</w:t>
            </w:r>
          </w:p>
        </w:tc>
        <w:tc>
          <w:tcPr>
            <w:tcW w:w="823" w:type="dxa"/>
          </w:tcPr>
          <w:p>
            <w:pPr>
              <w:pStyle w:val="25"/>
              <w:bidi w:val="0"/>
            </w:pPr>
            <w:r>
              <w:rPr>
                <w:rFonts w:hint="default"/>
              </w:rPr>
              <w:t>未计划，考虑由国家水利专项资金落实</w:t>
            </w:r>
          </w:p>
        </w:tc>
        <w:tc>
          <w:tcPr>
            <w:tcW w:w="722" w:type="dxa"/>
            <w:vAlign w:val="center"/>
          </w:tcPr>
          <w:p>
            <w:pPr>
              <w:pStyle w:val="25"/>
              <w:bidi w:val="0"/>
            </w:pPr>
            <w:r>
              <w:rPr>
                <w:rFonts w:hint="eastAsia"/>
              </w:rPr>
              <w:t>县水务局</w:t>
            </w:r>
          </w:p>
        </w:tc>
        <w:tc>
          <w:tcPr>
            <w:tcW w:w="2460" w:type="dxa"/>
            <w:vAlign w:val="center"/>
          </w:tcPr>
          <w:p>
            <w:pPr>
              <w:pStyle w:val="25"/>
              <w:bidi w:val="0"/>
            </w:pPr>
            <w:r>
              <w:rPr>
                <w:rFonts w:hint="eastAsia"/>
              </w:rPr>
              <w:t>完成灌区续建配套及节水改造工程建设</w:t>
            </w:r>
          </w:p>
        </w:tc>
        <w:tc>
          <w:tcPr>
            <w:tcW w:w="722" w:type="dxa"/>
            <w:vAlign w:val="center"/>
          </w:tcPr>
          <w:p>
            <w:pPr>
              <w:pStyle w:val="25"/>
              <w:bidi w:val="0"/>
            </w:pPr>
            <w:r>
              <w:rPr>
                <w:rFonts w:hint="eastAsia"/>
              </w:rPr>
              <w:t>树人镇政府</w:t>
            </w:r>
          </w:p>
        </w:tc>
        <w:tc>
          <w:tcPr>
            <w:tcW w:w="868" w:type="dxa"/>
            <w:vAlign w:val="center"/>
          </w:tcPr>
          <w:p>
            <w:pPr>
              <w:pStyle w:val="25"/>
              <w:bidi w:val="0"/>
            </w:pPr>
            <w:r>
              <w:rPr>
                <w:rFonts w:hint="eastAsia"/>
              </w:rPr>
              <w:t>配合灌区改造工程建设</w:t>
            </w:r>
          </w:p>
        </w:tc>
        <w:tc>
          <w:tcPr>
            <w:tcW w:w="621" w:type="dxa"/>
            <w:vAlign w:val="center"/>
          </w:tcPr>
          <w:p>
            <w:pPr>
              <w:pStyle w:val="25"/>
              <w:bidi w:val="0"/>
              <w:rPr>
                <w:rFonts w:hint="default"/>
                <w:lang w:val="zh-CN" w:eastAsia="zh-CN"/>
              </w:rPr>
            </w:pPr>
            <w:r>
              <w:rPr>
                <w:rFonts w:hint="default"/>
              </w:rPr>
              <w:t>区政府督查室、区河长办</w:t>
            </w:r>
          </w:p>
        </w:tc>
        <w:tc>
          <w:tcPr>
            <w:tcW w:w="957" w:type="dxa"/>
            <w:vAlign w:val="center"/>
          </w:tcPr>
          <w:p>
            <w:pPr>
              <w:pStyle w:val="25"/>
              <w:bidi w:val="0"/>
              <w:rPr>
                <w:rFonts w:hint="default"/>
                <w:lang w:val="zh-CN" w:eastAsia="zh-CN"/>
              </w:rPr>
            </w:pPr>
            <w:r>
              <w:rPr>
                <w:rFonts w:hint="default"/>
              </w:rPr>
              <w:t>负责</w:t>
            </w:r>
            <w:r>
              <w:t>该任务</w:t>
            </w:r>
            <w:r>
              <w:rPr>
                <w:rFonts w:hint="default"/>
              </w:rPr>
              <w:t>各阶段的督促工作，确保该</w:t>
            </w:r>
            <w:r>
              <w:t>任务</w:t>
            </w:r>
            <w:r>
              <w:rPr>
                <w:rFonts w:hint="default"/>
              </w:rPr>
              <w:t>按时保质保量完成</w:t>
            </w:r>
          </w:p>
        </w:tc>
        <w:tc>
          <w:tcPr>
            <w:tcW w:w="241" w:type="dxa"/>
          </w:tcPr>
          <w:p>
            <w:pPr>
              <w:pStyle w:val="25"/>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2" w:hRule="atLeast"/>
        </w:trPr>
        <w:tc>
          <w:tcPr>
            <w:tcW w:w="363" w:type="dxa"/>
          </w:tcPr>
          <w:p>
            <w:pPr>
              <w:pStyle w:val="25"/>
              <w:bidi w:val="0"/>
              <w:rPr>
                <w:rFonts w:hint="eastAsia"/>
              </w:rPr>
            </w:pPr>
            <w:r>
              <w:rPr>
                <w:rFonts w:hint="eastAsia"/>
              </w:rPr>
              <w:t>水域岸线管理保护</w:t>
            </w:r>
          </w:p>
        </w:tc>
        <w:tc>
          <w:tcPr>
            <w:tcW w:w="742" w:type="dxa"/>
            <w:vAlign w:val="center"/>
          </w:tcPr>
          <w:p>
            <w:pPr>
              <w:pStyle w:val="25"/>
              <w:bidi w:val="0"/>
            </w:pPr>
            <w:r>
              <w:rPr>
                <w:rFonts w:hint="eastAsia"/>
              </w:rPr>
              <w:t>水域岸线治理</w:t>
            </w:r>
          </w:p>
        </w:tc>
        <w:tc>
          <w:tcPr>
            <w:tcW w:w="283" w:type="dxa"/>
            <w:vAlign w:val="center"/>
          </w:tcPr>
          <w:p>
            <w:pPr>
              <w:pStyle w:val="25"/>
              <w:bidi w:val="0"/>
            </w:pPr>
            <w:r>
              <w:rPr>
                <w:rFonts w:hint="default"/>
              </w:rPr>
              <w:t>全流域</w:t>
            </w:r>
          </w:p>
        </w:tc>
        <w:tc>
          <w:tcPr>
            <w:tcW w:w="3663" w:type="dxa"/>
            <w:vAlign w:val="center"/>
          </w:tcPr>
          <w:p>
            <w:pPr>
              <w:pStyle w:val="25"/>
              <w:bidi w:val="0"/>
            </w:pPr>
            <w:r>
              <w:rPr>
                <w:rFonts w:hint="eastAsia"/>
              </w:rPr>
              <w:t>清退河滩地种植</w:t>
            </w:r>
          </w:p>
        </w:tc>
        <w:tc>
          <w:tcPr>
            <w:tcW w:w="1514" w:type="dxa"/>
            <w:vAlign w:val="center"/>
          </w:tcPr>
          <w:p>
            <w:pPr>
              <w:pStyle w:val="25"/>
              <w:bidi w:val="0"/>
            </w:pPr>
            <w:r>
              <w:rPr>
                <w:rFonts w:hint="default"/>
              </w:rPr>
              <w:t>《</w:t>
            </w:r>
            <w:r>
              <w:rPr>
                <w:rFonts w:hint="eastAsia"/>
                <w:lang w:eastAsia="zh-CN"/>
              </w:rPr>
              <w:t>丰都县赤溪河</w:t>
            </w:r>
            <w:r>
              <w:t>“一河一策方案</w:t>
            </w:r>
            <w:r>
              <w:rPr>
                <w:rFonts w:hint="default"/>
              </w:rPr>
              <w:t>》（</w:t>
            </w:r>
            <w:r>
              <w:t>201</w:t>
            </w:r>
            <w:r>
              <w:rPr>
                <w:rFonts w:hint="eastAsia"/>
                <w:lang w:val="en-US" w:eastAsia="zh-CN"/>
              </w:rPr>
              <w:t>8</w:t>
            </w:r>
            <w:r>
              <w:t>-2020</w:t>
            </w:r>
            <w:r>
              <w:rPr>
                <w:rFonts w:hint="default"/>
              </w:rPr>
              <w:t>年）</w:t>
            </w:r>
          </w:p>
        </w:tc>
        <w:tc>
          <w:tcPr>
            <w:tcW w:w="823" w:type="dxa"/>
            <w:vAlign w:val="center"/>
          </w:tcPr>
          <w:p>
            <w:pPr>
              <w:pStyle w:val="25"/>
              <w:bidi w:val="0"/>
            </w:pPr>
            <w:r>
              <w:rPr>
                <w:rFonts w:hint="default"/>
              </w:rPr>
              <w:t>未计划，考虑由国家水利专项资金落实</w:t>
            </w:r>
          </w:p>
        </w:tc>
        <w:tc>
          <w:tcPr>
            <w:tcW w:w="722" w:type="dxa"/>
            <w:vAlign w:val="center"/>
          </w:tcPr>
          <w:p>
            <w:pPr>
              <w:pStyle w:val="25"/>
              <w:bidi w:val="0"/>
            </w:pPr>
            <w:r>
              <w:rPr>
                <w:rFonts w:hint="eastAsia"/>
                <w:lang w:eastAsia="zh-CN"/>
              </w:rPr>
              <w:t>县</w:t>
            </w:r>
            <w:r>
              <w:rPr>
                <w:rFonts w:hint="default"/>
              </w:rPr>
              <w:t>水利局</w:t>
            </w:r>
          </w:p>
        </w:tc>
        <w:tc>
          <w:tcPr>
            <w:tcW w:w="2460" w:type="dxa"/>
            <w:vAlign w:val="center"/>
          </w:tcPr>
          <w:p>
            <w:pPr>
              <w:pStyle w:val="25"/>
              <w:bidi w:val="0"/>
            </w:pPr>
            <w:r>
              <w:rPr>
                <w:rFonts w:hint="eastAsia"/>
              </w:rPr>
              <w:t>清退河滩地种植</w:t>
            </w:r>
          </w:p>
        </w:tc>
        <w:tc>
          <w:tcPr>
            <w:tcW w:w="722" w:type="dxa"/>
            <w:vAlign w:val="center"/>
          </w:tcPr>
          <w:p>
            <w:pPr>
              <w:pStyle w:val="25"/>
              <w:bidi w:val="0"/>
            </w:pPr>
            <w:r>
              <w:rPr>
                <w:rFonts w:hint="eastAsia"/>
              </w:rPr>
              <w:t>县规划局</w:t>
            </w:r>
          </w:p>
        </w:tc>
        <w:tc>
          <w:tcPr>
            <w:tcW w:w="868" w:type="dxa"/>
            <w:vAlign w:val="center"/>
          </w:tcPr>
          <w:p>
            <w:pPr>
              <w:pStyle w:val="25"/>
              <w:bidi w:val="0"/>
            </w:pPr>
            <w:r>
              <w:rPr>
                <w:rFonts w:hint="eastAsia"/>
              </w:rPr>
              <w:t>配合水务局开展工作</w:t>
            </w:r>
          </w:p>
        </w:tc>
        <w:tc>
          <w:tcPr>
            <w:tcW w:w="621" w:type="dxa"/>
            <w:vAlign w:val="center"/>
          </w:tcPr>
          <w:p>
            <w:pPr>
              <w:pStyle w:val="25"/>
              <w:bidi w:val="0"/>
            </w:pPr>
            <w:r>
              <w:rPr>
                <w:rFonts w:hint="eastAsia"/>
              </w:rPr>
              <w:t>县监察局</w:t>
            </w:r>
          </w:p>
        </w:tc>
        <w:tc>
          <w:tcPr>
            <w:tcW w:w="957" w:type="dxa"/>
            <w:vAlign w:val="center"/>
          </w:tcPr>
          <w:p>
            <w:pPr>
              <w:pStyle w:val="25"/>
              <w:bidi w:val="0"/>
            </w:pPr>
            <w:r>
              <w:rPr>
                <w:rFonts w:hint="eastAsia"/>
              </w:rPr>
              <w:t>监督岸线保护及清退完成情况</w:t>
            </w:r>
          </w:p>
        </w:tc>
        <w:tc>
          <w:tcPr>
            <w:tcW w:w="241" w:type="dxa"/>
            <w:vAlign w:val="center"/>
          </w:tcPr>
          <w:p>
            <w:pPr>
              <w:pStyle w:val="25"/>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1" w:hRule="atLeast"/>
        </w:trPr>
        <w:tc>
          <w:tcPr>
            <w:tcW w:w="363" w:type="dxa"/>
          </w:tcPr>
          <w:p>
            <w:pPr>
              <w:pStyle w:val="25"/>
              <w:bidi w:val="0"/>
              <w:rPr>
                <w:rFonts w:hint="eastAsia"/>
              </w:rPr>
            </w:pPr>
            <w:r>
              <w:rPr>
                <w:rFonts w:hint="eastAsia"/>
              </w:rPr>
              <w:t>水污染</w:t>
            </w:r>
          </w:p>
        </w:tc>
        <w:tc>
          <w:tcPr>
            <w:tcW w:w="742" w:type="dxa"/>
            <w:vAlign w:val="center"/>
          </w:tcPr>
          <w:p>
            <w:pPr>
              <w:pStyle w:val="25"/>
              <w:bidi w:val="0"/>
              <w:rPr>
                <w:rFonts w:hint="default"/>
                <w:lang w:val="zh-CN" w:eastAsia="zh-CN"/>
              </w:rPr>
            </w:pPr>
            <w:r>
              <w:rPr>
                <w:rFonts w:hint="default"/>
              </w:rPr>
              <w:t>流域农业面源污染严重</w:t>
            </w:r>
          </w:p>
        </w:tc>
        <w:tc>
          <w:tcPr>
            <w:tcW w:w="283" w:type="dxa"/>
            <w:vAlign w:val="center"/>
          </w:tcPr>
          <w:p>
            <w:pPr>
              <w:pStyle w:val="25"/>
              <w:bidi w:val="0"/>
              <w:rPr>
                <w:rFonts w:hint="default"/>
                <w:lang w:val="zh-CN" w:eastAsia="zh-CN"/>
              </w:rPr>
            </w:pPr>
            <w:r>
              <w:rPr>
                <w:rFonts w:hint="default"/>
              </w:rPr>
              <w:t>全流域</w:t>
            </w:r>
          </w:p>
        </w:tc>
        <w:tc>
          <w:tcPr>
            <w:tcW w:w="3663" w:type="dxa"/>
            <w:vAlign w:val="center"/>
          </w:tcPr>
          <w:p>
            <w:pPr>
              <w:pStyle w:val="25"/>
              <w:bidi w:val="0"/>
              <w:rPr>
                <w:rFonts w:hint="default"/>
                <w:lang w:val="zh-CN" w:eastAsia="zh-CN"/>
              </w:rPr>
            </w:pPr>
            <w:r>
              <w:rPr>
                <w:rFonts w:hint="eastAsia"/>
              </w:rPr>
              <w:t>开展农业面源污染治理工作，严控农药、化肥施用</w:t>
            </w:r>
          </w:p>
        </w:tc>
        <w:tc>
          <w:tcPr>
            <w:tcW w:w="1514" w:type="dxa"/>
            <w:vAlign w:val="center"/>
          </w:tcPr>
          <w:p>
            <w:pPr>
              <w:pStyle w:val="25"/>
              <w:bidi w:val="0"/>
              <w:rPr>
                <w:rFonts w:hint="default"/>
                <w:lang w:val="zh-CN" w:eastAsia="zh-CN"/>
              </w:rPr>
            </w:pPr>
            <w:r>
              <w:rPr>
                <w:rFonts w:hint="default"/>
              </w:rPr>
              <w:t>《</w:t>
            </w:r>
            <w:r>
              <w:rPr>
                <w:rFonts w:hint="eastAsia"/>
                <w:lang w:eastAsia="zh-CN"/>
              </w:rPr>
              <w:t>丰都县赤溪河</w:t>
            </w:r>
            <w:r>
              <w:t>“一河一策方案</w:t>
            </w:r>
            <w:r>
              <w:rPr>
                <w:rFonts w:hint="default"/>
              </w:rPr>
              <w:t>》（</w:t>
            </w:r>
            <w:r>
              <w:t>201</w:t>
            </w:r>
            <w:r>
              <w:rPr>
                <w:rFonts w:hint="eastAsia"/>
                <w:lang w:val="en-US" w:eastAsia="zh-CN"/>
              </w:rPr>
              <w:t>8</w:t>
            </w:r>
            <w:r>
              <w:t>-2020</w:t>
            </w:r>
            <w:r>
              <w:rPr>
                <w:rFonts w:hint="default"/>
              </w:rPr>
              <w:t>年）</w:t>
            </w:r>
          </w:p>
        </w:tc>
        <w:tc>
          <w:tcPr>
            <w:tcW w:w="823" w:type="dxa"/>
            <w:vAlign w:val="center"/>
          </w:tcPr>
          <w:p>
            <w:pPr>
              <w:pStyle w:val="25"/>
              <w:bidi w:val="0"/>
              <w:rPr>
                <w:rFonts w:hint="default"/>
                <w:lang w:val="zh-CN" w:eastAsia="zh-CN"/>
              </w:rPr>
            </w:pPr>
            <w:r>
              <w:rPr>
                <w:rFonts w:hint="default"/>
              </w:rPr>
              <w:t>未计划，考虑由国家环保专项资金落实</w:t>
            </w:r>
          </w:p>
        </w:tc>
        <w:tc>
          <w:tcPr>
            <w:tcW w:w="722" w:type="dxa"/>
            <w:vAlign w:val="center"/>
          </w:tcPr>
          <w:p>
            <w:pPr>
              <w:pStyle w:val="25"/>
              <w:bidi w:val="0"/>
              <w:rPr>
                <w:rFonts w:hint="default"/>
                <w:lang w:val="zh-CN" w:eastAsia="zh-CN"/>
              </w:rPr>
            </w:pPr>
            <w:r>
              <w:rPr>
                <w:rFonts w:hint="eastAsia"/>
              </w:rPr>
              <w:t>县农委</w:t>
            </w:r>
          </w:p>
        </w:tc>
        <w:tc>
          <w:tcPr>
            <w:tcW w:w="2460" w:type="dxa"/>
            <w:vAlign w:val="center"/>
          </w:tcPr>
          <w:p>
            <w:pPr>
              <w:pStyle w:val="25"/>
              <w:bidi w:val="0"/>
              <w:rPr>
                <w:rFonts w:hint="default"/>
                <w:lang w:val="zh-CN" w:eastAsia="zh-CN"/>
              </w:rPr>
            </w:pPr>
            <w:r>
              <w:rPr>
                <w:rFonts w:hint="eastAsia"/>
              </w:rPr>
              <w:t>开展农业面源污染治理工作，严控农药、化肥施用</w:t>
            </w:r>
          </w:p>
        </w:tc>
        <w:tc>
          <w:tcPr>
            <w:tcW w:w="722" w:type="dxa"/>
            <w:vAlign w:val="center"/>
          </w:tcPr>
          <w:p>
            <w:pPr>
              <w:pStyle w:val="25"/>
              <w:bidi w:val="0"/>
              <w:rPr>
                <w:rFonts w:hint="default"/>
                <w:lang w:val="zh-CN" w:eastAsia="zh-CN"/>
              </w:rPr>
            </w:pPr>
            <w:r>
              <w:rPr>
                <w:rFonts w:hint="eastAsia"/>
              </w:rPr>
              <w:t>县环保局</w:t>
            </w:r>
          </w:p>
        </w:tc>
        <w:tc>
          <w:tcPr>
            <w:tcW w:w="868" w:type="dxa"/>
            <w:vAlign w:val="center"/>
          </w:tcPr>
          <w:p>
            <w:pPr>
              <w:pStyle w:val="25"/>
              <w:bidi w:val="0"/>
              <w:rPr>
                <w:rFonts w:hint="default"/>
                <w:lang w:val="zh-CN" w:eastAsia="zh-CN"/>
              </w:rPr>
            </w:pPr>
            <w:r>
              <w:rPr>
                <w:rFonts w:hint="eastAsia"/>
              </w:rPr>
              <w:t>配合进行农业面源污染治理</w:t>
            </w:r>
          </w:p>
        </w:tc>
        <w:tc>
          <w:tcPr>
            <w:tcW w:w="621" w:type="dxa"/>
            <w:vAlign w:val="center"/>
          </w:tcPr>
          <w:p>
            <w:pPr>
              <w:pStyle w:val="25"/>
              <w:bidi w:val="0"/>
              <w:rPr>
                <w:rFonts w:hint="default"/>
                <w:lang w:val="zh-CN" w:eastAsia="zh-CN"/>
              </w:rPr>
            </w:pPr>
            <w:r>
              <w:rPr>
                <w:rFonts w:hint="eastAsia"/>
              </w:rPr>
              <w:t>县监察局</w:t>
            </w:r>
          </w:p>
        </w:tc>
        <w:tc>
          <w:tcPr>
            <w:tcW w:w="957" w:type="dxa"/>
            <w:vAlign w:val="center"/>
          </w:tcPr>
          <w:p>
            <w:pPr>
              <w:pStyle w:val="25"/>
              <w:bidi w:val="0"/>
              <w:rPr>
                <w:rFonts w:hint="default"/>
                <w:lang w:val="zh-CN" w:eastAsia="zh-CN"/>
              </w:rPr>
            </w:pPr>
            <w:r>
              <w:rPr>
                <w:rFonts w:hint="eastAsia"/>
              </w:rPr>
              <w:t>监督农业面源污染治理工作落实情况</w:t>
            </w:r>
          </w:p>
        </w:tc>
        <w:tc>
          <w:tcPr>
            <w:tcW w:w="241" w:type="dxa"/>
            <w:vAlign w:val="center"/>
          </w:tcPr>
          <w:p>
            <w:pPr>
              <w:pStyle w:val="25"/>
              <w:bidi w:val="0"/>
              <w:rPr>
                <w:rFonts w:hint="default"/>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2" w:hRule="atLeast"/>
        </w:trPr>
        <w:tc>
          <w:tcPr>
            <w:tcW w:w="363" w:type="dxa"/>
          </w:tcPr>
          <w:p>
            <w:pPr>
              <w:pStyle w:val="25"/>
              <w:bidi w:val="0"/>
              <w:rPr>
                <w:rFonts w:hint="eastAsia"/>
              </w:rPr>
            </w:pPr>
            <w:r>
              <w:rPr>
                <w:rFonts w:hint="eastAsia"/>
              </w:rPr>
              <w:t>水环境</w:t>
            </w:r>
          </w:p>
        </w:tc>
        <w:tc>
          <w:tcPr>
            <w:tcW w:w="742" w:type="dxa"/>
            <w:vAlign w:val="center"/>
          </w:tcPr>
          <w:p>
            <w:pPr>
              <w:pStyle w:val="25"/>
              <w:bidi w:val="0"/>
            </w:pPr>
            <w:r>
              <w:t>河道、</w:t>
            </w:r>
            <w:r>
              <w:rPr>
                <w:rFonts w:hint="default"/>
              </w:rPr>
              <w:t>岸线垃圾</w:t>
            </w:r>
            <w:r>
              <w:t>堆放</w:t>
            </w:r>
          </w:p>
        </w:tc>
        <w:tc>
          <w:tcPr>
            <w:tcW w:w="283" w:type="dxa"/>
            <w:vAlign w:val="center"/>
          </w:tcPr>
          <w:p>
            <w:pPr>
              <w:pStyle w:val="25"/>
              <w:bidi w:val="0"/>
            </w:pPr>
            <w:r>
              <w:rPr>
                <w:rFonts w:hint="default"/>
              </w:rPr>
              <w:t>全河道</w:t>
            </w:r>
          </w:p>
        </w:tc>
        <w:tc>
          <w:tcPr>
            <w:tcW w:w="3663" w:type="dxa"/>
            <w:vAlign w:val="center"/>
          </w:tcPr>
          <w:p>
            <w:pPr>
              <w:pStyle w:val="25"/>
              <w:bidi w:val="0"/>
            </w:pPr>
            <w:r>
              <w:rPr>
                <w:rFonts w:hint="default"/>
              </w:rPr>
              <w:t>定期进行河道清漂，主要清理河道内的水白菜、农膜、垂钓垃圾、散落的生活垃圾及枯枝落叶凋零物等漂浮物</w:t>
            </w:r>
          </w:p>
        </w:tc>
        <w:tc>
          <w:tcPr>
            <w:tcW w:w="1514" w:type="dxa"/>
            <w:vAlign w:val="center"/>
          </w:tcPr>
          <w:p>
            <w:pPr>
              <w:pStyle w:val="25"/>
              <w:bidi w:val="0"/>
            </w:pPr>
            <w:r>
              <w:rPr>
                <w:rFonts w:hint="default"/>
              </w:rPr>
              <w:t>《</w:t>
            </w:r>
            <w:r>
              <w:rPr>
                <w:rFonts w:hint="eastAsia"/>
                <w:lang w:eastAsia="zh-CN"/>
              </w:rPr>
              <w:t>丰都县</w:t>
            </w:r>
            <w:r>
              <w:rPr>
                <w:rFonts w:hint="default"/>
              </w:rPr>
              <w:t>“十四五”水生态环境保护规划》（2021年）</w:t>
            </w:r>
          </w:p>
        </w:tc>
        <w:tc>
          <w:tcPr>
            <w:tcW w:w="823" w:type="dxa"/>
            <w:vAlign w:val="center"/>
          </w:tcPr>
          <w:p>
            <w:pPr>
              <w:pStyle w:val="25"/>
              <w:bidi w:val="0"/>
            </w:pPr>
            <w:r>
              <w:rPr>
                <w:rFonts w:hint="default"/>
              </w:rPr>
              <w:t>未计划，考虑由国家环保专项资金落实</w:t>
            </w:r>
          </w:p>
        </w:tc>
        <w:tc>
          <w:tcPr>
            <w:tcW w:w="722" w:type="dxa"/>
            <w:vAlign w:val="center"/>
          </w:tcPr>
          <w:p>
            <w:pPr>
              <w:pStyle w:val="25"/>
              <w:bidi w:val="0"/>
            </w:pPr>
            <w:r>
              <w:rPr>
                <w:rFonts w:hint="eastAsia"/>
                <w:lang w:val="en-US" w:eastAsia="zh-CN"/>
              </w:rPr>
              <w:t>保合镇、十直镇、树人镇、名山街道</w:t>
            </w:r>
          </w:p>
        </w:tc>
        <w:tc>
          <w:tcPr>
            <w:tcW w:w="2460" w:type="dxa"/>
            <w:vAlign w:val="center"/>
          </w:tcPr>
          <w:p>
            <w:pPr>
              <w:pStyle w:val="25"/>
              <w:bidi w:val="0"/>
              <w:rPr>
                <w:rFonts w:hint="default"/>
              </w:rPr>
            </w:pPr>
            <w:r>
              <w:rPr>
                <w:rFonts w:hint="default"/>
              </w:rPr>
              <w:t>负责定期进行河道清漂</w:t>
            </w:r>
          </w:p>
        </w:tc>
        <w:tc>
          <w:tcPr>
            <w:tcW w:w="722" w:type="dxa"/>
            <w:vAlign w:val="center"/>
          </w:tcPr>
          <w:p>
            <w:pPr>
              <w:pStyle w:val="25"/>
              <w:bidi w:val="0"/>
            </w:pPr>
            <w:r>
              <w:rPr>
                <w:rFonts w:hint="eastAsia"/>
                <w:lang w:eastAsia="zh-CN"/>
              </w:rPr>
              <w:t>县</w:t>
            </w:r>
            <w:r>
              <w:rPr>
                <w:rFonts w:hint="default"/>
              </w:rPr>
              <w:t>城管局</w:t>
            </w:r>
          </w:p>
        </w:tc>
        <w:tc>
          <w:tcPr>
            <w:tcW w:w="868" w:type="dxa"/>
            <w:vAlign w:val="center"/>
          </w:tcPr>
          <w:p>
            <w:pPr>
              <w:pStyle w:val="25"/>
              <w:bidi w:val="0"/>
            </w:pPr>
            <w:r>
              <w:rPr>
                <w:rFonts w:hint="default"/>
              </w:rPr>
              <w:t xml:space="preserve">协助清漂垃圾的转运                                                                                                                                                                                                                                                                                                                                                                                                                                                                                                                                                                                                                                                                                                                                                                                                                                                                                                                                                                                                                                                                                                                                                                                                                                                                                                                                                                                                                                                                                                                                                                                                                                                                                                                                                                                                                                                                                                                                                                                                                                                                                                                                                                                                                                                                                                                                                                                                                                                                                                                                                                                                                                                                                                                                                                                                                                                                                                                                                                                                                                                                                                                                                                                                                                                                                                                                                                                                                                                                                                                                                                                                                                                                                                                                                                                                                                                                                                                                                                                                                                                                                                                                                                                                </w:t>
            </w:r>
          </w:p>
        </w:tc>
        <w:tc>
          <w:tcPr>
            <w:tcW w:w="621" w:type="dxa"/>
            <w:vAlign w:val="center"/>
          </w:tcPr>
          <w:p>
            <w:pPr>
              <w:pStyle w:val="25"/>
              <w:bidi w:val="0"/>
            </w:pPr>
            <w:r>
              <w:rPr>
                <w:rFonts w:hint="eastAsia"/>
                <w:lang w:eastAsia="zh-CN"/>
              </w:rPr>
              <w:t>县</w:t>
            </w:r>
            <w:r>
              <w:rPr>
                <w:rFonts w:hint="default"/>
              </w:rPr>
              <w:t>河长办</w:t>
            </w:r>
          </w:p>
        </w:tc>
        <w:tc>
          <w:tcPr>
            <w:tcW w:w="957" w:type="dxa"/>
            <w:vAlign w:val="center"/>
          </w:tcPr>
          <w:p>
            <w:pPr>
              <w:pStyle w:val="25"/>
              <w:bidi w:val="0"/>
              <w:rPr>
                <w:rFonts w:hint="default"/>
                <w:lang w:val="zh-CN" w:eastAsia="zh-CN"/>
              </w:rPr>
            </w:pPr>
            <w:r>
              <w:rPr>
                <w:rFonts w:hint="default"/>
              </w:rPr>
              <w:t>定期进行任务完成率的考核</w:t>
            </w:r>
          </w:p>
        </w:tc>
        <w:tc>
          <w:tcPr>
            <w:tcW w:w="241" w:type="dxa"/>
          </w:tcPr>
          <w:p>
            <w:pPr>
              <w:pStyle w:val="25"/>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1" w:hRule="atLeast"/>
        </w:trPr>
        <w:tc>
          <w:tcPr>
            <w:tcW w:w="363" w:type="dxa"/>
          </w:tcPr>
          <w:p>
            <w:pPr>
              <w:pStyle w:val="25"/>
              <w:bidi w:val="0"/>
              <w:rPr>
                <w:rFonts w:hint="eastAsia"/>
              </w:rPr>
            </w:pPr>
            <w:r>
              <w:rPr>
                <w:rFonts w:hint="eastAsia"/>
              </w:rPr>
              <w:t>水生态</w:t>
            </w:r>
          </w:p>
        </w:tc>
        <w:tc>
          <w:tcPr>
            <w:tcW w:w="742" w:type="dxa"/>
            <w:vAlign w:val="center"/>
          </w:tcPr>
          <w:p>
            <w:pPr>
              <w:pStyle w:val="25"/>
              <w:bidi w:val="0"/>
              <w:rPr>
                <w:rFonts w:hint="default"/>
                <w:lang w:val="zh-CN" w:eastAsia="zh-CN"/>
              </w:rPr>
            </w:pPr>
            <w:r>
              <w:rPr>
                <w:rFonts w:hint="default"/>
              </w:rPr>
              <w:t>岸线生物多样性较差</w:t>
            </w:r>
          </w:p>
        </w:tc>
        <w:tc>
          <w:tcPr>
            <w:tcW w:w="283" w:type="dxa"/>
            <w:vAlign w:val="center"/>
          </w:tcPr>
          <w:p>
            <w:pPr>
              <w:pStyle w:val="25"/>
              <w:bidi w:val="0"/>
              <w:rPr>
                <w:rFonts w:hint="default"/>
                <w:lang w:val="zh-CN" w:eastAsia="zh-CN"/>
              </w:rPr>
            </w:pPr>
            <w:r>
              <w:rPr>
                <w:rFonts w:hint="default"/>
              </w:rPr>
              <w:t>全流域</w:t>
            </w:r>
          </w:p>
        </w:tc>
        <w:tc>
          <w:tcPr>
            <w:tcW w:w="3663" w:type="dxa"/>
            <w:vAlign w:val="center"/>
          </w:tcPr>
          <w:p>
            <w:pPr>
              <w:pStyle w:val="25"/>
              <w:bidi w:val="0"/>
              <w:rPr>
                <w:rFonts w:hint="default"/>
                <w:lang w:val="zh-CN" w:eastAsia="zh-CN"/>
              </w:rPr>
            </w:pPr>
            <w:r>
              <w:t>明晰水生态功能定位和空间分区，根据</w:t>
            </w:r>
            <w:r>
              <w:rPr>
                <w:rFonts w:hint="eastAsia"/>
                <w:lang w:eastAsia="zh-CN"/>
              </w:rPr>
              <w:t>赤溪河</w:t>
            </w:r>
            <w:r>
              <w:t>的管理和保护范围，切实维护水生态空间。实施山、水、林、田综合治理坚持水量、水质和水生态统一规划。倡导仿自然、低影响水工程建设。河道工程布局应维护河流天然形态，保持河流蜿蜒性，维护河湾、急流、浅滩等多样性栖息生境。构建生态水网体系。以水生态文明城市建设为引导，构建人水和谐的水生态保护格局推进水生态文明城镇试点</w:t>
            </w:r>
          </w:p>
        </w:tc>
        <w:tc>
          <w:tcPr>
            <w:tcW w:w="1514" w:type="dxa"/>
            <w:vAlign w:val="center"/>
          </w:tcPr>
          <w:p>
            <w:pPr>
              <w:pStyle w:val="25"/>
              <w:bidi w:val="0"/>
              <w:rPr>
                <w:rFonts w:hint="default"/>
                <w:lang w:val="zh-CN" w:eastAsia="zh-CN"/>
              </w:rPr>
            </w:pPr>
            <w:r>
              <w:rPr>
                <w:rFonts w:hint="default"/>
              </w:rPr>
              <w:t>《</w:t>
            </w:r>
            <w:r>
              <w:rPr>
                <w:rFonts w:hint="eastAsia"/>
                <w:lang w:eastAsia="zh-CN"/>
              </w:rPr>
              <w:t>丰都县</w:t>
            </w:r>
            <w:r>
              <w:rPr>
                <w:rFonts w:hint="default"/>
              </w:rPr>
              <w:t>“十四五”水生态环境保护规划》（2021年）</w:t>
            </w:r>
          </w:p>
        </w:tc>
        <w:tc>
          <w:tcPr>
            <w:tcW w:w="823" w:type="dxa"/>
            <w:vAlign w:val="center"/>
          </w:tcPr>
          <w:p>
            <w:pPr>
              <w:pStyle w:val="25"/>
              <w:bidi w:val="0"/>
              <w:rPr>
                <w:rFonts w:hint="default"/>
                <w:lang w:val="zh-CN" w:eastAsia="zh-CN"/>
              </w:rPr>
            </w:pPr>
            <w:r>
              <w:rPr>
                <w:rFonts w:hint="default"/>
              </w:rPr>
              <w:t>未计划，考虑由国家</w:t>
            </w:r>
            <w:r>
              <w:rPr>
                <w:rFonts w:hint="eastAsia"/>
                <w:lang w:val="en-US" w:eastAsia="zh-CN"/>
              </w:rPr>
              <w:t>水利</w:t>
            </w:r>
            <w:r>
              <w:rPr>
                <w:rFonts w:hint="default"/>
              </w:rPr>
              <w:t>专项资金落实</w:t>
            </w:r>
          </w:p>
        </w:tc>
        <w:tc>
          <w:tcPr>
            <w:tcW w:w="722" w:type="dxa"/>
            <w:vAlign w:val="center"/>
          </w:tcPr>
          <w:p>
            <w:pPr>
              <w:pStyle w:val="25"/>
              <w:bidi w:val="0"/>
              <w:rPr>
                <w:rFonts w:hint="default"/>
                <w:lang w:val="zh-CN" w:eastAsia="zh-CN"/>
              </w:rPr>
            </w:pPr>
            <w:r>
              <w:rPr>
                <w:rFonts w:hint="default"/>
              </w:rPr>
              <w:t>区水利局</w:t>
            </w:r>
          </w:p>
        </w:tc>
        <w:tc>
          <w:tcPr>
            <w:tcW w:w="2460" w:type="dxa"/>
            <w:vAlign w:val="center"/>
          </w:tcPr>
          <w:p>
            <w:pPr>
              <w:pStyle w:val="25"/>
              <w:bidi w:val="0"/>
              <w:rPr>
                <w:rFonts w:hint="default"/>
                <w:lang w:val="zh-CN" w:eastAsia="zh-CN"/>
              </w:rPr>
            </w:pPr>
            <w:r>
              <w:rPr>
                <w:rFonts w:hint="default"/>
              </w:rPr>
              <w:t>明确空间保护，做好统一规划，倡导生态文明建设，维护河流生态安全</w:t>
            </w:r>
          </w:p>
        </w:tc>
        <w:tc>
          <w:tcPr>
            <w:tcW w:w="722" w:type="dxa"/>
            <w:vAlign w:val="center"/>
          </w:tcPr>
          <w:p>
            <w:pPr>
              <w:pStyle w:val="25"/>
              <w:bidi w:val="0"/>
              <w:rPr>
                <w:rFonts w:hint="default"/>
                <w:lang w:val="zh-CN" w:eastAsia="zh-CN"/>
              </w:rPr>
            </w:pPr>
            <w:r>
              <w:rPr>
                <w:rFonts w:hint="default"/>
              </w:rPr>
              <w:t>区生态环境局、区林业局；区财政局</w:t>
            </w:r>
          </w:p>
        </w:tc>
        <w:tc>
          <w:tcPr>
            <w:tcW w:w="868" w:type="dxa"/>
            <w:vAlign w:val="center"/>
          </w:tcPr>
          <w:p>
            <w:pPr>
              <w:pStyle w:val="25"/>
              <w:bidi w:val="0"/>
              <w:rPr>
                <w:rFonts w:hint="default"/>
                <w:lang w:val="zh-CN" w:eastAsia="zh-CN"/>
              </w:rPr>
            </w:pPr>
            <w:r>
              <w:rPr>
                <w:rFonts w:hint="default"/>
              </w:rPr>
              <w:t>配合责任部门完成</w:t>
            </w:r>
            <w:r>
              <w:t>相关任务的实施</w:t>
            </w:r>
            <w:r>
              <w:rPr>
                <w:rFonts w:hint="default"/>
              </w:rPr>
              <w:t>；配合协调资金</w:t>
            </w:r>
          </w:p>
        </w:tc>
        <w:tc>
          <w:tcPr>
            <w:tcW w:w="621" w:type="dxa"/>
            <w:vAlign w:val="center"/>
          </w:tcPr>
          <w:p>
            <w:pPr>
              <w:pStyle w:val="25"/>
              <w:bidi w:val="0"/>
              <w:rPr>
                <w:rFonts w:hint="default"/>
                <w:lang w:val="zh-CN" w:eastAsia="zh-CN"/>
              </w:rPr>
            </w:pPr>
            <w:r>
              <w:rPr>
                <w:rFonts w:hint="default"/>
              </w:rPr>
              <w:t>区政府督查室、区河长办</w:t>
            </w:r>
          </w:p>
        </w:tc>
        <w:tc>
          <w:tcPr>
            <w:tcW w:w="957" w:type="dxa"/>
            <w:vAlign w:val="center"/>
          </w:tcPr>
          <w:p>
            <w:pPr>
              <w:pStyle w:val="25"/>
              <w:bidi w:val="0"/>
              <w:rPr>
                <w:rFonts w:hint="default"/>
                <w:lang w:val="zh-CN" w:eastAsia="zh-CN"/>
              </w:rPr>
            </w:pPr>
            <w:r>
              <w:rPr>
                <w:rFonts w:hint="default"/>
              </w:rPr>
              <w:t>负责</w:t>
            </w:r>
            <w:r>
              <w:t>该任务</w:t>
            </w:r>
            <w:r>
              <w:rPr>
                <w:rFonts w:hint="default"/>
              </w:rPr>
              <w:t>各阶段的督促工作，确保该</w:t>
            </w:r>
            <w:r>
              <w:t>任务</w:t>
            </w:r>
            <w:r>
              <w:rPr>
                <w:rFonts w:hint="default"/>
              </w:rPr>
              <w:t>按时保质保量完成</w:t>
            </w:r>
          </w:p>
        </w:tc>
        <w:tc>
          <w:tcPr>
            <w:tcW w:w="241" w:type="dxa"/>
          </w:tcPr>
          <w:p>
            <w:pPr>
              <w:pStyle w:val="25"/>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2" w:hRule="atLeast"/>
        </w:trPr>
        <w:tc>
          <w:tcPr>
            <w:tcW w:w="363" w:type="dxa"/>
          </w:tcPr>
          <w:p>
            <w:pPr>
              <w:pStyle w:val="25"/>
              <w:bidi w:val="0"/>
              <w:rPr>
                <w:rFonts w:hint="eastAsia"/>
              </w:rPr>
            </w:pPr>
            <w:r>
              <w:rPr>
                <w:rFonts w:hint="eastAsia"/>
              </w:rPr>
              <w:t>执法监管</w:t>
            </w:r>
          </w:p>
        </w:tc>
        <w:tc>
          <w:tcPr>
            <w:tcW w:w="742" w:type="dxa"/>
            <w:vAlign w:val="center"/>
          </w:tcPr>
          <w:p>
            <w:pPr>
              <w:pStyle w:val="25"/>
              <w:bidi w:val="0"/>
              <w:rPr>
                <w:rFonts w:hint="default"/>
                <w:lang w:val="en-US" w:eastAsia="zh-CN"/>
              </w:rPr>
            </w:pPr>
            <w:r>
              <w:rPr>
                <w:rFonts w:hint="eastAsia"/>
                <w:lang w:val="en-US" w:eastAsia="zh-CN"/>
              </w:rPr>
              <w:t>执法管理</w:t>
            </w:r>
          </w:p>
        </w:tc>
        <w:tc>
          <w:tcPr>
            <w:tcW w:w="283" w:type="dxa"/>
            <w:vAlign w:val="center"/>
          </w:tcPr>
          <w:p>
            <w:pPr>
              <w:pStyle w:val="25"/>
              <w:bidi w:val="0"/>
              <w:rPr>
                <w:rFonts w:hint="default"/>
                <w:lang w:val="zh-CN" w:eastAsia="zh-CN"/>
              </w:rPr>
            </w:pPr>
            <w:r>
              <w:rPr>
                <w:rFonts w:hint="default"/>
              </w:rPr>
              <w:t>全流域</w:t>
            </w:r>
          </w:p>
        </w:tc>
        <w:tc>
          <w:tcPr>
            <w:tcW w:w="3663" w:type="dxa"/>
            <w:vAlign w:val="center"/>
          </w:tcPr>
          <w:p>
            <w:pPr>
              <w:pStyle w:val="25"/>
              <w:bidi w:val="0"/>
              <w:rPr>
                <w:rFonts w:hint="default"/>
                <w:lang w:val="zh-CN" w:eastAsia="zh-CN"/>
              </w:rPr>
            </w:pPr>
            <w:r>
              <w:rPr>
                <w:rFonts w:hint="eastAsia"/>
              </w:rPr>
              <w:t>全面落实“河长制”管理</w:t>
            </w:r>
          </w:p>
        </w:tc>
        <w:tc>
          <w:tcPr>
            <w:tcW w:w="1514" w:type="dxa"/>
            <w:vAlign w:val="center"/>
          </w:tcPr>
          <w:p>
            <w:pPr>
              <w:pStyle w:val="25"/>
              <w:bidi w:val="0"/>
              <w:rPr>
                <w:rFonts w:hint="default"/>
                <w:lang w:val="en-US" w:eastAsia="zh-CN"/>
              </w:rPr>
            </w:pPr>
            <w:r>
              <w:rPr>
                <w:rFonts w:hint="eastAsia"/>
                <w:lang w:val="en-US" w:eastAsia="zh-CN"/>
              </w:rPr>
              <w:t>河长制</w:t>
            </w:r>
          </w:p>
        </w:tc>
        <w:tc>
          <w:tcPr>
            <w:tcW w:w="823" w:type="dxa"/>
            <w:vAlign w:val="center"/>
          </w:tcPr>
          <w:p>
            <w:pPr>
              <w:pStyle w:val="25"/>
              <w:bidi w:val="0"/>
              <w:rPr>
                <w:rFonts w:hint="default"/>
                <w:lang w:val="zh-CN" w:eastAsia="zh-CN"/>
              </w:rPr>
            </w:pPr>
            <w:r>
              <w:rPr>
                <w:rFonts w:hint="default"/>
              </w:rPr>
              <w:t>未计划，区财政落实</w:t>
            </w:r>
          </w:p>
        </w:tc>
        <w:tc>
          <w:tcPr>
            <w:tcW w:w="722" w:type="dxa"/>
            <w:vAlign w:val="center"/>
          </w:tcPr>
          <w:p>
            <w:pPr>
              <w:pStyle w:val="25"/>
              <w:bidi w:val="0"/>
              <w:rPr>
                <w:rFonts w:hint="default"/>
                <w:lang w:val="en-US" w:eastAsia="zh-CN"/>
              </w:rPr>
            </w:pPr>
            <w:r>
              <w:rPr>
                <w:rFonts w:hint="eastAsia"/>
                <w:lang w:val="en-US" w:eastAsia="zh-CN"/>
              </w:rPr>
              <w:t>县经信委</w:t>
            </w:r>
          </w:p>
        </w:tc>
        <w:tc>
          <w:tcPr>
            <w:tcW w:w="2460" w:type="dxa"/>
            <w:vAlign w:val="center"/>
          </w:tcPr>
          <w:p>
            <w:pPr>
              <w:pStyle w:val="25"/>
              <w:bidi w:val="0"/>
              <w:rPr>
                <w:rFonts w:hint="default"/>
                <w:lang w:val="zh-CN" w:eastAsia="zh-CN"/>
              </w:rPr>
            </w:pPr>
            <w:r>
              <w:rPr>
                <w:rFonts w:hint="eastAsia"/>
              </w:rPr>
              <w:t>构建河长制管理体制、河长制制度体系、明确河长的职责，保障流域执法监督体系建设的实施</w:t>
            </w:r>
          </w:p>
        </w:tc>
        <w:tc>
          <w:tcPr>
            <w:tcW w:w="722" w:type="dxa"/>
            <w:vAlign w:val="center"/>
          </w:tcPr>
          <w:p>
            <w:pPr>
              <w:pStyle w:val="25"/>
              <w:bidi w:val="0"/>
              <w:rPr>
                <w:rFonts w:hint="default"/>
                <w:lang w:val="zh-CN" w:eastAsia="zh-CN"/>
              </w:rPr>
            </w:pPr>
            <w:r>
              <w:rPr>
                <w:rFonts w:hint="default"/>
              </w:rPr>
              <w:t>区生态环境局、区财政局</w:t>
            </w:r>
          </w:p>
        </w:tc>
        <w:tc>
          <w:tcPr>
            <w:tcW w:w="868" w:type="dxa"/>
            <w:vAlign w:val="center"/>
          </w:tcPr>
          <w:p>
            <w:pPr>
              <w:pStyle w:val="25"/>
              <w:bidi w:val="0"/>
              <w:rPr>
                <w:rFonts w:hint="default"/>
                <w:lang w:val="zh-CN" w:eastAsia="zh-CN"/>
              </w:rPr>
            </w:pPr>
            <w:r>
              <w:rPr>
                <w:rFonts w:hint="default"/>
              </w:rPr>
              <w:t>配合责任部门完成</w:t>
            </w:r>
            <w:r>
              <w:t>相关任务的实施</w:t>
            </w:r>
            <w:r>
              <w:rPr>
                <w:rFonts w:hint="default"/>
              </w:rPr>
              <w:t>；配合协调资金</w:t>
            </w:r>
          </w:p>
        </w:tc>
        <w:tc>
          <w:tcPr>
            <w:tcW w:w="621" w:type="dxa"/>
            <w:vAlign w:val="center"/>
          </w:tcPr>
          <w:p>
            <w:pPr>
              <w:pStyle w:val="25"/>
              <w:bidi w:val="0"/>
              <w:rPr>
                <w:rFonts w:hint="default"/>
                <w:lang w:val="zh-CN" w:eastAsia="zh-CN"/>
              </w:rPr>
            </w:pPr>
            <w:r>
              <w:rPr>
                <w:rFonts w:hint="default"/>
              </w:rPr>
              <w:t>区政府督查室、区河长办</w:t>
            </w:r>
          </w:p>
        </w:tc>
        <w:tc>
          <w:tcPr>
            <w:tcW w:w="957" w:type="dxa"/>
            <w:vAlign w:val="center"/>
          </w:tcPr>
          <w:p>
            <w:pPr>
              <w:pStyle w:val="25"/>
              <w:bidi w:val="0"/>
              <w:rPr>
                <w:rFonts w:hint="default"/>
                <w:lang w:val="zh-CN" w:eastAsia="zh-CN"/>
              </w:rPr>
            </w:pPr>
            <w:r>
              <w:rPr>
                <w:rFonts w:hint="default"/>
              </w:rPr>
              <w:t>负责</w:t>
            </w:r>
            <w:r>
              <w:t>该任务</w:t>
            </w:r>
            <w:r>
              <w:rPr>
                <w:rFonts w:hint="default"/>
              </w:rPr>
              <w:t>各阶段的督促工作，确保该</w:t>
            </w:r>
            <w:r>
              <w:t>任务</w:t>
            </w:r>
            <w:r>
              <w:rPr>
                <w:rFonts w:hint="default"/>
              </w:rPr>
              <w:t>按时保质保量完成</w:t>
            </w:r>
          </w:p>
        </w:tc>
        <w:tc>
          <w:tcPr>
            <w:tcW w:w="241" w:type="dxa"/>
          </w:tcPr>
          <w:p>
            <w:pPr>
              <w:pStyle w:val="25"/>
              <w:bidi w:val="0"/>
            </w:pPr>
          </w:p>
        </w:tc>
      </w:tr>
    </w:tbl>
    <w:p>
      <w:pPr>
        <w:rPr>
          <w:rFonts w:hint="eastAsia"/>
        </w:rPr>
      </w:pPr>
    </w:p>
    <w:p>
      <w:pPr>
        <w:rPr>
          <w:rFonts w:hint="eastAsia"/>
        </w:rPr>
        <w:sectPr>
          <w:pgSz w:w="16838" w:h="11906" w:orient="landscape"/>
          <w:pgMar w:top="1800" w:right="1440" w:bottom="1800" w:left="1440" w:header="851" w:footer="992" w:gutter="0"/>
          <w:pgNumType w:fmt="decimal"/>
          <w:cols w:space="425" w:num="1"/>
          <w:docGrid w:type="lines" w:linePitch="312" w:charSpace="0"/>
        </w:sectPr>
      </w:pPr>
    </w:p>
    <w:p>
      <w:pPr>
        <w:rPr>
          <w:rFonts w:hint="eastAsia"/>
        </w:rPr>
      </w:pPr>
    </w:p>
    <w:p>
      <w:pPr>
        <w:pStyle w:val="2"/>
        <w:numPr>
          <w:ilvl w:val="1"/>
          <w:numId w:val="0"/>
        </w:numPr>
        <w:bidi w:val="0"/>
        <w:ind w:leftChars="0" w:right="0" w:rightChars="0"/>
        <w:rPr>
          <w:rFonts w:hint="eastAsia"/>
        </w:rPr>
      </w:pPr>
      <w:bookmarkStart w:id="98" w:name="_Toc32672"/>
      <w:r>
        <w:rPr>
          <w:rFonts w:hint="eastAsia"/>
        </w:rPr>
        <w:t>附表 3</w:t>
      </w:r>
      <w:r>
        <w:rPr>
          <w:rFonts w:hint="eastAsia"/>
        </w:rPr>
        <w:tab/>
      </w:r>
      <w:r>
        <w:rPr>
          <w:rFonts w:hint="eastAsia"/>
        </w:rPr>
        <w:t>乡镇级河库（河段）全面推行河长制问题、措施及责任清单</w:t>
      </w:r>
      <w:bookmarkEnd w:id="98"/>
    </w:p>
    <w:tbl>
      <w:tblPr>
        <w:tblStyle w:val="20"/>
        <w:tblW w:w="13841"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
        <w:gridCol w:w="670"/>
        <w:gridCol w:w="769"/>
        <w:gridCol w:w="1180"/>
        <w:gridCol w:w="2213"/>
        <w:gridCol w:w="631"/>
        <w:gridCol w:w="4408"/>
        <w:gridCol w:w="631"/>
        <w:gridCol w:w="2487"/>
        <w:gridCol w:w="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494" w:type="dxa"/>
            <w:vAlign w:val="center"/>
          </w:tcPr>
          <w:p>
            <w:pPr>
              <w:pStyle w:val="25"/>
              <w:bidi w:val="0"/>
              <w:jc w:val="center"/>
              <w:rPr>
                <w:rFonts w:hint="eastAsia"/>
              </w:rPr>
            </w:pPr>
            <w:r>
              <w:rPr>
                <w:rFonts w:hint="eastAsia"/>
              </w:rPr>
              <w:t>乡镇</w:t>
            </w:r>
          </w:p>
        </w:tc>
        <w:tc>
          <w:tcPr>
            <w:tcW w:w="670" w:type="dxa"/>
            <w:vAlign w:val="center"/>
          </w:tcPr>
          <w:p>
            <w:pPr>
              <w:pStyle w:val="25"/>
              <w:bidi w:val="0"/>
              <w:jc w:val="center"/>
            </w:pPr>
          </w:p>
          <w:p>
            <w:pPr>
              <w:pStyle w:val="25"/>
              <w:bidi w:val="0"/>
              <w:jc w:val="center"/>
              <w:rPr>
                <w:rFonts w:hint="eastAsia"/>
              </w:rPr>
            </w:pPr>
            <w:r>
              <w:rPr>
                <w:rFonts w:hint="eastAsia"/>
              </w:rPr>
              <w:t>河流/水库</w:t>
            </w:r>
          </w:p>
        </w:tc>
        <w:tc>
          <w:tcPr>
            <w:tcW w:w="769" w:type="dxa"/>
            <w:vAlign w:val="center"/>
          </w:tcPr>
          <w:p>
            <w:pPr>
              <w:pStyle w:val="25"/>
              <w:bidi w:val="0"/>
              <w:jc w:val="center"/>
            </w:pPr>
          </w:p>
          <w:p>
            <w:pPr>
              <w:pStyle w:val="25"/>
              <w:bidi w:val="0"/>
              <w:jc w:val="center"/>
              <w:rPr>
                <w:rFonts w:hint="eastAsia"/>
              </w:rPr>
            </w:pPr>
            <w:r>
              <w:rPr>
                <w:rFonts w:hint="eastAsia"/>
              </w:rPr>
              <w:t>河段起止点</w:t>
            </w:r>
          </w:p>
        </w:tc>
        <w:tc>
          <w:tcPr>
            <w:tcW w:w="1180" w:type="dxa"/>
            <w:vAlign w:val="center"/>
          </w:tcPr>
          <w:p>
            <w:pPr>
              <w:pStyle w:val="25"/>
              <w:bidi w:val="0"/>
              <w:jc w:val="center"/>
            </w:pPr>
          </w:p>
          <w:p>
            <w:pPr>
              <w:pStyle w:val="25"/>
              <w:bidi w:val="0"/>
              <w:jc w:val="center"/>
              <w:rPr>
                <w:rFonts w:hint="eastAsia"/>
              </w:rPr>
            </w:pPr>
            <w:r>
              <w:rPr>
                <w:rFonts w:hint="eastAsia"/>
              </w:rPr>
              <w:t>问题类别</w:t>
            </w:r>
          </w:p>
        </w:tc>
        <w:tc>
          <w:tcPr>
            <w:tcW w:w="2213" w:type="dxa"/>
            <w:vAlign w:val="center"/>
          </w:tcPr>
          <w:p>
            <w:pPr>
              <w:pStyle w:val="25"/>
              <w:bidi w:val="0"/>
              <w:jc w:val="center"/>
            </w:pPr>
          </w:p>
          <w:p>
            <w:pPr>
              <w:pStyle w:val="25"/>
              <w:bidi w:val="0"/>
              <w:jc w:val="center"/>
              <w:rPr>
                <w:rFonts w:hint="eastAsia"/>
              </w:rPr>
            </w:pPr>
            <w:r>
              <w:rPr>
                <w:rFonts w:hint="eastAsia"/>
              </w:rPr>
              <w:t>主要问题</w:t>
            </w:r>
          </w:p>
        </w:tc>
        <w:tc>
          <w:tcPr>
            <w:tcW w:w="631" w:type="dxa"/>
            <w:vAlign w:val="center"/>
          </w:tcPr>
          <w:p>
            <w:pPr>
              <w:pStyle w:val="25"/>
              <w:bidi w:val="0"/>
              <w:jc w:val="center"/>
            </w:pPr>
          </w:p>
          <w:p>
            <w:pPr>
              <w:pStyle w:val="25"/>
              <w:bidi w:val="0"/>
              <w:jc w:val="center"/>
              <w:rPr>
                <w:rFonts w:hint="eastAsia"/>
              </w:rPr>
            </w:pPr>
            <w:r>
              <w:rPr>
                <w:rFonts w:hint="eastAsia"/>
              </w:rPr>
              <w:t>所在位置</w:t>
            </w:r>
          </w:p>
        </w:tc>
        <w:tc>
          <w:tcPr>
            <w:tcW w:w="4408" w:type="dxa"/>
            <w:vAlign w:val="center"/>
          </w:tcPr>
          <w:p>
            <w:pPr>
              <w:pStyle w:val="25"/>
              <w:bidi w:val="0"/>
              <w:jc w:val="center"/>
              <w:rPr>
                <w:rFonts w:hint="eastAsia"/>
              </w:rPr>
            </w:pPr>
            <w:r>
              <w:rPr>
                <w:rFonts w:hint="eastAsia"/>
              </w:rPr>
              <w:t>主要措施</w:t>
            </w:r>
          </w:p>
        </w:tc>
        <w:tc>
          <w:tcPr>
            <w:tcW w:w="631" w:type="dxa"/>
            <w:vAlign w:val="center"/>
          </w:tcPr>
          <w:p>
            <w:pPr>
              <w:pStyle w:val="25"/>
              <w:bidi w:val="0"/>
              <w:jc w:val="center"/>
              <w:rPr>
                <w:rFonts w:hint="eastAsia"/>
              </w:rPr>
            </w:pPr>
            <w:r>
              <w:rPr>
                <w:rFonts w:hint="eastAsia"/>
              </w:rPr>
              <w:t>责任人</w:t>
            </w:r>
          </w:p>
        </w:tc>
        <w:tc>
          <w:tcPr>
            <w:tcW w:w="2487" w:type="dxa"/>
            <w:vAlign w:val="center"/>
          </w:tcPr>
          <w:p>
            <w:pPr>
              <w:pStyle w:val="25"/>
              <w:bidi w:val="0"/>
              <w:jc w:val="center"/>
              <w:rPr>
                <w:rFonts w:hint="eastAsia"/>
              </w:rPr>
            </w:pPr>
            <w:r>
              <w:rPr>
                <w:rFonts w:hint="eastAsia"/>
              </w:rPr>
              <w:t>资金来源</w:t>
            </w:r>
          </w:p>
        </w:tc>
        <w:tc>
          <w:tcPr>
            <w:tcW w:w="358" w:type="dxa"/>
            <w:vAlign w:val="center"/>
          </w:tcPr>
          <w:p>
            <w:pPr>
              <w:pStyle w:val="25"/>
              <w:bidi w:val="0"/>
              <w:jc w:val="center"/>
              <w:rPr>
                <w:rFonts w:hint="eastAsia"/>
              </w:rPr>
            </w:pPr>
            <w:r>
              <w:rPr>
                <w:rFonts w:hint="eastAsi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94" w:type="dxa"/>
            <w:vMerge w:val="restart"/>
            <w:vAlign w:val="center"/>
          </w:tcPr>
          <w:p>
            <w:pPr>
              <w:pStyle w:val="25"/>
              <w:bidi w:val="0"/>
              <w:jc w:val="center"/>
              <w:rPr>
                <w:rFonts w:hint="eastAsia"/>
                <w:lang w:val="en-US" w:eastAsia="zh-CN"/>
              </w:rPr>
            </w:pPr>
            <w:r>
              <w:rPr>
                <w:rFonts w:hint="eastAsia"/>
                <w:lang w:val="en-US" w:eastAsia="zh-CN"/>
              </w:rPr>
              <w:t>全流域</w:t>
            </w:r>
          </w:p>
        </w:tc>
        <w:tc>
          <w:tcPr>
            <w:tcW w:w="670" w:type="dxa"/>
            <w:vMerge w:val="restart"/>
            <w:vAlign w:val="center"/>
          </w:tcPr>
          <w:p>
            <w:pPr>
              <w:pStyle w:val="25"/>
              <w:bidi w:val="0"/>
              <w:jc w:val="center"/>
              <w:rPr>
                <w:rFonts w:hint="default"/>
                <w:lang w:val="en-US" w:eastAsia="zh-CN"/>
              </w:rPr>
            </w:pPr>
            <w:r>
              <w:rPr>
                <w:rFonts w:hint="eastAsia"/>
                <w:lang w:val="en-US" w:eastAsia="zh-CN"/>
              </w:rPr>
              <w:t>赤溪河</w:t>
            </w:r>
          </w:p>
        </w:tc>
        <w:tc>
          <w:tcPr>
            <w:tcW w:w="769" w:type="dxa"/>
            <w:vMerge w:val="restart"/>
            <w:vAlign w:val="center"/>
          </w:tcPr>
          <w:p>
            <w:pPr>
              <w:pStyle w:val="25"/>
              <w:bidi w:val="0"/>
              <w:jc w:val="center"/>
              <w:rPr>
                <w:rFonts w:hint="eastAsia" w:eastAsia="方正仿宋_GBK"/>
                <w:lang w:val="en-US" w:eastAsia="zh-CN"/>
              </w:rPr>
            </w:pPr>
            <w:r>
              <w:rPr>
                <w:rFonts w:hint="eastAsia"/>
                <w:lang w:val="en-US" w:eastAsia="zh-CN"/>
              </w:rPr>
              <w:t>全流域</w:t>
            </w:r>
          </w:p>
        </w:tc>
        <w:tc>
          <w:tcPr>
            <w:tcW w:w="1180" w:type="dxa"/>
            <w:vAlign w:val="center"/>
          </w:tcPr>
          <w:p>
            <w:pPr>
              <w:pStyle w:val="25"/>
              <w:bidi w:val="0"/>
              <w:jc w:val="center"/>
              <w:rPr>
                <w:rFonts w:hint="eastAsia"/>
              </w:rPr>
            </w:pPr>
            <w:r>
              <w:rPr>
                <w:rFonts w:hint="eastAsia"/>
              </w:rPr>
              <w:t>水资源保护</w:t>
            </w:r>
          </w:p>
        </w:tc>
        <w:tc>
          <w:tcPr>
            <w:tcW w:w="2213" w:type="dxa"/>
            <w:vAlign w:val="center"/>
          </w:tcPr>
          <w:p>
            <w:pPr>
              <w:pStyle w:val="25"/>
              <w:bidi w:val="0"/>
              <w:jc w:val="center"/>
              <w:rPr>
                <w:rFonts w:hint="eastAsia"/>
                <w:lang w:val="en-US" w:eastAsia="zh-CN"/>
              </w:rPr>
            </w:pPr>
            <w:r>
              <w:rPr>
                <w:rFonts w:hint="eastAsia"/>
              </w:rPr>
              <w:t>树人灌区续建配套及节水工程</w:t>
            </w:r>
            <w:r>
              <w:rPr>
                <w:rFonts w:hint="eastAsia"/>
                <w:lang w:val="en-US" w:eastAsia="zh-CN"/>
              </w:rPr>
              <w:t>老旧</w:t>
            </w:r>
          </w:p>
        </w:tc>
        <w:tc>
          <w:tcPr>
            <w:tcW w:w="631" w:type="dxa"/>
            <w:vAlign w:val="center"/>
          </w:tcPr>
          <w:p>
            <w:pPr>
              <w:pStyle w:val="25"/>
              <w:bidi w:val="0"/>
              <w:jc w:val="center"/>
              <w:rPr>
                <w:rFonts w:hint="eastAsia"/>
                <w:lang w:val="en-US" w:eastAsia="zh-CN"/>
              </w:rPr>
            </w:pPr>
            <w:r>
              <w:rPr>
                <w:rFonts w:hint="eastAsia"/>
                <w:lang w:val="en-US" w:eastAsia="zh-CN"/>
              </w:rPr>
              <w:t>树人镇</w:t>
            </w:r>
          </w:p>
        </w:tc>
        <w:tc>
          <w:tcPr>
            <w:tcW w:w="4408" w:type="dxa"/>
            <w:vAlign w:val="center"/>
          </w:tcPr>
          <w:p>
            <w:pPr>
              <w:pStyle w:val="25"/>
              <w:bidi w:val="0"/>
              <w:jc w:val="center"/>
            </w:pPr>
            <w:r>
              <w:rPr>
                <w:rFonts w:hint="eastAsia"/>
              </w:rPr>
              <w:t>开展树人灌区续建配套及节水改造工程建设</w:t>
            </w:r>
          </w:p>
        </w:tc>
        <w:tc>
          <w:tcPr>
            <w:tcW w:w="631" w:type="dxa"/>
            <w:vAlign w:val="center"/>
          </w:tcPr>
          <w:p>
            <w:pPr>
              <w:pStyle w:val="25"/>
              <w:bidi w:val="0"/>
              <w:jc w:val="center"/>
              <w:rPr>
                <w:rFonts w:hint="eastAsia"/>
                <w:lang w:val="en-US" w:eastAsia="zh-CN"/>
              </w:rPr>
            </w:pPr>
            <w:r>
              <w:rPr>
                <w:rFonts w:hint="eastAsia"/>
                <w:lang w:val="en-US" w:eastAsia="zh-CN"/>
              </w:rPr>
              <w:t>县水利局</w:t>
            </w:r>
          </w:p>
        </w:tc>
        <w:tc>
          <w:tcPr>
            <w:tcW w:w="2487" w:type="dxa"/>
            <w:vAlign w:val="center"/>
          </w:tcPr>
          <w:p>
            <w:pPr>
              <w:pStyle w:val="25"/>
              <w:bidi w:val="0"/>
              <w:jc w:val="center"/>
              <w:rPr>
                <w:rFonts w:hint="default"/>
                <w:lang w:val="en-US" w:eastAsia="zh-CN"/>
              </w:rPr>
            </w:pPr>
            <w:r>
              <w:t>未计划，考虑由</w:t>
            </w:r>
            <w:r>
              <w:rPr>
                <w:rFonts w:hint="eastAsia"/>
                <w:lang w:val="en-US" w:eastAsia="zh-CN"/>
              </w:rPr>
              <w:t>县水利局</w:t>
            </w:r>
            <w:r>
              <w:t>筹备</w:t>
            </w:r>
          </w:p>
        </w:tc>
        <w:tc>
          <w:tcPr>
            <w:tcW w:w="358" w:type="dxa"/>
            <w:vAlign w:val="center"/>
          </w:tcPr>
          <w:p>
            <w:pPr>
              <w:pStyle w:val="25"/>
              <w:bidi w:val="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4" w:type="dxa"/>
            <w:vMerge w:val="continue"/>
            <w:tcBorders>
              <w:top w:val="nil"/>
            </w:tcBorders>
            <w:vAlign w:val="center"/>
          </w:tcPr>
          <w:p>
            <w:pPr>
              <w:pStyle w:val="25"/>
              <w:bidi w:val="0"/>
              <w:jc w:val="center"/>
            </w:pPr>
          </w:p>
        </w:tc>
        <w:tc>
          <w:tcPr>
            <w:tcW w:w="670" w:type="dxa"/>
            <w:vMerge w:val="continue"/>
            <w:tcBorders>
              <w:top w:val="nil"/>
            </w:tcBorders>
            <w:vAlign w:val="center"/>
          </w:tcPr>
          <w:p>
            <w:pPr>
              <w:pStyle w:val="25"/>
              <w:bidi w:val="0"/>
              <w:jc w:val="center"/>
            </w:pPr>
          </w:p>
        </w:tc>
        <w:tc>
          <w:tcPr>
            <w:tcW w:w="769" w:type="dxa"/>
            <w:vMerge w:val="continue"/>
            <w:tcBorders>
              <w:top w:val="nil"/>
            </w:tcBorders>
            <w:vAlign w:val="center"/>
          </w:tcPr>
          <w:p>
            <w:pPr>
              <w:pStyle w:val="25"/>
              <w:bidi w:val="0"/>
              <w:jc w:val="center"/>
            </w:pPr>
          </w:p>
        </w:tc>
        <w:tc>
          <w:tcPr>
            <w:tcW w:w="1180" w:type="dxa"/>
            <w:vAlign w:val="center"/>
          </w:tcPr>
          <w:p>
            <w:pPr>
              <w:pStyle w:val="25"/>
              <w:bidi w:val="0"/>
              <w:jc w:val="center"/>
              <w:rPr>
                <w:rFonts w:hint="eastAsia"/>
              </w:rPr>
            </w:pPr>
            <w:r>
              <w:rPr>
                <w:rFonts w:hint="eastAsia"/>
              </w:rPr>
              <w:t>水域岸线管理保护</w:t>
            </w:r>
          </w:p>
        </w:tc>
        <w:tc>
          <w:tcPr>
            <w:tcW w:w="2213" w:type="dxa"/>
            <w:vAlign w:val="center"/>
          </w:tcPr>
          <w:p>
            <w:pPr>
              <w:pStyle w:val="25"/>
              <w:bidi w:val="0"/>
              <w:jc w:val="center"/>
              <w:rPr>
                <w:rFonts w:hint="eastAsia"/>
              </w:rPr>
            </w:pPr>
            <w:r>
              <w:rPr>
                <w:rFonts w:hint="eastAsia"/>
              </w:rPr>
              <w:t>侵占水域岸线</w:t>
            </w:r>
          </w:p>
        </w:tc>
        <w:tc>
          <w:tcPr>
            <w:tcW w:w="631" w:type="dxa"/>
            <w:vAlign w:val="center"/>
          </w:tcPr>
          <w:p>
            <w:pPr>
              <w:pStyle w:val="25"/>
              <w:bidi w:val="0"/>
              <w:jc w:val="center"/>
              <w:rPr>
                <w:rFonts w:hint="eastAsia"/>
                <w:lang w:val="en-US" w:eastAsia="zh-CN"/>
              </w:rPr>
            </w:pPr>
            <w:r>
              <w:rPr>
                <w:rFonts w:hint="eastAsia"/>
                <w:lang w:val="en-US" w:eastAsia="zh-CN"/>
              </w:rPr>
              <w:t>全流域</w:t>
            </w:r>
          </w:p>
        </w:tc>
        <w:tc>
          <w:tcPr>
            <w:tcW w:w="4408" w:type="dxa"/>
            <w:vAlign w:val="center"/>
          </w:tcPr>
          <w:p>
            <w:pPr>
              <w:pStyle w:val="25"/>
              <w:bidi w:val="0"/>
              <w:jc w:val="center"/>
            </w:pPr>
            <w:r>
              <w:rPr>
                <w:rFonts w:hint="eastAsia"/>
              </w:rPr>
              <w:t>清退河滩地种植</w:t>
            </w:r>
          </w:p>
        </w:tc>
        <w:tc>
          <w:tcPr>
            <w:tcW w:w="631" w:type="dxa"/>
            <w:vAlign w:val="center"/>
          </w:tcPr>
          <w:p>
            <w:pPr>
              <w:pStyle w:val="25"/>
              <w:bidi w:val="0"/>
              <w:jc w:val="center"/>
            </w:pPr>
            <w:r>
              <w:rPr>
                <w:rFonts w:hint="eastAsia"/>
                <w:lang w:eastAsia="zh-CN"/>
              </w:rPr>
              <w:t>县</w:t>
            </w:r>
            <w:r>
              <w:rPr>
                <w:rFonts w:hint="default"/>
              </w:rPr>
              <w:t>水利局</w:t>
            </w:r>
          </w:p>
        </w:tc>
        <w:tc>
          <w:tcPr>
            <w:tcW w:w="2487" w:type="dxa"/>
            <w:vAlign w:val="center"/>
          </w:tcPr>
          <w:p>
            <w:pPr>
              <w:pStyle w:val="25"/>
              <w:bidi w:val="0"/>
              <w:jc w:val="center"/>
            </w:pPr>
            <w:r>
              <w:t>未计划，考虑由</w:t>
            </w:r>
            <w:r>
              <w:rPr>
                <w:rFonts w:hint="eastAsia"/>
                <w:lang w:val="en-US" w:eastAsia="zh-CN"/>
              </w:rPr>
              <w:t>县水利局</w:t>
            </w:r>
            <w:r>
              <w:t>筹备</w:t>
            </w:r>
          </w:p>
        </w:tc>
        <w:tc>
          <w:tcPr>
            <w:tcW w:w="358" w:type="dxa"/>
            <w:vAlign w:val="center"/>
          </w:tcPr>
          <w:p>
            <w:pPr>
              <w:pStyle w:val="25"/>
              <w:bidi w:val="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94" w:type="dxa"/>
            <w:vMerge w:val="continue"/>
            <w:tcBorders>
              <w:top w:val="nil"/>
            </w:tcBorders>
            <w:vAlign w:val="center"/>
          </w:tcPr>
          <w:p>
            <w:pPr>
              <w:pStyle w:val="25"/>
              <w:bidi w:val="0"/>
              <w:jc w:val="center"/>
            </w:pPr>
          </w:p>
        </w:tc>
        <w:tc>
          <w:tcPr>
            <w:tcW w:w="670" w:type="dxa"/>
            <w:vMerge w:val="continue"/>
            <w:tcBorders>
              <w:top w:val="nil"/>
            </w:tcBorders>
            <w:vAlign w:val="center"/>
          </w:tcPr>
          <w:p>
            <w:pPr>
              <w:pStyle w:val="25"/>
              <w:bidi w:val="0"/>
              <w:jc w:val="center"/>
            </w:pPr>
          </w:p>
        </w:tc>
        <w:tc>
          <w:tcPr>
            <w:tcW w:w="769" w:type="dxa"/>
            <w:vMerge w:val="continue"/>
            <w:tcBorders>
              <w:top w:val="nil"/>
            </w:tcBorders>
            <w:vAlign w:val="center"/>
          </w:tcPr>
          <w:p>
            <w:pPr>
              <w:pStyle w:val="25"/>
              <w:bidi w:val="0"/>
              <w:jc w:val="center"/>
            </w:pPr>
          </w:p>
        </w:tc>
        <w:tc>
          <w:tcPr>
            <w:tcW w:w="1180" w:type="dxa"/>
            <w:vAlign w:val="center"/>
          </w:tcPr>
          <w:p>
            <w:pPr>
              <w:pStyle w:val="25"/>
              <w:bidi w:val="0"/>
              <w:jc w:val="center"/>
              <w:rPr>
                <w:rFonts w:hint="eastAsia"/>
              </w:rPr>
            </w:pPr>
            <w:r>
              <w:rPr>
                <w:rFonts w:hint="eastAsia"/>
              </w:rPr>
              <w:t>水污染防治</w:t>
            </w:r>
          </w:p>
        </w:tc>
        <w:tc>
          <w:tcPr>
            <w:tcW w:w="2213" w:type="dxa"/>
            <w:vAlign w:val="center"/>
          </w:tcPr>
          <w:p>
            <w:pPr>
              <w:pStyle w:val="25"/>
              <w:bidi w:val="0"/>
              <w:jc w:val="center"/>
              <w:rPr>
                <w:rFonts w:hint="eastAsia"/>
              </w:rPr>
            </w:pPr>
            <w:r>
              <w:rPr>
                <w:rFonts w:hint="eastAsia"/>
                <w:lang w:val="en-US" w:eastAsia="zh-CN"/>
              </w:rPr>
              <w:t>农业面源污染</w:t>
            </w:r>
          </w:p>
        </w:tc>
        <w:tc>
          <w:tcPr>
            <w:tcW w:w="631" w:type="dxa"/>
            <w:vAlign w:val="center"/>
          </w:tcPr>
          <w:p>
            <w:pPr>
              <w:pStyle w:val="25"/>
              <w:bidi w:val="0"/>
              <w:jc w:val="center"/>
              <w:rPr>
                <w:rFonts w:hint="eastAsia"/>
              </w:rPr>
            </w:pPr>
            <w:r>
              <w:rPr>
                <w:rFonts w:hint="eastAsia"/>
                <w:lang w:val="en-US" w:eastAsia="zh-CN"/>
              </w:rPr>
              <w:t>全流域</w:t>
            </w:r>
          </w:p>
        </w:tc>
        <w:tc>
          <w:tcPr>
            <w:tcW w:w="4408" w:type="dxa"/>
            <w:vAlign w:val="center"/>
          </w:tcPr>
          <w:p>
            <w:pPr>
              <w:pStyle w:val="25"/>
              <w:bidi w:val="0"/>
              <w:jc w:val="center"/>
            </w:pPr>
            <w:r>
              <w:rPr>
                <w:rFonts w:hint="eastAsia"/>
              </w:rPr>
              <w:t>开展农业面源污染治理工作，严控农药、化肥施用</w:t>
            </w:r>
          </w:p>
        </w:tc>
        <w:tc>
          <w:tcPr>
            <w:tcW w:w="631" w:type="dxa"/>
            <w:vAlign w:val="center"/>
          </w:tcPr>
          <w:p>
            <w:pPr>
              <w:pStyle w:val="25"/>
              <w:bidi w:val="0"/>
              <w:jc w:val="center"/>
            </w:pPr>
            <w:r>
              <w:rPr>
                <w:rFonts w:hint="eastAsia"/>
              </w:rPr>
              <w:t>县农委</w:t>
            </w:r>
          </w:p>
        </w:tc>
        <w:tc>
          <w:tcPr>
            <w:tcW w:w="2487" w:type="dxa"/>
            <w:vAlign w:val="center"/>
          </w:tcPr>
          <w:p>
            <w:pPr>
              <w:pStyle w:val="25"/>
              <w:bidi w:val="0"/>
              <w:jc w:val="center"/>
            </w:pPr>
            <w:r>
              <w:t>未计划，考虑由</w:t>
            </w:r>
            <w:r>
              <w:rPr>
                <w:rFonts w:hint="eastAsia"/>
              </w:rPr>
              <w:t>县农委</w:t>
            </w:r>
            <w:r>
              <w:t>筹备</w:t>
            </w:r>
          </w:p>
        </w:tc>
        <w:tc>
          <w:tcPr>
            <w:tcW w:w="358" w:type="dxa"/>
            <w:vAlign w:val="center"/>
          </w:tcPr>
          <w:p>
            <w:pPr>
              <w:pStyle w:val="25"/>
              <w:bidi w:val="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94" w:type="dxa"/>
            <w:vMerge w:val="continue"/>
            <w:tcBorders>
              <w:top w:val="nil"/>
            </w:tcBorders>
            <w:vAlign w:val="center"/>
          </w:tcPr>
          <w:p>
            <w:pPr>
              <w:pStyle w:val="25"/>
              <w:bidi w:val="0"/>
              <w:jc w:val="center"/>
            </w:pPr>
          </w:p>
        </w:tc>
        <w:tc>
          <w:tcPr>
            <w:tcW w:w="670" w:type="dxa"/>
            <w:vMerge w:val="continue"/>
            <w:tcBorders>
              <w:top w:val="nil"/>
            </w:tcBorders>
            <w:vAlign w:val="center"/>
          </w:tcPr>
          <w:p>
            <w:pPr>
              <w:pStyle w:val="25"/>
              <w:bidi w:val="0"/>
              <w:jc w:val="center"/>
            </w:pPr>
          </w:p>
        </w:tc>
        <w:tc>
          <w:tcPr>
            <w:tcW w:w="769" w:type="dxa"/>
            <w:vMerge w:val="continue"/>
            <w:tcBorders>
              <w:top w:val="nil"/>
            </w:tcBorders>
            <w:vAlign w:val="center"/>
          </w:tcPr>
          <w:p>
            <w:pPr>
              <w:pStyle w:val="25"/>
              <w:bidi w:val="0"/>
              <w:jc w:val="center"/>
            </w:pPr>
          </w:p>
        </w:tc>
        <w:tc>
          <w:tcPr>
            <w:tcW w:w="1180" w:type="dxa"/>
            <w:vAlign w:val="center"/>
          </w:tcPr>
          <w:p>
            <w:pPr>
              <w:pStyle w:val="25"/>
              <w:bidi w:val="0"/>
              <w:jc w:val="center"/>
              <w:rPr>
                <w:rFonts w:hint="eastAsia"/>
              </w:rPr>
            </w:pPr>
            <w:r>
              <w:rPr>
                <w:rFonts w:hint="eastAsia"/>
              </w:rPr>
              <w:t>水环境治理</w:t>
            </w:r>
          </w:p>
        </w:tc>
        <w:tc>
          <w:tcPr>
            <w:tcW w:w="2213" w:type="dxa"/>
            <w:vAlign w:val="center"/>
          </w:tcPr>
          <w:p>
            <w:pPr>
              <w:pStyle w:val="25"/>
              <w:bidi w:val="0"/>
              <w:jc w:val="center"/>
              <w:rPr>
                <w:rFonts w:hint="default"/>
                <w:lang w:val="en-US" w:eastAsia="zh-CN"/>
              </w:rPr>
            </w:pPr>
            <w:r>
              <w:rPr>
                <w:rFonts w:hint="eastAsia"/>
              </w:rPr>
              <w:t>水源地</w:t>
            </w:r>
            <w:r>
              <w:rPr>
                <w:rFonts w:hint="eastAsia"/>
                <w:lang w:val="en-US" w:eastAsia="zh-CN"/>
              </w:rPr>
              <w:t>建设不标准</w:t>
            </w:r>
          </w:p>
        </w:tc>
        <w:tc>
          <w:tcPr>
            <w:tcW w:w="631" w:type="dxa"/>
            <w:vAlign w:val="center"/>
          </w:tcPr>
          <w:p>
            <w:pPr>
              <w:pStyle w:val="25"/>
              <w:bidi w:val="0"/>
              <w:jc w:val="center"/>
              <w:rPr>
                <w:rFonts w:hint="eastAsia"/>
                <w:lang w:val="en-US" w:eastAsia="zh-CN"/>
              </w:rPr>
            </w:pPr>
            <w:r>
              <w:rPr>
                <w:rFonts w:hint="eastAsia"/>
                <w:lang w:val="en-US" w:eastAsia="zh-CN"/>
              </w:rPr>
              <w:t>十直镇</w:t>
            </w:r>
          </w:p>
        </w:tc>
        <w:tc>
          <w:tcPr>
            <w:tcW w:w="4408" w:type="dxa"/>
            <w:vAlign w:val="center"/>
          </w:tcPr>
          <w:p>
            <w:pPr>
              <w:pStyle w:val="25"/>
              <w:bidi w:val="0"/>
              <w:jc w:val="center"/>
              <w:rPr>
                <w:rFonts w:hint="default"/>
                <w:lang w:val="en-US" w:eastAsia="zh-CN"/>
              </w:rPr>
            </w:pPr>
            <w:r>
              <w:rPr>
                <w:rFonts w:hint="eastAsia"/>
                <w:lang w:val="en-US" w:eastAsia="zh-CN"/>
              </w:rPr>
              <w:t>水源地规范化建设</w:t>
            </w:r>
          </w:p>
        </w:tc>
        <w:tc>
          <w:tcPr>
            <w:tcW w:w="631" w:type="dxa"/>
            <w:vAlign w:val="center"/>
          </w:tcPr>
          <w:p>
            <w:pPr>
              <w:pStyle w:val="25"/>
              <w:bidi w:val="0"/>
              <w:jc w:val="center"/>
            </w:pPr>
            <w:r>
              <w:rPr>
                <w:rFonts w:hint="eastAsia"/>
              </w:rPr>
              <w:t>县水务局</w:t>
            </w:r>
          </w:p>
        </w:tc>
        <w:tc>
          <w:tcPr>
            <w:tcW w:w="2487" w:type="dxa"/>
            <w:vAlign w:val="center"/>
          </w:tcPr>
          <w:p>
            <w:pPr>
              <w:pStyle w:val="25"/>
              <w:bidi w:val="0"/>
              <w:jc w:val="center"/>
            </w:pPr>
            <w:r>
              <w:t>未计划，考虑由</w:t>
            </w:r>
            <w:r>
              <w:rPr>
                <w:rFonts w:hint="eastAsia"/>
                <w:lang w:val="en-US" w:eastAsia="zh-CN"/>
              </w:rPr>
              <w:t>县水利局</w:t>
            </w:r>
            <w:r>
              <w:t>筹备</w:t>
            </w:r>
          </w:p>
        </w:tc>
        <w:tc>
          <w:tcPr>
            <w:tcW w:w="358" w:type="dxa"/>
            <w:vAlign w:val="center"/>
          </w:tcPr>
          <w:p>
            <w:pPr>
              <w:pStyle w:val="25"/>
              <w:bidi w:val="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4" w:type="dxa"/>
            <w:vMerge w:val="continue"/>
            <w:tcBorders>
              <w:top w:val="nil"/>
            </w:tcBorders>
            <w:vAlign w:val="center"/>
          </w:tcPr>
          <w:p>
            <w:pPr>
              <w:pStyle w:val="25"/>
              <w:bidi w:val="0"/>
              <w:jc w:val="center"/>
            </w:pPr>
          </w:p>
        </w:tc>
        <w:tc>
          <w:tcPr>
            <w:tcW w:w="670" w:type="dxa"/>
            <w:vMerge w:val="continue"/>
            <w:tcBorders>
              <w:top w:val="nil"/>
            </w:tcBorders>
            <w:vAlign w:val="center"/>
          </w:tcPr>
          <w:p>
            <w:pPr>
              <w:pStyle w:val="25"/>
              <w:bidi w:val="0"/>
              <w:jc w:val="center"/>
            </w:pPr>
          </w:p>
        </w:tc>
        <w:tc>
          <w:tcPr>
            <w:tcW w:w="769" w:type="dxa"/>
            <w:vMerge w:val="continue"/>
            <w:tcBorders>
              <w:top w:val="nil"/>
            </w:tcBorders>
            <w:vAlign w:val="center"/>
          </w:tcPr>
          <w:p>
            <w:pPr>
              <w:pStyle w:val="25"/>
              <w:bidi w:val="0"/>
              <w:jc w:val="center"/>
            </w:pPr>
          </w:p>
        </w:tc>
        <w:tc>
          <w:tcPr>
            <w:tcW w:w="1180" w:type="dxa"/>
            <w:vAlign w:val="center"/>
          </w:tcPr>
          <w:p>
            <w:pPr>
              <w:pStyle w:val="25"/>
              <w:bidi w:val="0"/>
              <w:jc w:val="center"/>
              <w:rPr>
                <w:rFonts w:hint="eastAsia"/>
              </w:rPr>
            </w:pPr>
            <w:r>
              <w:rPr>
                <w:rFonts w:hint="eastAsia"/>
              </w:rPr>
              <w:t>水生态修复</w:t>
            </w:r>
          </w:p>
        </w:tc>
        <w:tc>
          <w:tcPr>
            <w:tcW w:w="2213" w:type="dxa"/>
            <w:vAlign w:val="center"/>
          </w:tcPr>
          <w:p>
            <w:pPr>
              <w:pStyle w:val="25"/>
              <w:bidi w:val="0"/>
              <w:jc w:val="center"/>
            </w:pPr>
            <w:r>
              <w:rPr>
                <w:rFonts w:hint="eastAsia"/>
              </w:rPr>
              <w:t>植被单一，生物多样性差</w:t>
            </w:r>
          </w:p>
        </w:tc>
        <w:tc>
          <w:tcPr>
            <w:tcW w:w="631" w:type="dxa"/>
            <w:vAlign w:val="center"/>
          </w:tcPr>
          <w:p>
            <w:pPr>
              <w:pStyle w:val="25"/>
              <w:bidi w:val="0"/>
              <w:jc w:val="center"/>
            </w:pPr>
            <w:r>
              <w:rPr>
                <w:rFonts w:hint="eastAsia"/>
                <w:lang w:val="en-US" w:eastAsia="zh-CN"/>
              </w:rPr>
              <w:t>全流域</w:t>
            </w:r>
          </w:p>
        </w:tc>
        <w:tc>
          <w:tcPr>
            <w:tcW w:w="4408" w:type="dxa"/>
            <w:vAlign w:val="center"/>
          </w:tcPr>
          <w:p>
            <w:pPr>
              <w:pStyle w:val="25"/>
              <w:bidi w:val="0"/>
              <w:jc w:val="center"/>
            </w:pPr>
            <w:r>
              <w:rPr>
                <w:rFonts w:hint="default"/>
              </w:rPr>
              <w:t>明确空间保护，做好统一规划，倡导生态文明建设，维护河流生态安全</w:t>
            </w:r>
          </w:p>
        </w:tc>
        <w:tc>
          <w:tcPr>
            <w:tcW w:w="631" w:type="dxa"/>
            <w:vAlign w:val="center"/>
          </w:tcPr>
          <w:p>
            <w:pPr>
              <w:pStyle w:val="25"/>
              <w:bidi w:val="0"/>
              <w:jc w:val="center"/>
            </w:pPr>
            <w:r>
              <w:rPr>
                <w:rFonts w:hint="eastAsia"/>
              </w:rPr>
              <w:t>县水务局</w:t>
            </w:r>
          </w:p>
        </w:tc>
        <w:tc>
          <w:tcPr>
            <w:tcW w:w="2487" w:type="dxa"/>
            <w:vAlign w:val="center"/>
          </w:tcPr>
          <w:p>
            <w:pPr>
              <w:pStyle w:val="25"/>
              <w:bidi w:val="0"/>
              <w:jc w:val="center"/>
            </w:pPr>
            <w:r>
              <w:rPr>
                <w:rFonts w:hint="default"/>
              </w:rPr>
              <w:t>未计划，考虑由国家</w:t>
            </w:r>
            <w:r>
              <w:rPr>
                <w:rFonts w:hint="eastAsia"/>
                <w:lang w:val="en-US" w:eastAsia="zh-CN"/>
              </w:rPr>
              <w:t>水利</w:t>
            </w:r>
            <w:r>
              <w:rPr>
                <w:rFonts w:hint="default"/>
              </w:rPr>
              <w:t>专项资金落实</w:t>
            </w:r>
          </w:p>
        </w:tc>
        <w:tc>
          <w:tcPr>
            <w:tcW w:w="358" w:type="dxa"/>
            <w:vAlign w:val="center"/>
          </w:tcPr>
          <w:p>
            <w:pPr>
              <w:pStyle w:val="25"/>
              <w:bidi w:val="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4" w:type="dxa"/>
            <w:vMerge w:val="continue"/>
            <w:tcBorders>
              <w:top w:val="nil"/>
            </w:tcBorders>
            <w:vAlign w:val="center"/>
          </w:tcPr>
          <w:p>
            <w:pPr>
              <w:pStyle w:val="25"/>
              <w:bidi w:val="0"/>
              <w:jc w:val="center"/>
            </w:pPr>
          </w:p>
        </w:tc>
        <w:tc>
          <w:tcPr>
            <w:tcW w:w="670" w:type="dxa"/>
            <w:vMerge w:val="continue"/>
            <w:tcBorders>
              <w:top w:val="nil"/>
            </w:tcBorders>
            <w:vAlign w:val="center"/>
          </w:tcPr>
          <w:p>
            <w:pPr>
              <w:pStyle w:val="25"/>
              <w:bidi w:val="0"/>
              <w:jc w:val="center"/>
            </w:pPr>
          </w:p>
        </w:tc>
        <w:tc>
          <w:tcPr>
            <w:tcW w:w="769" w:type="dxa"/>
            <w:vMerge w:val="continue"/>
            <w:tcBorders>
              <w:top w:val="nil"/>
            </w:tcBorders>
            <w:vAlign w:val="center"/>
          </w:tcPr>
          <w:p>
            <w:pPr>
              <w:pStyle w:val="25"/>
              <w:bidi w:val="0"/>
              <w:jc w:val="center"/>
            </w:pPr>
          </w:p>
        </w:tc>
        <w:tc>
          <w:tcPr>
            <w:tcW w:w="1180" w:type="dxa"/>
            <w:vAlign w:val="center"/>
          </w:tcPr>
          <w:p>
            <w:pPr>
              <w:pStyle w:val="25"/>
              <w:bidi w:val="0"/>
              <w:jc w:val="center"/>
              <w:rPr>
                <w:rFonts w:hint="eastAsia"/>
              </w:rPr>
            </w:pPr>
            <w:r>
              <w:rPr>
                <w:rFonts w:hint="eastAsia"/>
              </w:rPr>
              <w:t>执法监管</w:t>
            </w:r>
          </w:p>
        </w:tc>
        <w:tc>
          <w:tcPr>
            <w:tcW w:w="2213" w:type="dxa"/>
            <w:vAlign w:val="center"/>
          </w:tcPr>
          <w:p>
            <w:pPr>
              <w:pStyle w:val="25"/>
              <w:bidi w:val="0"/>
              <w:jc w:val="center"/>
              <w:rPr>
                <w:rFonts w:hint="default"/>
                <w:lang w:val="en-US" w:eastAsia="zh-CN"/>
              </w:rPr>
            </w:pPr>
            <w:r>
              <w:rPr>
                <w:rFonts w:hint="eastAsia"/>
                <w:lang w:val="en-US" w:eastAsia="zh-CN"/>
              </w:rPr>
              <w:t>河长制体系未建立</w:t>
            </w:r>
          </w:p>
        </w:tc>
        <w:tc>
          <w:tcPr>
            <w:tcW w:w="631" w:type="dxa"/>
            <w:vAlign w:val="center"/>
          </w:tcPr>
          <w:p>
            <w:pPr>
              <w:pStyle w:val="25"/>
              <w:bidi w:val="0"/>
              <w:jc w:val="center"/>
            </w:pPr>
            <w:r>
              <w:rPr>
                <w:rFonts w:hint="eastAsia"/>
                <w:lang w:val="en-US" w:eastAsia="zh-CN"/>
              </w:rPr>
              <w:t>全流域</w:t>
            </w:r>
          </w:p>
        </w:tc>
        <w:tc>
          <w:tcPr>
            <w:tcW w:w="4408" w:type="dxa"/>
            <w:vAlign w:val="center"/>
          </w:tcPr>
          <w:p>
            <w:pPr>
              <w:pStyle w:val="25"/>
              <w:bidi w:val="0"/>
              <w:jc w:val="center"/>
            </w:pPr>
            <w:r>
              <w:rPr>
                <w:rFonts w:hint="eastAsia"/>
              </w:rPr>
              <w:t>全面落实“河长制”管理</w:t>
            </w:r>
          </w:p>
        </w:tc>
        <w:tc>
          <w:tcPr>
            <w:tcW w:w="631" w:type="dxa"/>
            <w:vAlign w:val="center"/>
          </w:tcPr>
          <w:p>
            <w:pPr>
              <w:pStyle w:val="25"/>
              <w:bidi w:val="0"/>
              <w:jc w:val="center"/>
              <w:rPr>
                <w:rFonts w:hint="default"/>
                <w:lang w:val="en-US" w:eastAsia="zh-CN"/>
              </w:rPr>
            </w:pPr>
            <w:r>
              <w:rPr>
                <w:rFonts w:hint="eastAsia"/>
                <w:lang w:val="en-US" w:eastAsia="zh-CN"/>
              </w:rPr>
              <w:t>县经信委</w:t>
            </w:r>
          </w:p>
        </w:tc>
        <w:tc>
          <w:tcPr>
            <w:tcW w:w="2487" w:type="dxa"/>
            <w:vAlign w:val="center"/>
          </w:tcPr>
          <w:p>
            <w:pPr>
              <w:pStyle w:val="25"/>
              <w:bidi w:val="0"/>
              <w:jc w:val="center"/>
              <w:rPr>
                <w:rFonts w:hint="eastAsia"/>
                <w:lang w:eastAsia="zh-CN"/>
              </w:rPr>
            </w:pPr>
            <w:r>
              <w:rPr>
                <w:rFonts w:hint="default"/>
              </w:rPr>
              <w:t>未计划，考虑由</w:t>
            </w:r>
            <w:r>
              <w:rPr>
                <w:rFonts w:hint="eastAsia"/>
                <w:lang w:val="en-US" w:eastAsia="zh-CN"/>
              </w:rPr>
              <w:t>县经信委筹备</w:t>
            </w:r>
          </w:p>
        </w:tc>
        <w:tc>
          <w:tcPr>
            <w:tcW w:w="358" w:type="dxa"/>
            <w:vAlign w:val="center"/>
          </w:tcPr>
          <w:p>
            <w:pPr>
              <w:pStyle w:val="25"/>
              <w:bidi w:val="0"/>
              <w:jc w:val="center"/>
            </w:pPr>
          </w:p>
        </w:tc>
      </w:tr>
    </w:tbl>
    <w:p>
      <w:pPr>
        <w:rPr>
          <w:rFonts w:hint="eastAsia"/>
        </w:rPr>
      </w:pPr>
    </w:p>
    <w:p>
      <w:pPr>
        <w:rPr>
          <w:rFonts w:hint="eastAsia"/>
        </w:rPr>
      </w:pPr>
    </w:p>
    <w:p>
      <w:pPr>
        <w:pStyle w:val="3"/>
        <w:numPr>
          <w:ilvl w:val="0"/>
          <w:numId w:val="2"/>
        </w:numPr>
        <w:bidi w:val="0"/>
        <w:sectPr>
          <w:pgSz w:w="16838" w:h="11906" w:orient="landscape"/>
          <w:pgMar w:top="1800" w:right="1440" w:bottom="1800" w:left="1440" w:header="851" w:footer="992" w:gutter="0"/>
          <w:pgNumType w:fmt="decimal"/>
          <w:cols w:space="425" w:num="1"/>
          <w:docGrid w:type="lines" w:linePitch="312" w:charSpace="0"/>
        </w:sectPr>
      </w:pPr>
    </w:p>
    <w:p>
      <w:pPr>
        <w:pStyle w:val="3"/>
        <w:bidi w:val="0"/>
      </w:pPr>
      <w:bookmarkStart w:id="99" w:name="_Toc20348"/>
      <w:r>
        <w:t>附图</w:t>
      </w:r>
      <w:bookmarkEnd w:id="99"/>
    </w:p>
    <w:p>
      <w:pPr>
        <w:pStyle w:val="2"/>
        <w:numPr>
          <w:ilvl w:val="1"/>
          <w:numId w:val="0"/>
        </w:numPr>
        <w:bidi w:val="0"/>
        <w:ind w:leftChars="0" w:right="0" w:rightChars="0"/>
        <w:rPr>
          <w:rFonts w:hint="eastAsia"/>
        </w:rPr>
      </w:pPr>
      <w:bookmarkStart w:id="100" w:name="_Toc2874"/>
      <w:r>
        <w:rPr>
          <w:rFonts w:hint="eastAsia"/>
        </w:rPr>
        <w:t>附图 1</w:t>
      </w:r>
      <w:r>
        <w:rPr>
          <w:rFonts w:hint="eastAsia"/>
        </w:rPr>
        <w:tab/>
      </w:r>
      <w:r>
        <w:rPr>
          <w:rFonts w:hint="eastAsia"/>
        </w:rPr>
        <w:t>河库（河段）水系图</w:t>
      </w:r>
      <w:bookmarkEnd w:id="100"/>
    </w:p>
    <w:p>
      <w:pPr>
        <w:pStyle w:val="25"/>
        <w:bidi w:val="0"/>
        <w:rPr>
          <w:rFonts w:hint="eastAsia"/>
          <w:lang w:eastAsia="zh-CN"/>
        </w:rPr>
        <w:sectPr>
          <w:pgSz w:w="11906" w:h="16838"/>
          <w:pgMar w:top="1440" w:right="1800" w:bottom="1440" w:left="1800" w:header="851" w:footer="992" w:gutter="0"/>
          <w:pgNumType w:fmt="decimal"/>
          <w:cols w:space="425" w:num="1"/>
          <w:docGrid w:type="lines" w:linePitch="312" w:charSpace="0"/>
        </w:sectPr>
      </w:pPr>
      <w:r>
        <w:rPr>
          <w:rFonts w:hint="eastAsia"/>
          <w:lang w:eastAsia="zh-CN"/>
        </w:rPr>
        <w:drawing>
          <wp:inline distT="0" distB="0" distL="114300" distR="114300">
            <wp:extent cx="5265420" cy="7449185"/>
            <wp:effectExtent l="0" t="0" r="11430" b="18415"/>
            <wp:docPr id="5" name="图片 5" descr="丰都县水系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丰都县水系图01_00"/>
                    <pic:cNvPicPr>
                      <a:picLocks noChangeAspect="1"/>
                    </pic:cNvPicPr>
                  </pic:nvPicPr>
                  <pic:blipFill>
                    <a:blip r:embed="rId17"/>
                    <a:stretch>
                      <a:fillRect/>
                    </a:stretch>
                  </pic:blipFill>
                  <pic:spPr>
                    <a:xfrm>
                      <a:off x="0" y="0"/>
                      <a:ext cx="5265420" cy="7449185"/>
                    </a:xfrm>
                    <a:prstGeom prst="rect">
                      <a:avLst/>
                    </a:prstGeom>
                  </pic:spPr>
                </pic:pic>
              </a:graphicData>
            </a:graphic>
          </wp:inline>
        </w:drawing>
      </w:r>
    </w:p>
    <w:p>
      <w:pPr>
        <w:rPr>
          <w:rFonts w:hint="eastAsia"/>
        </w:rPr>
      </w:pPr>
    </w:p>
    <w:p>
      <w:pPr>
        <w:pStyle w:val="2"/>
        <w:numPr>
          <w:ilvl w:val="1"/>
          <w:numId w:val="0"/>
        </w:numPr>
        <w:bidi w:val="0"/>
        <w:ind w:leftChars="0" w:right="0" w:rightChars="0"/>
        <w:rPr>
          <w:rFonts w:hint="eastAsia"/>
        </w:rPr>
      </w:pPr>
      <w:bookmarkStart w:id="101" w:name="_Toc17742"/>
      <w:r>
        <w:rPr>
          <w:rFonts w:hint="eastAsia"/>
        </w:rPr>
        <w:t>附图 2</w:t>
      </w:r>
      <w:r>
        <w:rPr>
          <w:rFonts w:hint="eastAsia"/>
        </w:rPr>
        <w:tab/>
      </w:r>
      <w:r>
        <w:rPr>
          <w:rFonts w:hint="eastAsia"/>
        </w:rPr>
        <w:t>河库（河段）主要问题及措施分布图（作战图） 其他附图</w:t>
      </w:r>
      <w:bookmarkEnd w:id="101"/>
    </w:p>
    <w:p>
      <w:pPr>
        <w:rPr>
          <w:rFonts w:hint="eastAsia"/>
        </w:rPr>
      </w:pPr>
    </w:p>
    <w:p>
      <w:pPr>
        <w:sectPr>
          <w:pgSz w:w="11906" w:h="16838"/>
          <w:pgMar w:top="1440" w:right="1800" w:bottom="1440" w:left="1800" w:header="851" w:footer="992" w:gutter="0"/>
          <w:pgNumType w:fmt="decimal"/>
          <w:cols w:space="425" w:num="1"/>
          <w:docGrid w:type="lines" w:linePitch="312" w:charSpace="0"/>
        </w:sectPr>
      </w:pPr>
    </w:p>
    <w:p>
      <w:pPr>
        <w:bidi w:val="0"/>
        <w:ind w:left="0" w:leftChars="0" w:firstLine="0" w:firstLineChars="0"/>
        <w:jc w:val="both"/>
        <w:rPr>
          <w:lang w:val="zh-CN"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Arial Unicode MS"/>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公文黑体">
    <w:altName w:val="黑体"/>
    <w:panose1 w:val="02000500000000000000"/>
    <w:charset w:val="86"/>
    <w:family w:val="auto"/>
    <w:pitch w:val="default"/>
    <w:sig w:usb0="00000000" w:usb1="00000000"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wordWrap w:val="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3"/>
        <w:rFonts w:hint="eastAsia"/>
      </w:rPr>
    </w:pPr>
    <w:r>
      <w:rPr>
        <w:rStyle w:val="23"/>
      </w:rPr>
      <w:fldChar w:fldCharType="begin"/>
    </w:r>
    <w:r>
      <w:rPr>
        <w:rStyle w:val="23"/>
      </w:rPr>
      <w:instrText xml:space="preserve">PAGE  </w:instrText>
    </w:r>
    <w:r>
      <w:rPr>
        <w:rStyle w:val="23"/>
      </w:rPr>
      <w:fldChar w:fldCharType="end"/>
    </w:r>
  </w:p>
  <w:p>
    <w:pPr>
      <w:pStyle w:val="15"/>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640"/>
      </w:pPr>
      <w:r>
        <w:separator/>
      </w:r>
    </w:p>
  </w:footnote>
  <w:footnote w:type="continuationSeparator" w:id="1">
    <w:p>
      <w:pPr>
        <w:spacing w:before="0" w:after="0"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ascii="方正仿宋_GBK" w:eastAsia="方正仿宋_GBK"/>
        <w:sz w:val="21"/>
        <w:szCs w:val="21"/>
      </w:rPr>
    </w:pPr>
    <w:r>
      <w:rPr>
        <w:rFonts w:hint="eastAsia" w:ascii="方正仿宋_GBK" w:eastAsia="方正仿宋_GBK"/>
        <w:sz w:val="21"/>
        <w:szCs w:val="21"/>
      </w:rPr>
      <w:t>丰都县赤溪河“一河一策”方案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6E8B7"/>
    <w:multiLevelType w:val="singleLevel"/>
    <w:tmpl w:val="8226E8B7"/>
    <w:lvl w:ilvl="0" w:tentative="0">
      <w:start w:val="1"/>
      <w:numFmt w:val="decimal"/>
      <w:lvlText w:val="(%1)"/>
      <w:lvlJc w:val="left"/>
      <w:pPr>
        <w:ind w:left="425" w:hanging="425"/>
      </w:pPr>
      <w:rPr>
        <w:rFonts w:hint="default"/>
      </w:rPr>
    </w:lvl>
  </w:abstractNum>
  <w:abstractNum w:abstractNumId="1">
    <w:nsid w:val="834A0051"/>
    <w:multiLevelType w:val="singleLevel"/>
    <w:tmpl w:val="834A0051"/>
    <w:lvl w:ilvl="0" w:tentative="0">
      <w:start w:val="1"/>
      <w:numFmt w:val="decimal"/>
      <w:lvlText w:val="(%1)"/>
      <w:lvlJc w:val="left"/>
      <w:pPr>
        <w:ind w:left="425" w:hanging="425"/>
      </w:pPr>
      <w:rPr>
        <w:rFonts w:hint="default"/>
      </w:rPr>
    </w:lvl>
  </w:abstractNum>
  <w:abstractNum w:abstractNumId="2">
    <w:nsid w:val="8E448BF4"/>
    <w:multiLevelType w:val="singleLevel"/>
    <w:tmpl w:val="8E448BF4"/>
    <w:lvl w:ilvl="0" w:tentative="0">
      <w:start w:val="1"/>
      <w:numFmt w:val="decimal"/>
      <w:lvlText w:val="(%1)"/>
      <w:lvlJc w:val="left"/>
      <w:pPr>
        <w:ind w:left="425" w:hanging="425"/>
      </w:pPr>
      <w:rPr>
        <w:rFonts w:hint="default"/>
      </w:rPr>
    </w:lvl>
  </w:abstractNum>
  <w:abstractNum w:abstractNumId="3">
    <w:nsid w:val="AC011554"/>
    <w:multiLevelType w:val="singleLevel"/>
    <w:tmpl w:val="AC011554"/>
    <w:lvl w:ilvl="0" w:tentative="0">
      <w:start w:val="1"/>
      <w:numFmt w:val="decimal"/>
      <w:lvlText w:val="(%1)"/>
      <w:lvlJc w:val="left"/>
      <w:pPr>
        <w:ind w:left="425" w:hanging="425"/>
      </w:pPr>
      <w:rPr>
        <w:rFonts w:hint="default"/>
      </w:rPr>
    </w:lvl>
  </w:abstractNum>
  <w:abstractNum w:abstractNumId="4">
    <w:nsid w:val="ACE1E8E0"/>
    <w:multiLevelType w:val="singleLevel"/>
    <w:tmpl w:val="ACE1E8E0"/>
    <w:lvl w:ilvl="0" w:tentative="0">
      <w:start w:val="1"/>
      <w:numFmt w:val="decimal"/>
      <w:lvlText w:val="(%1)"/>
      <w:lvlJc w:val="left"/>
      <w:pPr>
        <w:ind w:left="425" w:hanging="425"/>
      </w:pPr>
      <w:rPr>
        <w:rFonts w:hint="default"/>
      </w:rPr>
    </w:lvl>
  </w:abstractNum>
  <w:abstractNum w:abstractNumId="5">
    <w:nsid w:val="B5E19030"/>
    <w:multiLevelType w:val="singleLevel"/>
    <w:tmpl w:val="B5E19030"/>
    <w:lvl w:ilvl="0" w:tentative="0">
      <w:start w:val="1"/>
      <w:numFmt w:val="decimal"/>
      <w:lvlText w:val="(%1)"/>
      <w:lvlJc w:val="left"/>
      <w:pPr>
        <w:ind w:left="425" w:hanging="425"/>
      </w:pPr>
      <w:rPr>
        <w:rFonts w:hint="default"/>
      </w:rPr>
    </w:lvl>
  </w:abstractNum>
  <w:abstractNum w:abstractNumId="6">
    <w:nsid w:val="CE78EB0F"/>
    <w:multiLevelType w:val="singleLevel"/>
    <w:tmpl w:val="CE78EB0F"/>
    <w:lvl w:ilvl="0" w:tentative="0">
      <w:start w:val="1"/>
      <w:numFmt w:val="decimal"/>
      <w:lvlText w:val="(%1)"/>
      <w:lvlJc w:val="left"/>
      <w:pPr>
        <w:ind w:left="425" w:hanging="425"/>
      </w:pPr>
      <w:rPr>
        <w:rFonts w:hint="default"/>
      </w:rPr>
    </w:lvl>
  </w:abstractNum>
  <w:abstractNum w:abstractNumId="7">
    <w:nsid w:val="E78EDD17"/>
    <w:multiLevelType w:val="singleLevel"/>
    <w:tmpl w:val="E78EDD17"/>
    <w:lvl w:ilvl="0" w:tentative="0">
      <w:start w:val="1"/>
      <w:numFmt w:val="decimal"/>
      <w:lvlText w:val="(%1)"/>
      <w:lvlJc w:val="left"/>
      <w:pPr>
        <w:ind w:left="425" w:hanging="425"/>
      </w:pPr>
      <w:rPr>
        <w:rFonts w:hint="default"/>
      </w:rPr>
    </w:lvl>
  </w:abstractNum>
  <w:abstractNum w:abstractNumId="8">
    <w:nsid w:val="ED2497C3"/>
    <w:multiLevelType w:val="singleLevel"/>
    <w:tmpl w:val="ED2497C3"/>
    <w:lvl w:ilvl="0" w:tentative="0">
      <w:start w:val="1"/>
      <w:numFmt w:val="decimal"/>
      <w:lvlText w:val="(%1)"/>
      <w:lvlJc w:val="left"/>
      <w:pPr>
        <w:ind w:left="425" w:hanging="425"/>
      </w:pPr>
      <w:rPr>
        <w:rFonts w:hint="default"/>
      </w:rPr>
    </w:lvl>
  </w:abstractNum>
  <w:abstractNum w:abstractNumId="9">
    <w:nsid w:val="FD984C40"/>
    <w:multiLevelType w:val="multilevel"/>
    <w:tmpl w:val="FD984C40"/>
    <w:lvl w:ilvl="0" w:tentative="0">
      <w:start w:val="1"/>
      <w:numFmt w:val="decimal"/>
      <w:pStyle w:val="3"/>
      <w:lvlText w:val="%1."/>
      <w:lvlJc w:val="left"/>
      <w:pPr>
        <w:ind w:left="432" w:hanging="432"/>
      </w:pPr>
      <w:rPr>
        <w:rFonts w:hint="default"/>
      </w:rPr>
    </w:lvl>
    <w:lvl w:ilvl="1" w:tentative="0">
      <w:start w:val="1"/>
      <w:numFmt w:val="decimal"/>
      <w:pStyle w:val="2"/>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0">
    <w:nsid w:val="FF6A7C07"/>
    <w:multiLevelType w:val="singleLevel"/>
    <w:tmpl w:val="FF6A7C07"/>
    <w:lvl w:ilvl="0" w:tentative="0">
      <w:start w:val="1"/>
      <w:numFmt w:val="decimal"/>
      <w:lvlText w:val="(%1)"/>
      <w:lvlJc w:val="left"/>
      <w:pPr>
        <w:ind w:left="425" w:hanging="425"/>
      </w:pPr>
      <w:rPr>
        <w:rFonts w:hint="default"/>
      </w:rPr>
    </w:lvl>
  </w:abstractNum>
  <w:abstractNum w:abstractNumId="11">
    <w:nsid w:val="00490CE7"/>
    <w:multiLevelType w:val="singleLevel"/>
    <w:tmpl w:val="00490CE7"/>
    <w:lvl w:ilvl="0" w:tentative="0">
      <w:start w:val="1"/>
      <w:numFmt w:val="decimal"/>
      <w:lvlText w:val="(%1)"/>
      <w:lvlJc w:val="left"/>
      <w:pPr>
        <w:ind w:left="425" w:hanging="425"/>
      </w:pPr>
      <w:rPr>
        <w:rFonts w:hint="default"/>
      </w:rPr>
    </w:lvl>
  </w:abstractNum>
  <w:abstractNum w:abstractNumId="12">
    <w:nsid w:val="015CEB36"/>
    <w:multiLevelType w:val="singleLevel"/>
    <w:tmpl w:val="015CEB36"/>
    <w:lvl w:ilvl="0" w:tentative="0">
      <w:start w:val="1"/>
      <w:numFmt w:val="decimal"/>
      <w:lvlText w:val="(%1)"/>
      <w:lvlJc w:val="left"/>
      <w:pPr>
        <w:ind w:left="425" w:hanging="425"/>
      </w:pPr>
      <w:rPr>
        <w:rFonts w:hint="default"/>
      </w:rPr>
    </w:lvl>
  </w:abstractNum>
  <w:abstractNum w:abstractNumId="13">
    <w:nsid w:val="0248C179"/>
    <w:multiLevelType w:val="multilevel"/>
    <w:tmpl w:val="0248C179"/>
    <w:lvl w:ilvl="0" w:tentative="0">
      <w:start w:val="1"/>
      <w:numFmt w:val="decimal"/>
      <w:lvlText w:val="%1"/>
      <w:lvlJc w:val="left"/>
      <w:pPr>
        <w:ind w:left="792" w:hanging="528"/>
        <w:jc w:val="left"/>
      </w:pPr>
      <w:rPr>
        <w:rFonts w:hint="default" w:ascii="方正仿宋_GBK" w:hAnsi="方正仿宋_GBK" w:eastAsia="方正仿宋_GBK" w:cs="方正仿宋_GBK"/>
        <w:b/>
        <w:bCs/>
        <w:w w:val="99"/>
        <w:sz w:val="32"/>
        <w:szCs w:val="32"/>
        <w:lang w:val="zh-CN" w:eastAsia="zh-CN" w:bidi="zh-CN"/>
      </w:rPr>
    </w:lvl>
    <w:lvl w:ilvl="1" w:tentative="0">
      <w:start w:val="1"/>
      <w:numFmt w:val="decimal"/>
      <w:lvlText w:val="%1.%2"/>
      <w:lvlJc w:val="left"/>
      <w:pPr>
        <w:ind w:left="1419" w:hanging="668"/>
        <w:jc w:val="left"/>
      </w:pPr>
      <w:rPr>
        <w:rFonts w:hint="default" w:ascii="方正仿宋_GBK" w:hAnsi="方正仿宋_GBK" w:eastAsia="方正仿宋_GBK" w:cs="方正仿宋_GBK"/>
        <w:spacing w:val="-2"/>
        <w:w w:val="99"/>
        <w:sz w:val="32"/>
        <w:szCs w:val="32"/>
        <w:lang w:val="zh-CN" w:eastAsia="zh-CN" w:bidi="zh-CN"/>
      </w:rPr>
    </w:lvl>
    <w:lvl w:ilvl="2" w:tentative="0">
      <w:start w:val="0"/>
      <w:numFmt w:val="bullet"/>
      <w:lvlText w:val="•"/>
      <w:lvlJc w:val="left"/>
      <w:pPr>
        <w:ind w:left="1520" w:hanging="668"/>
      </w:pPr>
      <w:rPr>
        <w:rFonts w:hint="default"/>
        <w:lang w:val="zh-CN" w:eastAsia="zh-CN" w:bidi="zh-CN"/>
      </w:rPr>
    </w:lvl>
    <w:lvl w:ilvl="3" w:tentative="0">
      <w:start w:val="0"/>
      <w:numFmt w:val="bullet"/>
      <w:lvlText w:val="•"/>
      <w:lvlJc w:val="left"/>
      <w:pPr>
        <w:ind w:left="1540" w:hanging="668"/>
      </w:pPr>
      <w:rPr>
        <w:rFonts w:hint="default"/>
        <w:lang w:val="zh-CN" w:eastAsia="zh-CN" w:bidi="zh-CN"/>
      </w:rPr>
    </w:lvl>
    <w:lvl w:ilvl="4" w:tentative="0">
      <w:start w:val="0"/>
      <w:numFmt w:val="bullet"/>
      <w:lvlText w:val="•"/>
      <w:lvlJc w:val="left"/>
      <w:pPr>
        <w:ind w:left="2683" w:hanging="668"/>
      </w:pPr>
      <w:rPr>
        <w:rFonts w:hint="default"/>
        <w:lang w:val="zh-CN" w:eastAsia="zh-CN" w:bidi="zh-CN"/>
      </w:rPr>
    </w:lvl>
    <w:lvl w:ilvl="5" w:tentative="0">
      <w:start w:val="0"/>
      <w:numFmt w:val="bullet"/>
      <w:lvlText w:val="•"/>
      <w:lvlJc w:val="left"/>
      <w:pPr>
        <w:ind w:left="3827" w:hanging="668"/>
      </w:pPr>
      <w:rPr>
        <w:rFonts w:hint="default"/>
        <w:lang w:val="zh-CN" w:eastAsia="zh-CN" w:bidi="zh-CN"/>
      </w:rPr>
    </w:lvl>
    <w:lvl w:ilvl="6" w:tentative="0">
      <w:start w:val="0"/>
      <w:numFmt w:val="bullet"/>
      <w:lvlText w:val="•"/>
      <w:lvlJc w:val="left"/>
      <w:pPr>
        <w:ind w:left="4971" w:hanging="668"/>
      </w:pPr>
      <w:rPr>
        <w:rFonts w:hint="default"/>
        <w:lang w:val="zh-CN" w:eastAsia="zh-CN" w:bidi="zh-CN"/>
      </w:rPr>
    </w:lvl>
    <w:lvl w:ilvl="7" w:tentative="0">
      <w:start w:val="0"/>
      <w:numFmt w:val="bullet"/>
      <w:lvlText w:val="•"/>
      <w:lvlJc w:val="left"/>
      <w:pPr>
        <w:ind w:left="6114" w:hanging="668"/>
      </w:pPr>
      <w:rPr>
        <w:rFonts w:hint="default"/>
        <w:lang w:val="zh-CN" w:eastAsia="zh-CN" w:bidi="zh-CN"/>
      </w:rPr>
    </w:lvl>
    <w:lvl w:ilvl="8" w:tentative="0">
      <w:start w:val="0"/>
      <w:numFmt w:val="bullet"/>
      <w:lvlText w:val="•"/>
      <w:lvlJc w:val="left"/>
      <w:pPr>
        <w:ind w:left="7258" w:hanging="668"/>
      </w:pPr>
      <w:rPr>
        <w:rFonts w:hint="default"/>
        <w:lang w:val="zh-CN" w:eastAsia="zh-CN" w:bidi="zh-CN"/>
      </w:rPr>
    </w:lvl>
  </w:abstractNum>
  <w:abstractNum w:abstractNumId="14">
    <w:nsid w:val="29C6F235"/>
    <w:multiLevelType w:val="singleLevel"/>
    <w:tmpl w:val="29C6F235"/>
    <w:lvl w:ilvl="0" w:tentative="0">
      <w:start w:val="1"/>
      <w:numFmt w:val="decimal"/>
      <w:lvlText w:val="(%1)"/>
      <w:lvlJc w:val="left"/>
      <w:pPr>
        <w:ind w:left="425" w:hanging="425"/>
      </w:pPr>
      <w:rPr>
        <w:rFonts w:hint="default"/>
      </w:rPr>
    </w:lvl>
  </w:abstractNum>
  <w:abstractNum w:abstractNumId="15">
    <w:nsid w:val="48DE622F"/>
    <w:multiLevelType w:val="singleLevel"/>
    <w:tmpl w:val="48DE622F"/>
    <w:lvl w:ilvl="0" w:tentative="0">
      <w:start w:val="1"/>
      <w:numFmt w:val="decimal"/>
      <w:lvlText w:val="(%1)"/>
      <w:lvlJc w:val="left"/>
      <w:pPr>
        <w:ind w:left="425" w:hanging="425"/>
      </w:pPr>
      <w:rPr>
        <w:rFonts w:hint="default"/>
      </w:rPr>
    </w:lvl>
  </w:abstractNum>
  <w:abstractNum w:abstractNumId="16">
    <w:nsid w:val="5088E313"/>
    <w:multiLevelType w:val="singleLevel"/>
    <w:tmpl w:val="5088E313"/>
    <w:lvl w:ilvl="0" w:tentative="0">
      <w:start w:val="1"/>
      <w:numFmt w:val="decimal"/>
      <w:lvlText w:val="(%1)"/>
      <w:lvlJc w:val="left"/>
      <w:pPr>
        <w:ind w:left="425" w:hanging="425"/>
      </w:pPr>
      <w:rPr>
        <w:rFonts w:hint="default"/>
      </w:rPr>
    </w:lvl>
  </w:abstractNum>
  <w:abstractNum w:abstractNumId="17">
    <w:nsid w:val="6FDC59B2"/>
    <w:multiLevelType w:val="singleLevel"/>
    <w:tmpl w:val="6FDC59B2"/>
    <w:lvl w:ilvl="0" w:tentative="0">
      <w:start w:val="1"/>
      <w:numFmt w:val="decimal"/>
      <w:lvlText w:val="(%1)"/>
      <w:lvlJc w:val="left"/>
      <w:pPr>
        <w:ind w:left="425" w:hanging="425"/>
      </w:pPr>
      <w:rPr>
        <w:rFonts w:hint="default"/>
      </w:rPr>
    </w:lvl>
  </w:abstractNum>
  <w:abstractNum w:abstractNumId="18">
    <w:nsid w:val="73B4078A"/>
    <w:multiLevelType w:val="singleLevel"/>
    <w:tmpl w:val="73B4078A"/>
    <w:lvl w:ilvl="0" w:tentative="0">
      <w:start w:val="1"/>
      <w:numFmt w:val="decimal"/>
      <w:lvlText w:val="(%1)"/>
      <w:lvlJc w:val="left"/>
      <w:pPr>
        <w:ind w:left="425" w:hanging="425"/>
      </w:pPr>
      <w:rPr>
        <w:rFonts w:hint="default"/>
      </w:rPr>
    </w:lvl>
  </w:abstractNum>
  <w:num w:numId="1">
    <w:abstractNumId w:val="9"/>
  </w:num>
  <w:num w:numId="2">
    <w:abstractNumId w:val="13"/>
  </w:num>
  <w:num w:numId="3">
    <w:abstractNumId w:val="4"/>
  </w:num>
  <w:num w:numId="4">
    <w:abstractNumId w:val="6"/>
  </w:num>
  <w:num w:numId="5">
    <w:abstractNumId w:val="10"/>
  </w:num>
  <w:num w:numId="6">
    <w:abstractNumId w:val="11"/>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4"/>
  </w:num>
  <w:num w:numId="10">
    <w:abstractNumId w:val="17"/>
  </w:num>
  <w:num w:numId="11">
    <w:abstractNumId w:val="8"/>
  </w:num>
  <w:num w:numId="12">
    <w:abstractNumId w:val="7"/>
  </w:num>
  <w:num w:numId="13">
    <w:abstractNumId w:val="15"/>
  </w:num>
  <w:num w:numId="14">
    <w:abstractNumId w:val="2"/>
  </w:num>
  <w:num w:numId="15">
    <w:abstractNumId w:val="0"/>
  </w:num>
  <w:num w:numId="16">
    <w:abstractNumId w:val="16"/>
  </w:num>
  <w:num w:numId="17">
    <w:abstractNumId w:val="1"/>
  </w:num>
  <w:num w:numId="18">
    <w:abstractNumId w:val="18"/>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lMTI0ZmZkNWVkNDk2ZTg4NWYwOTQyMjQxMmY4NGEifQ=="/>
  </w:docVars>
  <w:rsids>
    <w:rsidRoot w:val="763A0D49"/>
    <w:rsid w:val="004A0118"/>
    <w:rsid w:val="00852D06"/>
    <w:rsid w:val="01C06A52"/>
    <w:rsid w:val="03323B11"/>
    <w:rsid w:val="033D0830"/>
    <w:rsid w:val="039E28A6"/>
    <w:rsid w:val="04264A4E"/>
    <w:rsid w:val="07E420C5"/>
    <w:rsid w:val="0A206FC6"/>
    <w:rsid w:val="0A7A3748"/>
    <w:rsid w:val="0B0F7076"/>
    <w:rsid w:val="0B427277"/>
    <w:rsid w:val="0B9E2F75"/>
    <w:rsid w:val="0CC744AE"/>
    <w:rsid w:val="0EA57C00"/>
    <w:rsid w:val="11390CC3"/>
    <w:rsid w:val="12DA7FA2"/>
    <w:rsid w:val="131B3CEF"/>
    <w:rsid w:val="148F420B"/>
    <w:rsid w:val="14CF0F1A"/>
    <w:rsid w:val="15A02EE1"/>
    <w:rsid w:val="16BD2232"/>
    <w:rsid w:val="173813E7"/>
    <w:rsid w:val="18327351"/>
    <w:rsid w:val="18586EC6"/>
    <w:rsid w:val="18B27FCD"/>
    <w:rsid w:val="18D711A6"/>
    <w:rsid w:val="1B155B2F"/>
    <w:rsid w:val="1C9978D9"/>
    <w:rsid w:val="1D37732E"/>
    <w:rsid w:val="1D425136"/>
    <w:rsid w:val="1E131901"/>
    <w:rsid w:val="1F991729"/>
    <w:rsid w:val="20906388"/>
    <w:rsid w:val="213651FD"/>
    <w:rsid w:val="21F84291"/>
    <w:rsid w:val="230B61EC"/>
    <w:rsid w:val="23742F7F"/>
    <w:rsid w:val="23ED51CE"/>
    <w:rsid w:val="24360FA9"/>
    <w:rsid w:val="24CD33DD"/>
    <w:rsid w:val="26B04119"/>
    <w:rsid w:val="28BF0C3D"/>
    <w:rsid w:val="296D6A6A"/>
    <w:rsid w:val="29D0022B"/>
    <w:rsid w:val="2A09587D"/>
    <w:rsid w:val="2A355796"/>
    <w:rsid w:val="2A9A4B8E"/>
    <w:rsid w:val="2B6672DE"/>
    <w:rsid w:val="2D1309C0"/>
    <w:rsid w:val="2D6A720A"/>
    <w:rsid w:val="2E436B76"/>
    <w:rsid w:val="2E616D63"/>
    <w:rsid w:val="2EF225F0"/>
    <w:rsid w:val="2FAA20E8"/>
    <w:rsid w:val="30E5557B"/>
    <w:rsid w:val="311B6376"/>
    <w:rsid w:val="31E51E5B"/>
    <w:rsid w:val="34407703"/>
    <w:rsid w:val="34D33075"/>
    <w:rsid w:val="34EE2510"/>
    <w:rsid w:val="356E0F01"/>
    <w:rsid w:val="35BD5F75"/>
    <w:rsid w:val="362C3ED5"/>
    <w:rsid w:val="37613D3F"/>
    <w:rsid w:val="37783D56"/>
    <w:rsid w:val="382F30A5"/>
    <w:rsid w:val="38F903CA"/>
    <w:rsid w:val="393C7CA9"/>
    <w:rsid w:val="397007FB"/>
    <w:rsid w:val="3A570D41"/>
    <w:rsid w:val="3A9641E0"/>
    <w:rsid w:val="3AFA3FC5"/>
    <w:rsid w:val="3D244022"/>
    <w:rsid w:val="3E393271"/>
    <w:rsid w:val="3ECE46FD"/>
    <w:rsid w:val="40BB2FAE"/>
    <w:rsid w:val="4194291F"/>
    <w:rsid w:val="43947B72"/>
    <w:rsid w:val="44091C98"/>
    <w:rsid w:val="45122590"/>
    <w:rsid w:val="454C7355"/>
    <w:rsid w:val="465D4839"/>
    <w:rsid w:val="47857F5B"/>
    <w:rsid w:val="47D2661F"/>
    <w:rsid w:val="49DF33EA"/>
    <w:rsid w:val="4B052C52"/>
    <w:rsid w:val="4B5B70B0"/>
    <w:rsid w:val="4B974E83"/>
    <w:rsid w:val="4C2A4B3A"/>
    <w:rsid w:val="4C330397"/>
    <w:rsid w:val="4CBA26D3"/>
    <w:rsid w:val="4D2A61CE"/>
    <w:rsid w:val="4D8D21C5"/>
    <w:rsid w:val="4DFD74DB"/>
    <w:rsid w:val="50103F6A"/>
    <w:rsid w:val="506670FA"/>
    <w:rsid w:val="50702023"/>
    <w:rsid w:val="50733434"/>
    <w:rsid w:val="50A00B36"/>
    <w:rsid w:val="50E3562A"/>
    <w:rsid w:val="523C273B"/>
    <w:rsid w:val="53F81BFF"/>
    <w:rsid w:val="540C31B8"/>
    <w:rsid w:val="541014D6"/>
    <w:rsid w:val="54A7396C"/>
    <w:rsid w:val="54B9321E"/>
    <w:rsid w:val="54C2155F"/>
    <w:rsid w:val="56B14DF2"/>
    <w:rsid w:val="587A040F"/>
    <w:rsid w:val="58F35CC4"/>
    <w:rsid w:val="5B4B6686"/>
    <w:rsid w:val="5C2C6414"/>
    <w:rsid w:val="5D9A4950"/>
    <w:rsid w:val="5E8D44C8"/>
    <w:rsid w:val="5EC87BBA"/>
    <w:rsid w:val="5F2936B7"/>
    <w:rsid w:val="5FE706FC"/>
    <w:rsid w:val="60513980"/>
    <w:rsid w:val="60B53D61"/>
    <w:rsid w:val="613640D7"/>
    <w:rsid w:val="619A27AF"/>
    <w:rsid w:val="62637FA6"/>
    <w:rsid w:val="639F0FDD"/>
    <w:rsid w:val="63F01CE8"/>
    <w:rsid w:val="652D26CE"/>
    <w:rsid w:val="65A725F8"/>
    <w:rsid w:val="660B6D44"/>
    <w:rsid w:val="67350B38"/>
    <w:rsid w:val="6755413E"/>
    <w:rsid w:val="69105FF8"/>
    <w:rsid w:val="694D5757"/>
    <w:rsid w:val="6B19154D"/>
    <w:rsid w:val="6B7F57D8"/>
    <w:rsid w:val="6BF22B0F"/>
    <w:rsid w:val="6C8E67D3"/>
    <w:rsid w:val="6CEF7A16"/>
    <w:rsid w:val="6D6E72F5"/>
    <w:rsid w:val="6D783BFD"/>
    <w:rsid w:val="6DA82FBA"/>
    <w:rsid w:val="6EF3228E"/>
    <w:rsid w:val="711015FD"/>
    <w:rsid w:val="712034AA"/>
    <w:rsid w:val="712268E3"/>
    <w:rsid w:val="71AC2274"/>
    <w:rsid w:val="74C72FFD"/>
    <w:rsid w:val="75014D90"/>
    <w:rsid w:val="75DC4111"/>
    <w:rsid w:val="762B6FB3"/>
    <w:rsid w:val="763A0D49"/>
    <w:rsid w:val="784F3512"/>
    <w:rsid w:val="7C3528C0"/>
    <w:rsid w:val="7CBF13DB"/>
    <w:rsid w:val="7CE872A0"/>
    <w:rsid w:val="7CFD5C23"/>
    <w:rsid w:val="7ED97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after="0" w:line="600" w:lineRule="exact"/>
      <w:ind w:left="0" w:right="0" w:firstLine="643" w:firstLineChars="200"/>
      <w:jc w:val="left"/>
    </w:pPr>
    <w:rPr>
      <w:rFonts w:ascii="方正仿宋_GBK" w:hAnsi="方正仿宋_GBK" w:eastAsia="方正仿宋_GBK" w:cs="方正仿宋_GBK"/>
      <w:sz w:val="32"/>
      <w:szCs w:val="22"/>
      <w:lang w:val="zh-CN" w:eastAsia="zh-CN" w:bidi="zh-CN"/>
    </w:rPr>
  </w:style>
  <w:style w:type="paragraph" w:styleId="3">
    <w:name w:val="heading 1"/>
    <w:basedOn w:val="1"/>
    <w:next w:val="1"/>
    <w:qFormat/>
    <w:uiPriority w:val="0"/>
    <w:pPr>
      <w:keepNext/>
      <w:keepLines/>
      <w:numPr>
        <w:ilvl w:val="0"/>
        <w:numId w:val="1"/>
      </w:numPr>
      <w:spacing w:before="80" w:beforeAutospacing="0" w:afterLines="0" w:afterAutospacing="0" w:line="240" w:lineRule="auto"/>
      <w:ind w:left="432" w:hanging="432" w:firstLineChars="0"/>
      <w:outlineLvl w:val="0"/>
    </w:pPr>
    <w:rPr>
      <w:rFonts w:asciiTheme="minorAscii" w:hAnsiTheme="minorAscii"/>
      <w:b/>
      <w:kern w:val="44"/>
    </w:rPr>
  </w:style>
  <w:style w:type="paragraph" w:styleId="2">
    <w:name w:val="heading 2"/>
    <w:basedOn w:val="1"/>
    <w:next w:val="1"/>
    <w:unhideWhenUsed/>
    <w:qFormat/>
    <w:uiPriority w:val="0"/>
    <w:pPr>
      <w:keepNext/>
      <w:keepLines/>
      <w:numPr>
        <w:ilvl w:val="1"/>
        <w:numId w:val="1"/>
      </w:numPr>
      <w:spacing w:before="80" w:beforeLines="0" w:beforeAutospacing="0" w:afterLines="0" w:afterAutospacing="0" w:line="440" w:lineRule="exact"/>
      <w:ind w:left="573" w:hanging="573" w:firstLineChars="0"/>
      <w:outlineLvl w:val="1"/>
    </w:pPr>
    <w:rPr>
      <w:rFonts w:ascii="Arial" w:hAnsi="Arial"/>
    </w:rPr>
  </w:style>
  <w:style w:type="paragraph" w:styleId="4">
    <w:name w:val="heading 3"/>
    <w:basedOn w:val="1"/>
    <w:next w:val="1"/>
    <w:qFormat/>
    <w:uiPriority w:val="1"/>
    <w:pPr>
      <w:numPr>
        <w:ilvl w:val="2"/>
        <w:numId w:val="1"/>
      </w:numPr>
      <w:spacing w:before="78"/>
      <w:ind w:left="720" w:hanging="720" w:firstLineChars="0"/>
      <w:outlineLvl w:val="2"/>
    </w:pPr>
    <w:rPr>
      <w:bCs/>
      <w:szCs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2">
    <w:name w:val="Default Paragraph Font"/>
    <w:qFormat/>
    <w:uiPriority w:val="0"/>
    <w:rPr>
      <w:rFonts w:ascii="Calibri" w:hAnsi="Calibri" w:eastAsia="方正仿宋_GBK"/>
      <w:sz w:val="28"/>
    </w:rPr>
  </w:style>
  <w:style w:type="table" w:default="1" w:styleId="20">
    <w:name w:val="Normal Table"/>
    <w:semiHidden/>
    <w:qFormat/>
    <w:uiPriority w:val="0"/>
    <w:tblPr>
      <w:tblCellMar>
        <w:top w:w="0" w:type="dxa"/>
        <w:left w:w="108" w:type="dxa"/>
        <w:bottom w:w="0" w:type="dxa"/>
        <w:right w:w="108" w:type="dxa"/>
      </w:tblCellMar>
    </w:tblPr>
  </w:style>
  <w:style w:type="paragraph" w:styleId="11">
    <w:name w:val="Normal Indent"/>
    <w:basedOn w:val="1"/>
    <w:semiHidden/>
    <w:unhideWhenUsed/>
    <w:qFormat/>
    <w:uiPriority w:val="99"/>
    <w:pPr>
      <w:ind w:firstLine="420" w:firstLineChars="200"/>
    </w:pPr>
  </w:style>
  <w:style w:type="paragraph" w:styleId="12">
    <w:name w:val="caption"/>
    <w:basedOn w:val="1"/>
    <w:next w:val="1"/>
    <w:qFormat/>
    <w:uiPriority w:val="99"/>
    <w:pPr>
      <w:autoSpaceDE/>
      <w:autoSpaceDN/>
      <w:jc w:val="center"/>
    </w:pPr>
    <w:rPr>
      <w:rFonts w:hint="default" w:ascii="Times New Roman" w:hAnsi="Times New Roman" w:eastAsia="黑体"/>
      <w:b/>
      <w:kern w:val="2"/>
      <w:szCs w:val="21"/>
    </w:rPr>
  </w:style>
  <w:style w:type="paragraph" w:styleId="13">
    <w:name w:val="Body Text"/>
    <w:basedOn w:val="1"/>
    <w:qFormat/>
    <w:uiPriority w:val="0"/>
    <w:pPr>
      <w:spacing w:before="39"/>
      <w:ind w:left="111"/>
    </w:pPr>
    <w:rPr>
      <w:rFonts w:ascii="仿宋_GB2312" w:hAnsi="仿宋_GB2312" w:eastAsia="仿宋_GB2312" w:cs="Times New Roman"/>
      <w:sz w:val="30"/>
      <w:szCs w:val="30"/>
    </w:rPr>
  </w:style>
  <w:style w:type="paragraph" w:styleId="14">
    <w:name w:val="toc 3"/>
    <w:basedOn w:val="1"/>
    <w:next w:val="1"/>
    <w:uiPriority w:val="0"/>
    <w:pPr>
      <w:ind w:left="840" w:leftChars="400"/>
    </w:pPr>
  </w:style>
  <w:style w:type="paragraph" w:styleId="15">
    <w:name w:val="footer"/>
    <w:basedOn w:val="1"/>
    <w:unhideWhenUsed/>
    <w:qFormat/>
    <w:uiPriority w:val="99"/>
    <w:pPr>
      <w:tabs>
        <w:tab w:val="center" w:pos="4153"/>
        <w:tab w:val="right" w:pos="8306"/>
      </w:tabs>
      <w:snapToGrid w:val="0"/>
      <w:jc w:val="left"/>
    </w:pPr>
    <w:rPr>
      <w:sz w:val="18"/>
      <w:szCs w:val="18"/>
    </w:rPr>
  </w:style>
  <w:style w:type="paragraph" w:styleId="16">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toc 2"/>
    <w:basedOn w:val="1"/>
    <w:next w:val="1"/>
    <w:uiPriority w:val="0"/>
    <w:pPr>
      <w:ind w:left="420" w:leftChars="200"/>
    </w:pPr>
  </w:style>
  <w:style w:type="paragraph" w:styleId="19">
    <w:name w:val="Normal (Web)"/>
    <w:basedOn w:val="1"/>
    <w:unhideWhenUsed/>
    <w:qFormat/>
    <w:uiPriority w:val="99"/>
    <w:pPr>
      <w:widowControl/>
      <w:autoSpaceDE/>
      <w:autoSpaceDN/>
      <w:spacing w:before="100" w:beforeAutospacing="1" w:after="100" w:afterAutospacing="1"/>
    </w:pPr>
    <w:rPr>
      <w:rFonts w:hint="default" w:ascii="宋体" w:hAnsi="宋体" w:cs="宋体"/>
      <w:szCs w:val="24"/>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paragraph" w:styleId="24">
    <w:name w:val="List Paragraph"/>
    <w:basedOn w:val="1"/>
    <w:qFormat/>
    <w:uiPriority w:val="34"/>
    <w:pPr>
      <w:ind w:firstLine="420" w:firstLineChars="200"/>
    </w:pPr>
  </w:style>
  <w:style w:type="paragraph" w:customStyle="1" w:styleId="25">
    <w:name w:val="表格格式"/>
    <w:basedOn w:val="1"/>
    <w:link w:val="27"/>
    <w:qFormat/>
    <w:uiPriority w:val="99"/>
    <w:pPr>
      <w:autoSpaceDE/>
      <w:autoSpaceDN/>
      <w:adjustRightInd w:val="0"/>
      <w:snapToGrid w:val="0"/>
      <w:spacing w:line="240" w:lineRule="atLeast"/>
      <w:ind w:firstLine="0" w:firstLineChars="0"/>
      <w:jc w:val="center"/>
    </w:pPr>
    <w:rPr>
      <w:rFonts w:ascii="Times New Roman" w:hAnsi="Times New Roman"/>
      <w:kern w:val="2"/>
      <w:sz w:val="21"/>
      <w:szCs w:val="21"/>
    </w:rPr>
  </w:style>
  <w:style w:type="paragraph" w:customStyle="1" w:styleId="26">
    <w:name w:val="报告正文"/>
    <w:basedOn w:val="1"/>
    <w:qFormat/>
    <w:uiPriority w:val="99"/>
    <w:pPr>
      <w:autoSpaceDE/>
      <w:autoSpaceDN/>
      <w:spacing w:line="360" w:lineRule="auto"/>
      <w:ind w:firstLine="200" w:firstLineChars="200"/>
      <w:jc w:val="both"/>
      <w:textAlignment w:val="baseline"/>
    </w:pPr>
    <w:rPr>
      <w:rFonts w:hint="default" w:ascii="Times New Roman" w:hAnsi="Times New Roman"/>
      <w:kern w:val="2"/>
    </w:rPr>
  </w:style>
  <w:style w:type="character" w:customStyle="1" w:styleId="27">
    <w:name w:val="表格格式 Char"/>
    <w:link w:val="25"/>
    <w:qFormat/>
    <w:uiPriority w:val="99"/>
    <w:rPr>
      <w:rFonts w:ascii="Times New Roman" w:hAnsi="Times New Roman"/>
      <w:kern w:val="2"/>
      <w:sz w:val="21"/>
      <w:szCs w:val="21"/>
    </w:rPr>
  </w:style>
  <w:style w:type="paragraph" w:customStyle="1" w:styleId="28">
    <w:name w:val="表格"/>
    <w:basedOn w:val="11"/>
    <w:qFormat/>
    <w:uiPriority w:val="0"/>
    <w:pPr>
      <w:autoSpaceDE/>
      <w:autoSpaceDN/>
      <w:spacing w:line="360" w:lineRule="auto"/>
      <w:ind w:firstLine="0" w:firstLineChars="0"/>
      <w:jc w:val="center"/>
    </w:pPr>
    <w:rPr>
      <w:rFonts w:hint="default" w:ascii="宋体" w:hAnsi="宋体" w:cstheme="minorBidi"/>
      <w:b/>
      <w:kern w:val="2"/>
      <w:sz w:val="28"/>
      <w:szCs w:val="28"/>
    </w:rPr>
  </w:style>
  <w:style w:type="character" w:customStyle="1" w:styleId="29">
    <w:name w:val="font31"/>
    <w:basedOn w:val="22"/>
    <w:qFormat/>
    <w:uiPriority w:val="0"/>
    <w:rPr>
      <w:rFonts w:ascii="方正仿宋_GBK" w:hAnsi="方正仿宋_GBK" w:eastAsia="方正仿宋_GBK" w:cs="方正仿宋_GBK"/>
      <w:color w:val="000000"/>
      <w:sz w:val="21"/>
      <w:szCs w:val="21"/>
      <w:u w:val="none"/>
    </w:rPr>
  </w:style>
  <w:style w:type="character" w:customStyle="1" w:styleId="30">
    <w:name w:val="font21"/>
    <w:basedOn w:val="22"/>
    <w:qFormat/>
    <w:uiPriority w:val="0"/>
    <w:rPr>
      <w:rFonts w:hint="eastAsia" w:ascii="宋体" w:hAnsi="宋体" w:eastAsia="宋体" w:cs="宋体"/>
      <w:color w:val="000000"/>
      <w:sz w:val="21"/>
      <w:szCs w:val="21"/>
      <w:u w:val="none"/>
    </w:rPr>
  </w:style>
  <w:style w:type="character" w:customStyle="1" w:styleId="31">
    <w:name w:val="font11"/>
    <w:basedOn w:val="22"/>
    <w:qFormat/>
    <w:uiPriority w:val="0"/>
    <w:rPr>
      <w:rFonts w:hint="default" w:ascii="Times New Roman" w:hAnsi="Times New Roman" w:cs="Times New Roman"/>
      <w:color w:val="000000"/>
      <w:sz w:val="21"/>
      <w:szCs w:val="21"/>
      <w:u w:val="none"/>
      <w:vertAlign w:val="subscript"/>
    </w:rPr>
  </w:style>
  <w:style w:type="paragraph" w:customStyle="1" w:styleId="32">
    <w:name w:val="Table Paragraph"/>
    <w:basedOn w:val="1"/>
    <w:qFormat/>
    <w:uiPriority w:val="1"/>
    <w:pPr>
      <w:spacing w:line="240" w:lineRule="exact"/>
    </w:pPr>
    <w:rPr>
      <w:rFonts w:ascii="仿宋" w:hAnsi="仿宋" w:eastAsia="仿宋_GB2312" w:cs="仿宋"/>
      <w:sz w:val="21"/>
    </w:rPr>
  </w:style>
  <w:style w:type="paragraph" w:customStyle="1" w:styleId="33">
    <w:name w:val="WPSOffice手动目录 1"/>
    <w:uiPriority w:val="0"/>
    <w:pPr>
      <w:ind w:leftChars="0"/>
    </w:pPr>
    <w:rPr>
      <w:rFonts w:ascii="Times New Roman" w:hAnsi="Times New Roman" w:eastAsia="宋体" w:cs="Times New Roman"/>
      <w:sz w:val="20"/>
      <w:szCs w:val="20"/>
    </w:rPr>
  </w:style>
  <w:style w:type="paragraph" w:customStyle="1" w:styleId="34">
    <w:name w:val="WPSOffice手动目录 2"/>
    <w:uiPriority w:val="0"/>
    <w:pPr>
      <w:ind w:leftChars="200"/>
    </w:pPr>
    <w:rPr>
      <w:rFonts w:ascii="Times New Roman" w:hAnsi="Times New Roman" w:eastAsia="宋体" w:cs="Times New Roman"/>
      <w:sz w:val="20"/>
      <w:szCs w:val="20"/>
    </w:rPr>
  </w:style>
  <w:style w:type="paragraph" w:customStyle="1" w:styleId="3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2021-05-14T13:18:00Z</dcterms:created>
  <dc:creator>雄风过江</dc:creator>
  <cp:lastModifiedBy>温星星</cp:lastModifiedBy>
  <dcterms:modified xsi:type="dcterms:W3CDTF">2023-09-26T01:57:11Z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C9EE8BF6336F4359891B58DABB291A1F</vt:lpwstr>
  </property>
  <property fmtid="{D5CDD505-2E9C-101B-9397-08002B2CF9AE}" pid="4" name="KSOSaveFontToCloudKey">
    <vt:lpwstr>249962136_cloud</vt:lpwstr>
  </property>
</Properties>
</file>