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596"/>
        <w:ind w:right="0" w:left="0" w:firstLine="0"/>
        <w:jc w:val="center"/>
        <w:rPr>
          <w:rFonts w:ascii="方正小标宋_GBK" w:hAnsi="方正小标宋_GBK" w:cs="方正小标宋_GBK" w:eastAsia="方正小标宋_GBK"/>
          <w:color w:val="auto"/>
          <w:spacing w:val="0"/>
          <w:position w:val="0"/>
          <w:sz w:val="44"/>
          <w:shd w:fill="auto" w:val="clear"/>
        </w:rPr>
      </w:pPr>
      <w:r>
        <w:rPr>
          <w:rFonts w:ascii="宋体" w:hAnsi="宋体" w:cs="宋体" w:eastAsia="宋体"/>
          <w:color w:val="auto"/>
          <w:spacing w:val="0"/>
          <w:position w:val="0"/>
          <w:sz w:val="44"/>
          <w:shd w:fill="auto" w:val="clear"/>
        </w:rPr>
        <w:t xml:space="preserve">丰都县第一小学校</w:t>
      </w:r>
    </w:p>
    <w:p>
      <w:pPr>
        <w:spacing w:before="0" w:after="0" w:line="596"/>
        <w:ind w:right="0" w:left="0" w:firstLine="0"/>
        <w:jc w:val="center"/>
        <w:rPr>
          <w:rFonts w:ascii="方正小标宋_GBK" w:hAnsi="方正小标宋_GBK" w:cs="方正小标宋_GBK" w:eastAsia="方正小标宋_GBK"/>
          <w:color w:val="auto"/>
          <w:spacing w:val="0"/>
          <w:position w:val="0"/>
          <w:sz w:val="44"/>
          <w:shd w:fill="FFFFFF" w:val="clear"/>
        </w:rPr>
      </w:pPr>
      <w:r>
        <w:rPr>
          <w:rFonts w:ascii="Times New Roman" w:hAnsi="Times New Roman" w:cs="Times New Roman" w:eastAsia="Times New Roman"/>
          <w:color w:val="auto"/>
          <w:spacing w:val="0"/>
          <w:position w:val="0"/>
          <w:sz w:val="44"/>
          <w:shd w:fill="FFFFFF" w:val="clear"/>
        </w:rPr>
        <w:t xml:space="preserve">2024</w:t>
      </w:r>
      <w:r>
        <w:rPr>
          <w:rFonts w:ascii="宋体" w:hAnsi="宋体" w:cs="宋体" w:eastAsia="宋体"/>
          <w:color w:val="auto"/>
          <w:spacing w:val="0"/>
          <w:position w:val="0"/>
          <w:sz w:val="44"/>
          <w:shd w:fill="FFFFFF" w:val="clear"/>
        </w:rPr>
        <w:t xml:space="preserve">年度决算公开说明</w:t>
      </w:r>
    </w:p>
    <w:p>
      <w:pPr>
        <w:spacing w:before="100" w:after="100" w:line="240"/>
        <w:ind w:right="0" w:left="0" w:firstLine="0"/>
        <w:jc w:val="left"/>
        <w:rPr>
          <w:rFonts w:ascii="黑体" w:hAnsi="黑体" w:cs="黑体" w:eastAsia="黑体"/>
          <w:color w:val="auto"/>
          <w:spacing w:val="0"/>
          <w:position w:val="0"/>
          <w:sz w:val="32"/>
          <w:shd w:fill="FFFFFF" w:val="clear"/>
        </w:rPr>
      </w:pPr>
      <w:r>
        <w:rPr>
          <w:rFonts w:ascii="黑体" w:hAnsi="黑体" w:cs="黑体" w:eastAsia="黑体"/>
          <w:b/>
          <w:color w:val="auto"/>
          <w:spacing w:val="0"/>
          <w:position w:val="0"/>
          <w:sz w:val="32"/>
          <w:shd w:fill="FFFFFF" w:val="clear"/>
        </w:rPr>
        <w:t xml:space="preserve">一、单位基本情况</w:t>
      </w:r>
    </w:p>
    <w:p>
      <w:pPr>
        <w:spacing w:before="100" w:after="100" w:line="240"/>
        <w:ind w:right="0" w:left="0" w:firstLine="420"/>
        <w:jc w:val="left"/>
        <w:rPr>
          <w:rFonts w:ascii="方正仿宋_GBK" w:hAnsi="方正仿宋_GBK" w:cs="方正仿宋_GBK" w:eastAsia="方正仿宋_GBK"/>
          <w:color w:val="auto"/>
          <w:spacing w:val="0"/>
          <w:position w:val="0"/>
          <w:sz w:val="32"/>
          <w:shd w:fill="FFFFFF" w:val="clear"/>
        </w:rPr>
      </w:pPr>
      <w:r>
        <w:rPr>
          <w:rFonts w:ascii="楷体" w:hAnsi="楷体" w:cs="楷体" w:eastAsia="楷体"/>
          <w:b/>
          <w:color w:val="auto"/>
          <w:spacing w:val="0"/>
          <w:position w:val="0"/>
          <w:sz w:val="32"/>
          <w:shd w:fill="FFFFFF" w:val="clear"/>
        </w:rPr>
        <w:t xml:space="preserve">（一）职能职责</w:t>
      </w:r>
    </w:p>
    <w:p>
      <w:pPr>
        <w:spacing w:before="0" w:after="0" w:line="560"/>
        <w:ind w:right="0" w:left="0" w:firstLine="640"/>
        <w:jc w:val="left"/>
        <w:rPr>
          <w:rFonts w:ascii="方正仿宋_GBK" w:hAnsi="方正仿宋_GBK" w:cs="方正仿宋_GBK" w:eastAsia="方正仿宋_GBK"/>
          <w:color w:val="333333"/>
          <w:spacing w:val="0"/>
          <w:position w:val="0"/>
          <w:sz w:val="32"/>
          <w:shd w:fill="FFFFFF" w:val="clear"/>
        </w:rPr>
      </w:pPr>
      <w:r>
        <w:rPr>
          <w:rFonts w:ascii="宋体" w:hAnsi="宋体" w:cs="宋体" w:eastAsia="宋体"/>
          <w:color w:val="333333"/>
          <w:spacing w:val="0"/>
          <w:position w:val="0"/>
          <w:sz w:val="32"/>
          <w:shd w:fill="FFFFFF" w:val="clear"/>
        </w:rPr>
        <w:t xml:space="preserve">实施小学义务教育</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促进基础教育发展。承担辖区内小学义务教育</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推进课程改革和教法学法改革</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提高学生综合素质</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培养学生多样化发展</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培养学生良好品德</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从事小学义务教育及学前教育的相关社会服务。</w:t>
      </w:r>
    </w:p>
    <w:p>
      <w:pPr>
        <w:spacing w:before="100" w:after="100" w:line="240"/>
        <w:ind w:right="0" w:left="0" w:firstLine="420"/>
        <w:jc w:val="left"/>
        <w:rPr>
          <w:rFonts w:ascii="楷体" w:hAnsi="楷体" w:cs="楷体" w:eastAsia="楷体"/>
          <w:color w:val="auto"/>
          <w:spacing w:val="0"/>
          <w:position w:val="0"/>
          <w:sz w:val="32"/>
          <w:shd w:fill="FFFFFF" w:val="clear"/>
        </w:rPr>
      </w:pPr>
      <w:r>
        <w:rPr>
          <w:rFonts w:ascii="楷体" w:hAnsi="楷体" w:cs="楷体" w:eastAsia="楷体"/>
          <w:b/>
          <w:color w:val="auto"/>
          <w:spacing w:val="0"/>
          <w:position w:val="0"/>
          <w:sz w:val="32"/>
          <w:shd w:fill="FFFFFF" w:val="clear"/>
        </w:rPr>
        <w:t xml:space="preserve">（二）机构设置</w:t>
      </w:r>
    </w:p>
    <w:p>
      <w:pPr>
        <w:spacing w:before="0" w:after="0" w:line="560"/>
        <w:ind w:right="0" w:left="0" w:firstLine="640"/>
        <w:jc w:val="left"/>
        <w:rPr>
          <w:rFonts w:ascii="方正仿宋_GBK" w:hAnsi="方正仿宋_GBK" w:cs="方正仿宋_GBK" w:eastAsia="方正仿宋_GBK"/>
          <w:color w:val="333333"/>
          <w:spacing w:val="0"/>
          <w:position w:val="0"/>
          <w:sz w:val="32"/>
          <w:shd w:fill="FFFFFF" w:val="clear"/>
        </w:rPr>
      </w:pPr>
      <w:r>
        <w:rPr>
          <w:rFonts w:ascii="宋体" w:hAnsi="宋体" w:cs="宋体" w:eastAsia="宋体"/>
          <w:color w:val="333333"/>
          <w:spacing w:val="0"/>
          <w:position w:val="0"/>
          <w:sz w:val="32"/>
          <w:shd w:fill="FFFFFF" w:val="clear"/>
        </w:rPr>
        <w:t xml:space="preserve">学校设有办公室、德育处、教导处、教科室、总务处、安全保卫科、信息中心、附属幼儿园。</w:t>
      </w:r>
    </w:p>
    <w:p>
      <w:pPr>
        <w:spacing w:before="100" w:after="100" w:line="240"/>
        <w:ind w:right="0" w:left="0" w:firstLine="0"/>
        <w:jc w:val="left"/>
        <w:rPr>
          <w:rFonts w:ascii="黑体" w:hAnsi="黑体" w:cs="黑体" w:eastAsia="黑体"/>
          <w:b/>
          <w:color w:val="auto"/>
          <w:spacing w:val="0"/>
          <w:position w:val="0"/>
          <w:sz w:val="32"/>
          <w:shd w:fill="FFFFFF" w:val="clear"/>
        </w:rPr>
      </w:pPr>
      <w:r>
        <w:rPr>
          <w:rFonts w:ascii="黑体" w:hAnsi="黑体" w:cs="黑体" w:eastAsia="黑体"/>
          <w:b/>
          <w:color w:val="auto"/>
          <w:spacing w:val="0"/>
          <w:position w:val="0"/>
          <w:sz w:val="32"/>
          <w:shd w:fill="FFFFFF" w:val="clear"/>
        </w:rPr>
        <w:t xml:space="preserve">二、单位决算情况说明</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（一）收入支出决算总体情况说明。</w:t>
      </w:r>
    </w:p>
    <w:p>
      <w:pPr>
        <w:spacing w:before="0" w:after="0" w:line="596"/>
        <w:ind w:right="0" w:left="0" w:firstLine="640"/>
        <w:jc w:val="both"/>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b/>
          <w:color w:val="auto"/>
          <w:spacing w:val="0"/>
          <w:position w:val="0"/>
          <w:sz w:val="32"/>
          <w:shd w:fill="FFFFFF" w:val="clear"/>
        </w:rPr>
        <w:t xml:space="preserve">1.</w:t>
      </w:r>
      <w:r>
        <w:rPr>
          <w:rFonts w:ascii="宋体" w:hAnsi="宋体" w:cs="宋体" w:eastAsia="宋体"/>
          <w:b/>
          <w:color w:val="auto"/>
          <w:spacing w:val="0"/>
          <w:position w:val="0"/>
          <w:sz w:val="32"/>
          <w:shd w:fill="FFFFFF" w:val="clear"/>
        </w:rPr>
        <w:t xml:space="preserve">总体情况。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年度收、支总计均为</w:t>
      </w:r>
      <w:r>
        <w:rPr>
          <w:rFonts w:ascii="Times New Roman" w:hAnsi="Times New Roman" w:cs="Times New Roman" w:eastAsia="Times New Roman"/>
          <w:color w:val="auto"/>
          <w:spacing w:val="0"/>
          <w:position w:val="0"/>
          <w:sz w:val="32"/>
          <w:shd w:fill="FFFFFF" w:val="clear"/>
        </w:rPr>
        <w:t xml:space="preserve">7209.77</w:t>
      </w:r>
      <w:r>
        <w:rPr>
          <w:rFonts w:ascii="宋体" w:hAnsi="宋体" w:cs="宋体" w:eastAsia="宋体"/>
          <w:color w:val="auto"/>
          <w:spacing w:val="0"/>
          <w:position w:val="0"/>
          <w:sz w:val="32"/>
          <w:shd w:fill="FFFFFF" w:val="clear"/>
        </w:rPr>
        <w:t xml:space="preserve">万元。收、支与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131.14</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1.8%</w:t>
      </w:r>
      <w:r>
        <w:rPr>
          <w:rFonts w:ascii="宋体" w:hAnsi="宋体" w:cs="宋体" w:eastAsia="宋体"/>
          <w:color w:val="auto"/>
          <w:spacing w:val="0"/>
          <w:position w:val="0"/>
          <w:sz w:val="32"/>
          <w:shd w:fill="FFFFFF" w:val="clear"/>
        </w:rPr>
        <w:t xml:space="preserve">，主要原因本年度项目支出较上年度有所减少。</w:t>
      </w:r>
    </w:p>
    <w:p>
      <w:pPr>
        <w:spacing w:before="0" w:after="0" w:line="596"/>
        <w:ind w:right="0" w:left="0" w:firstLine="640"/>
        <w:jc w:val="both"/>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b/>
          <w:color w:val="auto"/>
          <w:spacing w:val="0"/>
          <w:position w:val="0"/>
          <w:sz w:val="32"/>
          <w:shd w:fill="FFFFFF" w:val="clear"/>
        </w:rPr>
        <w:t xml:space="preserve">2.</w:t>
      </w:r>
      <w:r>
        <w:rPr>
          <w:rFonts w:ascii="宋体" w:hAnsi="宋体" w:cs="宋体" w:eastAsia="宋体"/>
          <w:b/>
          <w:color w:val="auto"/>
          <w:spacing w:val="0"/>
          <w:position w:val="0"/>
          <w:sz w:val="32"/>
          <w:shd w:fill="FFFFFF" w:val="clear"/>
        </w:rPr>
        <w:t xml:space="preserve">收入情况。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年度收入合计</w:t>
      </w:r>
      <w:r>
        <w:rPr>
          <w:rFonts w:ascii="Times New Roman" w:hAnsi="Times New Roman" w:cs="Times New Roman" w:eastAsia="Times New Roman"/>
          <w:color w:val="auto"/>
          <w:spacing w:val="0"/>
          <w:position w:val="0"/>
          <w:sz w:val="32"/>
          <w:shd w:fill="FFFFFF" w:val="clear"/>
        </w:rPr>
        <w:t xml:space="preserve">7013.32</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66.12</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1.0%</w:t>
      </w:r>
      <w:r>
        <w:rPr>
          <w:rFonts w:ascii="宋体" w:hAnsi="宋体" w:cs="宋体" w:eastAsia="宋体"/>
          <w:color w:val="auto"/>
          <w:spacing w:val="0"/>
          <w:position w:val="0"/>
          <w:sz w:val="32"/>
          <w:shd w:fill="FFFFFF" w:val="clear"/>
        </w:rPr>
        <w:t xml:space="preserve">，主要原因是人员工资调整和超额绩效增加和</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年度超额绩效纳入养老保险和职业年金等原因。其中：财政拨款收入</w:t>
      </w:r>
      <w:r>
        <w:rPr>
          <w:rFonts w:ascii="Times New Roman" w:hAnsi="Times New Roman" w:cs="Times New Roman" w:eastAsia="Times New Roman"/>
          <w:color w:val="auto"/>
          <w:spacing w:val="0"/>
          <w:position w:val="0"/>
          <w:sz w:val="32"/>
          <w:shd w:fill="FFFFFF" w:val="clear"/>
        </w:rPr>
        <w:t xml:space="preserve">6152.27</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87.7%</w:t>
      </w:r>
      <w:r>
        <w:rPr>
          <w:rFonts w:ascii="宋体" w:hAnsi="宋体" w:cs="宋体" w:eastAsia="宋体"/>
          <w:color w:val="auto"/>
          <w:spacing w:val="0"/>
          <w:position w:val="0"/>
          <w:sz w:val="32"/>
          <w:shd w:fill="FFFFFF" w:val="clear"/>
        </w:rPr>
        <w:t xml:space="preserve">；事业收入</w:t>
      </w:r>
      <w:r>
        <w:rPr>
          <w:rFonts w:ascii="Times New Roman" w:hAnsi="Times New Roman" w:cs="Times New Roman" w:eastAsia="Times New Roman"/>
          <w:color w:val="auto"/>
          <w:spacing w:val="0"/>
          <w:position w:val="0"/>
          <w:sz w:val="32"/>
          <w:shd w:fill="FFFFFF" w:val="clear"/>
        </w:rPr>
        <w:t xml:space="preserve">235.44</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3.4%</w:t>
      </w:r>
      <w:r>
        <w:rPr>
          <w:rFonts w:ascii="宋体" w:hAnsi="宋体" w:cs="宋体" w:eastAsia="宋体"/>
          <w:color w:val="auto"/>
          <w:spacing w:val="0"/>
          <w:position w:val="0"/>
          <w:sz w:val="32"/>
          <w:shd w:fill="FFFFFF" w:val="clear"/>
        </w:rPr>
        <w:t xml:space="preserve">；经营收入</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0.0%</w:t>
      </w:r>
      <w:r>
        <w:rPr>
          <w:rFonts w:ascii="宋体" w:hAnsi="宋体" w:cs="宋体" w:eastAsia="宋体"/>
          <w:color w:val="auto"/>
          <w:spacing w:val="0"/>
          <w:position w:val="0"/>
          <w:sz w:val="32"/>
          <w:shd w:fill="FFFFFF" w:val="clear"/>
        </w:rPr>
        <w:t xml:space="preserve">；其他收入</w:t>
      </w:r>
      <w:r>
        <w:rPr>
          <w:rFonts w:ascii="Times New Roman" w:hAnsi="Times New Roman" w:cs="Times New Roman" w:eastAsia="Times New Roman"/>
          <w:color w:val="auto"/>
          <w:spacing w:val="0"/>
          <w:position w:val="0"/>
          <w:sz w:val="32"/>
          <w:shd w:fill="FFFFFF" w:val="clear"/>
        </w:rPr>
        <w:t xml:space="preserve">625.60</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8.9%</w:t>
      </w:r>
      <w:r>
        <w:rPr>
          <w:rFonts w:ascii="宋体" w:hAnsi="宋体" w:cs="宋体" w:eastAsia="宋体"/>
          <w:color w:val="auto"/>
          <w:spacing w:val="0"/>
          <w:position w:val="0"/>
          <w:sz w:val="32"/>
          <w:shd w:fill="FFFFFF" w:val="clear"/>
        </w:rPr>
        <w:t xml:space="preserve">。此外，使用非财政拨款结余（含专用结余）</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万元，年初结转和结余</w:t>
      </w:r>
      <w:r>
        <w:rPr>
          <w:rFonts w:ascii="Times New Roman" w:hAnsi="Times New Roman" w:cs="Times New Roman" w:eastAsia="Times New Roman"/>
          <w:color w:val="auto"/>
          <w:spacing w:val="0"/>
          <w:position w:val="0"/>
          <w:sz w:val="32"/>
          <w:shd w:fill="FFFFFF" w:val="clear"/>
        </w:rPr>
        <w:t xml:space="preserve">196.45</w:t>
      </w:r>
      <w:r>
        <w:rPr>
          <w:rFonts w:ascii="宋体" w:hAnsi="宋体" w:cs="宋体" w:eastAsia="宋体"/>
          <w:color w:val="auto"/>
          <w:spacing w:val="0"/>
          <w:position w:val="0"/>
          <w:sz w:val="32"/>
          <w:shd w:fill="FFFFFF" w:val="clear"/>
        </w:rPr>
        <w:t xml:space="preserve">万元。</w:t>
      </w:r>
    </w:p>
    <w:p>
      <w:pPr>
        <w:spacing w:before="100" w:after="100" w:line="240"/>
        <w:ind w:right="0" w:left="0" w:firstLine="640"/>
        <w:jc w:val="left"/>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b/>
          <w:color w:val="auto"/>
          <w:spacing w:val="0"/>
          <w:position w:val="0"/>
          <w:sz w:val="32"/>
          <w:shd w:fill="FFFFFF" w:val="clear"/>
        </w:rPr>
        <w:t xml:space="preserve">3.</w:t>
      </w:r>
      <w:r>
        <w:rPr>
          <w:rFonts w:ascii="宋体" w:hAnsi="宋体" w:cs="宋体" w:eastAsia="宋体"/>
          <w:b/>
          <w:color w:val="auto"/>
          <w:spacing w:val="0"/>
          <w:position w:val="0"/>
          <w:sz w:val="32"/>
          <w:shd w:fill="FFFFFF" w:val="clear"/>
        </w:rPr>
        <w:t xml:space="preserve">支出情况。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年度支出合计</w:t>
      </w:r>
      <w:r>
        <w:rPr>
          <w:rFonts w:ascii="Times New Roman" w:hAnsi="Times New Roman" w:cs="Times New Roman" w:eastAsia="Times New Roman"/>
          <w:color w:val="auto"/>
          <w:spacing w:val="0"/>
          <w:position w:val="0"/>
          <w:sz w:val="32"/>
          <w:shd w:fill="FFFFFF" w:val="clear"/>
        </w:rPr>
        <w:t xml:space="preserve">7129.73</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14.73</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0.2%</w:t>
      </w:r>
      <w:r>
        <w:rPr>
          <w:rFonts w:ascii="宋体" w:hAnsi="宋体" w:cs="宋体" w:eastAsia="宋体"/>
          <w:color w:val="auto"/>
          <w:spacing w:val="0"/>
          <w:position w:val="0"/>
          <w:sz w:val="32"/>
          <w:shd w:fill="FFFFFF" w:val="clear"/>
        </w:rPr>
        <w:t xml:space="preserve">，主要原因是项目支出较上年度有所减少。其中：基本支出</w:t>
      </w:r>
      <w:r>
        <w:rPr>
          <w:rFonts w:ascii="方正仿宋_GBK" w:hAnsi="方正仿宋_GBK" w:cs="方正仿宋_GBK" w:eastAsia="方正仿宋_GBK"/>
          <w:color w:val="auto"/>
          <w:spacing w:val="0"/>
          <w:position w:val="0"/>
          <w:sz w:val="32"/>
          <w:shd w:fill="FFFFFF" w:val="clear"/>
        </w:rPr>
        <w:t xml:space="preserve">6763.63</w:t>
      </w:r>
      <w:r>
        <w:rPr>
          <w:rFonts w:ascii="宋体" w:hAnsi="宋体" w:cs="宋体" w:eastAsia="宋体"/>
          <w:color w:val="auto"/>
          <w:spacing w:val="0"/>
          <w:position w:val="0"/>
          <w:sz w:val="32"/>
          <w:shd w:fill="FFFFFF" w:val="clear"/>
        </w:rPr>
        <w:t xml:space="preserve">万元，占</w:t>
      </w:r>
      <w:r>
        <w:rPr>
          <w:rFonts w:ascii="方正仿宋_GBK" w:hAnsi="方正仿宋_GBK" w:cs="方正仿宋_GBK" w:eastAsia="方正仿宋_GBK"/>
          <w:color w:val="auto"/>
          <w:spacing w:val="0"/>
          <w:position w:val="0"/>
          <w:sz w:val="32"/>
          <w:shd w:fill="FFFFFF" w:val="clear"/>
        </w:rPr>
        <w:t xml:space="preserve">94.67%</w:t>
      </w:r>
      <w:r>
        <w:rPr>
          <w:rFonts w:ascii="宋体" w:hAnsi="宋体" w:cs="宋体" w:eastAsia="宋体"/>
          <w:color w:val="auto"/>
          <w:spacing w:val="0"/>
          <w:position w:val="0"/>
          <w:sz w:val="32"/>
          <w:shd w:fill="FFFFFF" w:val="clear"/>
        </w:rPr>
        <w:t xml:space="preserve">；项目支出</w:t>
      </w:r>
      <w:r>
        <w:rPr>
          <w:rFonts w:ascii="方正仿宋_GBK" w:hAnsi="方正仿宋_GBK" w:cs="方正仿宋_GBK" w:eastAsia="方正仿宋_GBK"/>
          <w:color w:val="auto"/>
          <w:spacing w:val="0"/>
          <w:position w:val="0"/>
          <w:sz w:val="32"/>
          <w:shd w:fill="FFFFFF" w:val="clear"/>
        </w:rPr>
        <w:t xml:space="preserve">380.83</w:t>
      </w:r>
      <w:r>
        <w:rPr>
          <w:rFonts w:ascii="宋体" w:hAnsi="宋体" w:cs="宋体" w:eastAsia="宋体"/>
          <w:color w:val="auto"/>
          <w:spacing w:val="0"/>
          <w:position w:val="0"/>
          <w:sz w:val="32"/>
          <w:shd w:fill="FFFFFF" w:val="clear"/>
        </w:rPr>
        <w:t xml:space="preserve">万元，占</w:t>
      </w:r>
      <w:r>
        <w:rPr>
          <w:rFonts w:ascii="方正仿宋_GBK" w:hAnsi="方正仿宋_GBK" w:cs="方正仿宋_GBK" w:eastAsia="方正仿宋_GBK"/>
          <w:color w:val="auto"/>
          <w:spacing w:val="0"/>
          <w:position w:val="0"/>
          <w:sz w:val="32"/>
          <w:shd w:fill="FFFFFF" w:val="clear"/>
        </w:rPr>
        <w:t xml:space="preserve">5.33%</w:t>
      </w:r>
      <w:r>
        <w:rPr>
          <w:rFonts w:ascii="宋体" w:hAnsi="宋体" w:cs="宋体" w:eastAsia="宋体"/>
          <w:color w:val="auto"/>
          <w:spacing w:val="0"/>
          <w:position w:val="0"/>
          <w:sz w:val="32"/>
          <w:shd w:fill="FFFFFF" w:val="clear"/>
        </w:rPr>
        <w:t xml:space="preserve">；经营支出</w:t>
      </w:r>
      <w:r>
        <w:rPr>
          <w:rFonts w:ascii="方正仿宋_GBK" w:hAnsi="方正仿宋_GBK" w:cs="方正仿宋_GBK" w:eastAsia="方正仿宋_GBK"/>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万元，占</w:t>
      </w:r>
      <w:r>
        <w:rPr>
          <w:rFonts w:ascii="方正仿宋_GBK" w:hAnsi="方正仿宋_GBK" w:cs="方正仿宋_GBK" w:eastAsia="方正仿宋_GBK"/>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。此外，结余分配</w:t>
      </w:r>
      <w:r>
        <w:rPr>
          <w:rFonts w:ascii="方正仿宋_GBK" w:hAnsi="方正仿宋_GBK" w:cs="方正仿宋_GBK" w:eastAsia="方正仿宋_GBK"/>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方正仿宋_GBK" w:hAnsi="方正仿宋_GBK" w:cs="方正仿宋_GBK" w:eastAsia="方正仿宋_GBK"/>
          <w:b/>
          <w:color w:val="auto"/>
          <w:spacing w:val="0"/>
          <w:position w:val="0"/>
          <w:sz w:val="32"/>
          <w:shd w:fill="FFFFFF" w:val="clear"/>
        </w:rPr>
        <w:t xml:space="preserve">4.</w:t>
      </w:r>
      <w:r>
        <w:rPr>
          <w:rFonts w:ascii="宋体" w:hAnsi="宋体" w:cs="宋体" w:eastAsia="宋体"/>
          <w:b/>
          <w:color w:val="auto"/>
          <w:spacing w:val="0"/>
          <w:position w:val="0"/>
          <w:sz w:val="32"/>
          <w:shd w:fill="FFFFFF" w:val="clear"/>
        </w:rPr>
        <w:t xml:space="preserve">结转结余情况。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年度年末结转和结余</w:t>
      </w:r>
      <w:r>
        <w:rPr>
          <w:rFonts w:ascii="Times New Roman" w:hAnsi="Times New Roman" w:cs="Times New Roman" w:eastAsia="Times New Roman"/>
          <w:color w:val="auto"/>
          <w:spacing w:val="0"/>
          <w:position w:val="0"/>
          <w:sz w:val="32"/>
          <w:shd w:fill="FFFFFF" w:val="clear"/>
        </w:rPr>
        <w:t xml:space="preserve">80.04</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116.41</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59.3%</w:t>
      </w:r>
      <w:r>
        <w:rPr>
          <w:rFonts w:ascii="宋体" w:hAnsi="宋体" w:cs="宋体" w:eastAsia="宋体"/>
          <w:color w:val="auto"/>
          <w:spacing w:val="0"/>
          <w:position w:val="0"/>
          <w:sz w:val="32"/>
          <w:shd w:fill="FFFFFF" w:val="clear"/>
        </w:rPr>
        <w:t xml:space="preserve">，主要原因是课后服务支出按当月支出的没留到下年度支出，所以结转结余下降了。</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（二）财政拨款收入支出决算总体情况说明</w:t>
      </w:r>
    </w:p>
    <w:p>
      <w:pPr>
        <w:spacing w:before="100" w:after="100" w:line="240"/>
        <w:ind w:right="0" w:left="0" w:firstLine="640"/>
        <w:jc w:val="left"/>
        <w:rPr>
          <w:rFonts w:ascii="方正仿宋_GBK" w:hAnsi="方正仿宋_GBK" w:cs="方正仿宋_GBK" w:eastAsia="方正仿宋_GBK"/>
          <w:color w:val="auto"/>
          <w:spacing w:val="0"/>
          <w:position w:val="0"/>
          <w:sz w:val="32"/>
          <w:shd w:fill="FFFFFF" w:val="clear"/>
        </w:rPr>
      </w:pPr>
      <w:r>
        <w:rPr>
          <w:rFonts w:ascii="Times New Roman" w:hAnsi="Times New Roman" w:cs="Times New Roman" w:eastAsia="Times New Roman"/>
          <w:color w:val="auto"/>
          <w:spacing w:val="0"/>
          <w:position w:val="0"/>
          <w:sz w:val="32"/>
          <w:shd w:fill="FFFFFF" w:val="clear"/>
        </w:rPr>
        <w:t xml:space="preserve">2024</w:t>
      </w:r>
      <w:r>
        <w:rPr>
          <w:rFonts w:ascii="楷体" w:hAnsi="楷体" w:cs="楷体" w:eastAsia="楷体"/>
          <w:color w:val="auto"/>
          <w:spacing w:val="0"/>
          <w:position w:val="0"/>
          <w:sz w:val="32"/>
          <w:shd w:fill="FFFFFF" w:val="clear"/>
        </w:rPr>
        <w:t xml:space="preserve">年度财政拨款收、支总计均为</w:t>
      </w:r>
      <w:r>
        <w:rPr>
          <w:rFonts w:ascii="Times New Roman" w:hAnsi="Times New Roman" w:cs="Times New Roman" w:eastAsia="Times New Roman"/>
          <w:color w:val="auto"/>
          <w:spacing w:val="0"/>
          <w:position w:val="0"/>
          <w:sz w:val="32"/>
          <w:shd w:fill="FFFFFF" w:val="clear"/>
        </w:rPr>
        <w:t xml:space="preserve">6152.27</w:t>
      </w:r>
      <w:r>
        <w:rPr>
          <w:rFonts w:ascii="楷体" w:hAnsi="楷体" w:cs="楷体" w:eastAsia="楷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楷体" w:hAnsi="楷体" w:cs="楷体" w:eastAsia="楷体"/>
          <w:color w:val="auto"/>
          <w:spacing w:val="0"/>
          <w:position w:val="0"/>
          <w:sz w:val="32"/>
          <w:shd w:fill="FFFFFF" w:val="clear"/>
        </w:rPr>
        <w:t xml:space="preserve">年度相比，财政拨款收、支总计各增加</w:t>
      </w:r>
      <w:r>
        <w:rPr>
          <w:rFonts w:ascii="Times New Roman" w:hAnsi="Times New Roman" w:cs="Times New Roman" w:eastAsia="Times New Roman"/>
          <w:color w:val="auto"/>
          <w:spacing w:val="0"/>
          <w:position w:val="0"/>
          <w:sz w:val="32"/>
          <w:shd w:fill="FFFFFF" w:val="clear"/>
        </w:rPr>
        <w:t xml:space="preserve">69.84</w:t>
      </w:r>
      <w:r>
        <w:rPr>
          <w:rFonts w:ascii="楷体" w:hAnsi="楷体" w:cs="楷体" w:eastAsia="楷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1.2%</w:t>
      </w:r>
      <w:r>
        <w:rPr>
          <w:rFonts w:ascii="楷体" w:hAnsi="楷体" w:cs="楷体" w:eastAsia="楷体"/>
          <w:color w:val="auto"/>
          <w:spacing w:val="0"/>
          <w:position w:val="0"/>
          <w:sz w:val="32"/>
          <w:shd w:fill="FFFFFF" w:val="clear"/>
        </w:rPr>
        <w:t xml:space="preserve">。主要原因是人员工资调整和超额绩效增加和</w:t>
      </w:r>
      <w:r>
        <w:rPr>
          <w:rFonts w:ascii="方正仿宋_GBK" w:hAnsi="方正仿宋_GBK" w:cs="方正仿宋_GBK" w:eastAsia="方正仿宋_GBK"/>
          <w:color w:val="auto"/>
          <w:spacing w:val="0"/>
          <w:position w:val="0"/>
          <w:sz w:val="32"/>
          <w:shd w:fill="FFFFFF" w:val="clear"/>
        </w:rPr>
        <w:t xml:space="preserve">2024</w:t>
      </w:r>
      <w:r>
        <w:rPr>
          <w:rFonts w:ascii="楷体" w:hAnsi="楷体" w:cs="楷体" w:eastAsia="楷体"/>
          <w:color w:val="auto"/>
          <w:spacing w:val="0"/>
          <w:position w:val="0"/>
          <w:sz w:val="32"/>
          <w:shd w:fill="FFFFFF" w:val="clear"/>
        </w:rPr>
        <w:t xml:space="preserve">年度超额绩效纳入养老保险和职业年金等原因。</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（三）一般公共预算财政拨款收入支出决算情况说明</w:t>
      </w:r>
    </w:p>
    <w:p>
      <w:pPr>
        <w:spacing w:before="0" w:after="0" w:line="596"/>
        <w:ind w:right="0" w:left="0" w:firstLine="640"/>
        <w:jc w:val="both"/>
        <w:rPr>
          <w:rFonts w:ascii="方正仿宋_GBK" w:hAnsi="方正仿宋_GBK" w:cs="方正仿宋_GBK" w:eastAsia="方正仿宋_GBK"/>
          <w:color w:val="auto"/>
          <w:spacing w:val="0"/>
          <w:position w:val="0"/>
          <w:sz w:val="32"/>
          <w:shd w:fill="auto" w:val="clear"/>
        </w:rPr>
      </w:pPr>
      <w:r>
        <w:rPr>
          <w:rFonts w:ascii="方正仿宋_GBK" w:hAnsi="方正仿宋_GBK" w:cs="方正仿宋_GBK" w:eastAsia="方正仿宋_GBK"/>
          <w:b/>
          <w:color w:val="auto"/>
          <w:spacing w:val="0"/>
          <w:position w:val="0"/>
          <w:sz w:val="32"/>
          <w:shd w:fill="FFFFFF" w:val="clear"/>
        </w:rPr>
        <w:t xml:space="preserve">1.</w:t>
      </w:r>
      <w:r>
        <w:rPr>
          <w:rFonts w:ascii="宋体" w:hAnsi="宋体" w:cs="宋体" w:eastAsia="宋体"/>
          <w:b/>
          <w:color w:val="auto"/>
          <w:spacing w:val="0"/>
          <w:position w:val="0"/>
          <w:sz w:val="32"/>
          <w:shd w:fill="FFFFFF" w:val="clear"/>
        </w:rPr>
        <w:t xml:space="preserve">收入情况。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年度一般公共预算财政拨款收入</w:t>
      </w:r>
      <w:r>
        <w:rPr>
          <w:rFonts w:ascii="Times New Roman" w:hAnsi="Times New Roman" w:cs="Times New Roman" w:eastAsia="Times New Roman"/>
          <w:color w:val="auto"/>
          <w:spacing w:val="0"/>
          <w:position w:val="0"/>
          <w:sz w:val="32"/>
          <w:shd w:fill="FFFFFF" w:val="clear"/>
        </w:rPr>
        <w:t xml:space="preserve">6152.27</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179.40</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3.0%</w:t>
      </w:r>
      <w:r>
        <w:rPr>
          <w:rFonts w:ascii="宋体" w:hAnsi="宋体" w:cs="宋体" w:eastAsia="宋体"/>
          <w:color w:val="auto"/>
          <w:spacing w:val="0"/>
          <w:position w:val="0"/>
          <w:sz w:val="32"/>
          <w:shd w:fill="FFFFFF" w:val="clear"/>
        </w:rPr>
        <w:t xml:space="preserve">。主要原因是</w:t>
      </w:r>
      <w:r>
        <w:rPr>
          <w:rFonts w:ascii="宋体" w:hAnsi="宋体" w:cs="宋体" w:eastAsia="宋体"/>
          <w:color w:val="auto"/>
          <w:spacing w:val="0"/>
          <w:position w:val="0"/>
          <w:sz w:val="32"/>
          <w:shd w:fill="auto" w:val="clear"/>
        </w:rPr>
        <w:t xml:space="preserve">人员工资调整和超额绩效增加和</w:t>
      </w:r>
      <w:r>
        <w:rPr>
          <w:rFonts w:ascii="方正仿宋_GBK" w:hAnsi="方正仿宋_GBK" w:cs="方正仿宋_GBK" w:eastAsia="方正仿宋_GBK"/>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年度超额绩效纳入养老保险和职业年金等原因。</w:t>
      </w:r>
      <w:r>
        <w:rPr>
          <w:rFonts w:ascii="宋体" w:hAnsi="宋体" w:cs="宋体" w:eastAsia="宋体"/>
          <w:color w:val="auto"/>
          <w:spacing w:val="0"/>
          <w:position w:val="0"/>
          <w:sz w:val="32"/>
          <w:shd w:fill="FFFFFF" w:val="clear"/>
        </w:rPr>
        <w:t xml:space="preserve">较年初预算数增加</w:t>
      </w:r>
      <w:r>
        <w:rPr>
          <w:rFonts w:ascii="方正仿宋_GBK" w:hAnsi="方正仿宋_GBK" w:cs="方正仿宋_GBK" w:eastAsia="方正仿宋_GBK"/>
          <w:color w:val="auto"/>
          <w:spacing w:val="0"/>
          <w:position w:val="0"/>
          <w:sz w:val="32"/>
          <w:shd w:fill="FFFFFF" w:val="clear"/>
        </w:rPr>
        <w:t xml:space="preserve">1547.51</w:t>
      </w:r>
      <w:r>
        <w:rPr>
          <w:rFonts w:ascii="宋体" w:hAnsi="宋体" w:cs="宋体" w:eastAsia="宋体"/>
          <w:color w:val="auto"/>
          <w:spacing w:val="0"/>
          <w:position w:val="0"/>
          <w:sz w:val="32"/>
          <w:shd w:fill="FFFFFF" w:val="clear"/>
        </w:rPr>
        <w:t xml:space="preserve">万元，增长</w:t>
      </w:r>
      <w:r>
        <w:rPr>
          <w:rFonts w:ascii="方正仿宋_GBK" w:hAnsi="方正仿宋_GBK" w:cs="方正仿宋_GBK" w:eastAsia="方正仿宋_GBK"/>
          <w:color w:val="auto"/>
          <w:spacing w:val="0"/>
          <w:position w:val="0"/>
          <w:sz w:val="32"/>
          <w:shd w:fill="FFFFFF" w:val="clear"/>
        </w:rPr>
        <w:t xml:space="preserve">34.97%</w:t>
      </w:r>
      <w:r>
        <w:rPr>
          <w:rFonts w:ascii="宋体" w:hAnsi="宋体" w:cs="宋体" w:eastAsia="宋体"/>
          <w:color w:val="auto"/>
          <w:spacing w:val="0"/>
          <w:position w:val="0"/>
          <w:sz w:val="32"/>
          <w:shd w:fill="FFFFFF" w:val="clear"/>
        </w:rPr>
        <w:t xml:space="preserve">。</w:t>
      </w:r>
      <w:r>
        <w:rPr>
          <w:rFonts w:ascii="宋体" w:hAnsi="宋体" w:cs="宋体" w:eastAsia="宋体"/>
          <w:color w:val="auto"/>
          <w:spacing w:val="0"/>
          <w:position w:val="0"/>
          <w:sz w:val="32"/>
          <w:shd w:fill="auto" w:val="clear"/>
        </w:rPr>
        <w:t xml:space="preserve">主要原因是人员工资调整和超额绩效增加和</w:t>
      </w:r>
      <w:r>
        <w:rPr>
          <w:rFonts w:ascii="方正仿宋_GBK" w:hAnsi="方正仿宋_GBK" w:cs="方正仿宋_GBK" w:eastAsia="方正仿宋_GBK"/>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年度超额绩效纳入养老保险和职业年金未纳入年初预算。</w:t>
      </w:r>
      <w:r>
        <w:rPr>
          <w:rFonts w:ascii="宋体" w:hAnsi="宋体" w:cs="宋体" w:eastAsia="宋体"/>
          <w:color w:val="auto"/>
          <w:spacing w:val="0"/>
          <w:position w:val="0"/>
          <w:sz w:val="32"/>
          <w:shd w:fill="FFFFFF" w:val="clear"/>
        </w:rPr>
        <w:t xml:space="preserve">此外，年初财政拨款结转和结余</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w:t>
      </w:r>
    </w:p>
    <w:p>
      <w:pPr>
        <w:spacing w:before="100" w:after="100" w:line="240"/>
        <w:ind w:right="0" w:left="0" w:firstLine="640"/>
        <w:jc w:val="left"/>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b/>
          <w:color w:val="auto"/>
          <w:spacing w:val="0"/>
          <w:position w:val="0"/>
          <w:sz w:val="32"/>
          <w:shd w:fill="FFFFFF" w:val="clear"/>
        </w:rPr>
        <w:t xml:space="preserve">2.</w:t>
      </w:r>
      <w:r>
        <w:rPr>
          <w:rFonts w:ascii="宋体" w:hAnsi="宋体" w:cs="宋体" w:eastAsia="宋体"/>
          <w:b/>
          <w:color w:val="auto"/>
          <w:spacing w:val="0"/>
          <w:position w:val="0"/>
          <w:sz w:val="32"/>
          <w:shd w:fill="FFFFFF" w:val="clear"/>
        </w:rPr>
        <w:t xml:space="preserve">支出情况。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年度一般公共预算财政拨款支出</w:t>
      </w:r>
      <w:r>
        <w:rPr>
          <w:rFonts w:ascii="Times New Roman" w:hAnsi="Times New Roman" w:cs="Times New Roman" w:eastAsia="Times New Roman"/>
          <w:color w:val="auto"/>
          <w:spacing w:val="0"/>
          <w:position w:val="0"/>
          <w:sz w:val="32"/>
          <w:shd w:fill="FFFFFF" w:val="clear"/>
        </w:rPr>
        <w:t xml:space="preserve">6152.27</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72.84</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1.2%</w:t>
      </w:r>
      <w:r>
        <w:rPr>
          <w:rFonts w:ascii="宋体" w:hAnsi="宋体" w:cs="宋体" w:eastAsia="宋体"/>
          <w:color w:val="auto"/>
          <w:spacing w:val="0"/>
          <w:position w:val="0"/>
          <w:sz w:val="32"/>
          <w:shd w:fill="FFFFFF" w:val="clear"/>
        </w:rPr>
        <w:t xml:space="preserve">。主要原因是人员工资调整和超额绩效增加等原因导致收支增长。较年初预算数增加</w:t>
      </w:r>
      <w:r>
        <w:rPr>
          <w:rFonts w:ascii="方正仿宋_GBK" w:hAnsi="方正仿宋_GBK" w:cs="方正仿宋_GBK" w:eastAsia="方正仿宋_GBK"/>
          <w:color w:val="auto"/>
          <w:spacing w:val="0"/>
          <w:position w:val="0"/>
          <w:sz w:val="32"/>
          <w:shd w:fill="FFFFFF" w:val="clear"/>
        </w:rPr>
        <w:t xml:space="preserve">1654.07</w:t>
      </w:r>
      <w:r>
        <w:rPr>
          <w:rFonts w:ascii="宋体" w:hAnsi="宋体" w:cs="宋体" w:eastAsia="宋体"/>
          <w:color w:val="auto"/>
          <w:spacing w:val="0"/>
          <w:position w:val="0"/>
          <w:sz w:val="32"/>
          <w:shd w:fill="FFFFFF" w:val="clear"/>
        </w:rPr>
        <w:t xml:space="preserve">万元，增长</w:t>
      </w:r>
      <w:r>
        <w:rPr>
          <w:rFonts w:ascii="方正仿宋_GBK" w:hAnsi="方正仿宋_GBK" w:cs="方正仿宋_GBK" w:eastAsia="方正仿宋_GBK"/>
          <w:color w:val="auto"/>
          <w:spacing w:val="0"/>
          <w:position w:val="0"/>
          <w:sz w:val="32"/>
          <w:shd w:fill="FFFFFF" w:val="clear"/>
        </w:rPr>
        <w:t xml:space="preserve">37.38%</w:t>
      </w:r>
      <w:r>
        <w:rPr>
          <w:rFonts w:ascii="宋体" w:hAnsi="宋体" w:cs="宋体" w:eastAsia="宋体"/>
          <w:color w:val="auto"/>
          <w:spacing w:val="0"/>
          <w:position w:val="0"/>
          <w:sz w:val="32"/>
          <w:shd w:fill="FFFFFF" w:val="clear"/>
        </w:rPr>
        <w:t xml:space="preserve">。主要原因是人员工资调整和超额绩效增加和</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年度超额绩效纳入养老保险和职业年金未纳入年初预算等原因。</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方正仿宋_GBK" w:hAnsi="方正仿宋_GBK" w:cs="方正仿宋_GBK" w:eastAsia="方正仿宋_GBK"/>
          <w:b/>
          <w:color w:val="auto"/>
          <w:spacing w:val="0"/>
          <w:position w:val="0"/>
          <w:sz w:val="32"/>
          <w:shd w:fill="FFFFFF" w:val="clear"/>
        </w:rPr>
        <w:t xml:space="preserve">3.</w:t>
      </w:r>
      <w:r>
        <w:rPr>
          <w:rFonts w:ascii="宋体" w:hAnsi="宋体" w:cs="宋体" w:eastAsia="宋体"/>
          <w:b/>
          <w:color w:val="auto"/>
          <w:spacing w:val="0"/>
          <w:position w:val="0"/>
          <w:sz w:val="32"/>
          <w:shd w:fill="FFFFFF" w:val="clear"/>
        </w:rPr>
        <w:t xml:space="preserve">结转结余情况。</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年度年末一般公共预算财政拨款结转和结余</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年度相比，无增减，与上年结转结余数持平。</w:t>
      </w:r>
    </w:p>
    <w:p>
      <w:pPr>
        <w:spacing w:before="0" w:after="0" w:line="600"/>
        <w:ind w:right="0" w:left="0" w:firstLine="640"/>
        <w:jc w:val="both"/>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b/>
          <w:color w:val="auto"/>
          <w:spacing w:val="0"/>
          <w:position w:val="0"/>
          <w:sz w:val="32"/>
          <w:shd w:fill="FFFFFF" w:val="clear"/>
        </w:rPr>
        <w:t xml:space="preserve"> 4.</w:t>
      </w:r>
      <w:r>
        <w:rPr>
          <w:rFonts w:ascii="宋体" w:hAnsi="宋体" w:cs="宋体" w:eastAsia="宋体"/>
          <w:b/>
          <w:color w:val="auto"/>
          <w:spacing w:val="0"/>
          <w:position w:val="0"/>
          <w:sz w:val="32"/>
          <w:shd w:fill="FFFFFF" w:val="clear"/>
        </w:rPr>
        <w:t xml:space="preserve">比较情况。</w:t>
      </w:r>
      <w:r>
        <w:rPr>
          <w:rFonts w:ascii="宋体" w:hAnsi="宋体" w:cs="宋体" w:eastAsia="宋体"/>
          <w:color w:val="auto"/>
          <w:spacing w:val="0"/>
          <w:position w:val="0"/>
          <w:sz w:val="32"/>
          <w:shd w:fill="FFFFFF" w:val="clear"/>
        </w:rPr>
        <w:t xml:space="preserve">本单位</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年度一般公共预算财政拨款支出主要用于以下几个方面：</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w:t>
      </w:r>
      <w:r>
        <w:rPr>
          <w:rFonts w:ascii="方正仿宋_GBK" w:hAnsi="方正仿宋_GBK" w:cs="方正仿宋_GBK" w:eastAsia="方正仿宋_GBK"/>
          <w:color w:val="auto"/>
          <w:spacing w:val="0"/>
          <w:position w:val="0"/>
          <w:sz w:val="32"/>
          <w:shd w:fill="FFFFFF" w:val="clear"/>
        </w:rPr>
        <w:t xml:space="preserve">1</w:t>
      </w:r>
      <w:r>
        <w:rPr>
          <w:rFonts w:ascii="宋体" w:hAnsi="宋体" w:cs="宋体" w:eastAsia="宋体"/>
          <w:color w:val="auto"/>
          <w:spacing w:val="0"/>
          <w:position w:val="0"/>
          <w:sz w:val="32"/>
          <w:shd w:fill="FFFFFF" w:val="clear"/>
        </w:rPr>
        <w:t xml:space="preserve">）（</w:t>
      </w:r>
      <w:r>
        <w:rPr>
          <w:rFonts w:ascii="Times New Roman" w:hAnsi="Times New Roman" w:cs="Times New Roman" w:eastAsia="Times New Roman"/>
          <w:color w:val="auto"/>
          <w:spacing w:val="0"/>
          <w:position w:val="0"/>
          <w:sz w:val="32"/>
          <w:shd w:fill="FFFFFF" w:val="clear"/>
        </w:rPr>
        <w:t xml:space="preserve">5</w:t>
      </w:r>
      <w:r>
        <w:rPr>
          <w:rFonts w:ascii="宋体" w:hAnsi="宋体" w:cs="宋体" w:eastAsia="宋体"/>
          <w:color w:val="auto"/>
          <w:spacing w:val="0"/>
          <w:position w:val="0"/>
          <w:sz w:val="32"/>
          <w:shd w:fill="FFFFFF" w:val="clear"/>
        </w:rPr>
        <w:t xml:space="preserve">）教育支出</w:t>
      </w:r>
      <w:r>
        <w:rPr>
          <w:rFonts w:ascii="Times New Roman" w:hAnsi="Times New Roman" w:cs="Times New Roman" w:eastAsia="Times New Roman"/>
          <w:color w:val="auto"/>
          <w:spacing w:val="0"/>
          <w:position w:val="0"/>
          <w:sz w:val="32"/>
          <w:shd w:fill="FFFFFF" w:val="clear"/>
        </w:rPr>
        <w:t xml:space="preserve">4596.23</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74.7%</w:t>
      </w:r>
      <w:r>
        <w:rPr>
          <w:rFonts w:ascii="宋体" w:hAnsi="宋体" w:cs="宋体" w:eastAsia="宋体"/>
          <w:color w:val="auto"/>
          <w:spacing w:val="0"/>
          <w:position w:val="0"/>
          <w:sz w:val="32"/>
          <w:shd w:fill="FFFFFF" w:val="clear"/>
        </w:rPr>
        <w:t xml:space="preserve">，较年初预算数增加</w:t>
      </w:r>
      <w:r>
        <w:rPr>
          <w:rFonts w:ascii="Times New Roman" w:hAnsi="Times New Roman" w:cs="Times New Roman" w:eastAsia="Times New Roman"/>
          <w:color w:val="auto"/>
          <w:spacing w:val="0"/>
          <w:position w:val="0"/>
          <w:sz w:val="32"/>
          <w:shd w:fill="FFFFFF" w:val="clear"/>
        </w:rPr>
        <w:t xml:space="preserve">749.08</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19.5%</w:t>
      </w:r>
      <w:r>
        <w:rPr>
          <w:rFonts w:ascii="宋体" w:hAnsi="宋体" w:cs="宋体" w:eastAsia="宋体"/>
          <w:color w:val="auto"/>
          <w:spacing w:val="0"/>
          <w:position w:val="0"/>
          <w:sz w:val="32"/>
          <w:shd w:fill="FFFFFF" w:val="clear"/>
        </w:rPr>
        <w:t xml:space="preserve">，</w:t>
      </w:r>
      <w:r>
        <w:rPr>
          <w:rFonts w:ascii="宋体" w:hAnsi="宋体" w:cs="宋体" w:eastAsia="宋体"/>
          <w:color w:val="auto"/>
          <w:spacing w:val="0"/>
          <w:position w:val="0"/>
          <w:sz w:val="32"/>
          <w:shd w:fill="auto" w:val="clear"/>
        </w:rPr>
        <w:t xml:space="preserve">主要原因是人员工资调整和超额绩效增加和</w:t>
      </w:r>
      <w:r>
        <w:rPr>
          <w:rFonts w:ascii="方正仿宋_GBK" w:hAnsi="方正仿宋_GBK" w:cs="方正仿宋_GBK" w:eastAsia="方正仿宋_GBK"/>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年度超额绩效纳入养老保险和职业年金导致增长。</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w:t>
      </w:r>
      <w:r>
        <w:rPr>
          <w:rFonts w:ascii="方正仿宋_GBK" w:hAnsi="方正仿宋_GBK" w:cs="方正仿宋_GBK" w:eastAsia="方正仿宋_GBK"/>
          <w:color w:val="auto"/>
          <w:spacing w:val="0"/>
          <w:position w:val="0"/>
          <w:sz w:val="32"/>
          <w:shd w:fill="FFFFFF" w:val="clear"/>
        </w:rPr>
        <w:t xml:space="preserve">2</w:t>
      </w:r>
      <w:r>
        <w:rPr>
          <w:rFonts w:ascii="宋体" w:hAnsi="宋体" w:cs="宋体" w:eastAsia="宋体"/>
          <w:color w:val="auto"/>
          <w:spacing w:val="0"/>
          <w:position w:val="0"/>
          <w:sz w:val="32"/>
          <w:shd w:fill="FFFFFF" w:val="clear"/>
        </w:rPr>
        <w:t xml:space="preserve">）社会保障和就业支出</w:t>
      </w:r>
      <w:r>
        <w:rPr>
          <w:rFonts w:ascii="Times New Roman" w:hAnsi="Times New Roman" w:cs="Times New Roman" w:eastAsia="Times New Roman"/>
          <w:color w:val="auto"/>
          <w:spacing w:val="0"/>
          <w:position w:val="0"/>
          <w:sz w:val="32"/>
          <w:shd w:fill="FFFFFF" w:val="clear"/>
        </w:rPr>
        <w:t xml:space="preserve">1010.55</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16.4%</w:t>
      </w:r>
      <w:r>
        <w:rPr>
          <w:rFonts w:ascii="宋体" w:hAnsi="宋体" w:cs="宋体" w:eastAsia="宋体"/>
          <w:color w:val="auto"/>
          <w:spacing w:val="0"/>
          <w:position w:val="0"/>
          <w:sz w:val="32"/>
          <w:shd w:fill="FFFFFF" w:val="clear"/>
        </w:rPr>
        <w:t xml:space="preserve">，较年初预算数增加</w:t>
      </w:r>
      <w:r>
        <w:rPr>
          <w:rFonts w:ascii="Times New Roman" w:hAnsi="Times New Roman" w:cs="Times New Roman" w:eastAsia="Times New Roman"/>
          <w:color w:val="auto"/>
          <w:spacing w:val="0"/>
          <w:position w:val="0"/>
          <w:sz w:val="32"/>
          <w:shd w:fill="FFFFFF" w:val="clear"/>
        </w:rPr>
        <w:t xml:space="preserve">292.60</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40.8%</w:t>
      </w:r>
      <w:r>
        <w:rPr>
          <w:rFonts w:ascii="宋体" w:hAnsi="宋体" w:cs="宋体" w:eastAsia="宋体"/>
          <w:color w:val="auto"/>
          <w:spacing w:val="0"/>
          <w:position w:val="0"/>
          <w:sz w:val="32"/>
          <w:shd w:fill="FFFFFF" w:val="clear"/>
        </w:rPr>
        <w:t xml:space="preserve">，</w:t>
      </w:r>
      <w:r>
        <w:rPr>
          <w:rFonts w:ascii="宋体" w:hAnsi="宋体" w:cs="宋体" w:eastAsia="宋体"/>
          <w:color w:val="auto"/>
          <w:spacing w:val="0"/>
          <w:position w:val="0"/>
          <w:sz w:val="32"/>
          <w:shd w:fill="auto" w:val="clear"/>
        </w:rPr>
        <w:t xml:space="preserve">主要原因是人员工资调整和超额绩效增加和</w:t>
      </w:r>
      <w:r>
        <w:rPr>
          <w:rFonts w:ascii="方正仿宋_GBK" w:hAnsi="方正仿宋_GBK" w:cs="方正仿宋_GBK" w:eastAsia="方正仿宋_GBK"/>
          <w:color w:val="auto"/>
          <w:spacing w:val="0"/>
          <w:position w:val="0"/>
          <w:sz w:val="32"/>
          <w:shd w:fill="auto" w:val="clear"/>
        </w:rPr>
        <w:t xml:space="preserve">2024</w:t>
      </w:r>
      <w:r>
        <w:rPr>
          <w:rFonts w:ascii="宋体" w:hAnsi="宋体" w:cs="宋体" w:eastAsia="宋体"/>
          <w:color w:val="auto"/>
          <w:spacing w:val="0"/>
          <w:position w:val="0"/>
          <w:sz w:val="32"/>
          <w:shd w:fill="auto" w:val="clear"/>
        </w:rPr>
        <w:t xml:space="preserve">年度超额绩效纳入养老保险和职业年金导致增长。</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w:t>
      </w:r>
      <w:r>
        <w:rPr>
          <w:rFonts w:ascii="方正仿宋_GBK" w:hAnsi="方正仿宋_GBK" w:cs="方正仿宋_GBK" w:eastAsia="方正仿宋_GBK"/>
          <w:color w:val="auto"/>
          <w:spacing w:val="0"/>
          <w:position w:val="0"/>
          <w:sz w:val="32"/>
          <w:shd w:fill="FFFFFF" w:val="clear"/>
        </w:rPr>
        <w:t xml:space="preserve">3</w:t>
      </w:r>
      <w:r>
        <w:rPr>
          <w:rFonts w:ascii="宋体" w:hAnsi="宋体" w:cs="宋体" w:eastAsia="宋体"/>
          <w:color w:val="auto"/>
          <w:spacing w:val="0"/>
          <w:position w:val="0"/>
          <w:sz w:val="32"/>
          <w:shd w:fill="FFFFFF" w:val="clear"/>
        </w:rPr>
        <w:t xml:space="preserve">）卫生健康支出</w:t>
      </w:r>
      <w:r>
        <w:rPr>
          <w:rFonts w:ascii="Times New Roman" w:hAnsi="Times New Roman" w:cs="Times New Roman" w:eastAsia="Times New Roman"/>
          <w:color w:val="auto"/>
          <w:spacing w:val="0"/>
          <w:position w:val="0"/>
          <w:sz w:val="32"/>
          <w:shd w:fill="FFFFFF" w:val="clear"/>
        </w:rPr>
        <w:t xml:space="preserve">281.73</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4.6%</w:t>
      </w:r>
      <w:r>
        <w:rPr>
          <w:rFonts w:ascii="宋体" w:hAnsi="宋体" w:cs="宋体" w:eastAsia="宋体"/>
          <w:color w:val="auto"/>
          <w:spacing w:val="0"/>
          <w:position w:val="0"/>
          <w:sz w:val="32"/>
          <w:shd w:fill="FFFFFF" w:val="clear"/>
        </w:rPr>
        <w:t xml:space="preserve">，较年初预算数减少</w:t>
      </w:r>
      <w:r>
        <w:rPr>
          <w:rFonts w:ascii="Times New Roman" w:hAnsi="Times New Roman" w:cs="Times New Roman" w:eastAsia="Times New Roman"/>
          <w:color w:val="auto"/>
          <w:spacing w:val="0"/>
          <w:position w:val="0"/>
          <w:sz w:val="32"/>
          <w:shd w:fill="FFFFFF" w:val="clear"/>
        </w:rPr>
        <w:t xml:space="preserve">4.34</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1.5%</w:t>
      </w:r>
      <w:r>
        <w:rPr>
          <w:rFonts w:ascii="宋体" w:hAnsi="宋体" w:cs="宋体" w:eastAsia="宋体"/>
          <w:color w:val="auto"/>
          <w:spacing w:val="0"/>
          <w:position w:val="0"/>
          <w:sz w:val="32"/>
          <w:shd w:fill="FFFFFF" w:val="clear"/>
        </w:rPr>
        <w:t xml:space="preserve">，</w:t>
      </w:r>
      <w:r>
        <w:rPr>
          <w:rFonts w:ascii="宋体" w:hAnsi="宋体" w:cs="宋体" w:eastAsia="宋体"/>
          <w:color w:val="auto"/>
          <w:spacing w:val="0"/>
          <w:position w:val="0"/>
          <w:sz w:val="32"/>
          <w:shd w:fill="auto" w:val="clear"/>
        </w:rPr>
        <w:t xml:space="preserve">主要原因是人员增加及缴费基数调整。</w:t>
      </w:r>
    </w:p>
    <w:p>
      <w:pPr>
        <w:spacing w:before="0" w:after="0" w:line="600"/>
        <w:ind w:right="0" w:left="0" w:firstLine="640"/>
        <w:jc w:val="both"/>
        <w:rPr>
          <w:rFonts w:ascii="方正仿宋_GBK" w:hAnsi="方正仿宋_GBK" w:cs="方正仿宋_GBK" w:eastAsia="方正仿宋_GBK"/>
          <w:color w:val="auto"/>
          <w:spacing w:val="0"/>
          <w:position w:val="0"/>
          <w:sz w:val="32"/>
          <w:shd w:fill="FFFFFF" w:val="clear"/>
        </w:rPr>
      </w:pPr>
      <w:r>
        <w:rPr>
          <w:rFonts w:ascii="宋体" w:hAnsi="宋体" w:cs="宋体" w:eastAsia="宋体"/>
          <w:color w:val="auto"/>
          <w:spacing w:val="0"/>
          <w:position w:val="0"/>
          <w:sz w:val="32"/>
          <w:shd w:fill="auto" w:val="clear"/>
        </w:rPr>
        <w:t xml:space="preserve">（</w:t>
      </w:r>
      <w:r>
        <w:rPr>
          <w:rFonts w:ascii="方正仿宋_GBK" w:hAnsi="方正仿宋_GBK" w:cs="方正仿宋_GBK" w:eastAsia="方正仿宋_GBK"/>
          <w:color w:val="auto"/>
          <w:spacing w:val="0"/>
          <w:position w:val="0"/>
          <w:sz w:val="32"/>
          <w:shd w:fill="auto" w:val="clear"/>
        </w:rPr>
        <w:t xml:space="preserve">4</w:t>
      </w:r>
      <w:r>
        <w:rPr>
          <w:rFonts w:ascii="宋体" w:hAnsi="宋体" w:cs="宋体" w:eastAsia="宋体"/>
          <w:color w:val="auto"/>
          <w:spacing w:val="0"/>
          <w:position w:val="0"/>
          <w:sz w:val="32"/>
          <w:shd w:fill="auto" w:val="clear"/>
        </w:rPr>
        <w:t xml:space="preserve">）住房保障支出</w:t>
      </w:r>
      <w:r>
        <w:rPr>
          <w:rFonts w:ascii="Times New Roman" w:hAnsi="Times New Roman" w:cs="Times New Roman" w:eastAsia="Times New Roman"/>
          <w:color w:val="auto"/>
          <w:spacing w:val="0"/>
          <w:position w:val="0"/>
          <w:sz w:val="32"/>
          <w:shd w:fill="FFFFFF" w:val="clear"/>
        </w:rPr>
        <w:t xml:space="preserve">263.76</w:t>
      </w:r>
      <w:r>
        <w:rPr>
          <w:rFonts w:ascii="宋体" w:hAnsi="宋体" w:cs="宋体" w:eastAsia="宋体"/>
          <w:color w:val="auto"/>
          <w:spacing w:val="0"/>
          <w:position w:val="0"/>
          <w:sz w:val="32"/>
          <w:shd w:fill="FFFFFF" w:val="clear"/>
        </w:rPr>
        <w:t xml:space="preserve">万元，占</w:t>
      </w:r>
      <w:r>
        <w:rPr>
          <w:rFonts w:ascii="Times New Roman" w:hAnsi="Times New Roman" w:cs="Times New Roman" w:eastAsia="Times New Roman"/>
          <w:color w:val="auto"/>
          <w:spacing w:val="0"/>
          <w:position w:val="0"/>
          <w:sz w:val="32"/>
          <w:shd w:fill="FFFFFF" w:val="clear"/>
        </w:rPr>
        <w:t xml:space="preserve">4.3%</w:t>
      </w:r>
      <w:r>
        <w:rPr>
          <w:rFonts w:ascii="宋体" w:hAnsi="宋体" w:cs="宋体" w:eastAsia="宋体"/>
          <w:color w:val="auto"/>
          <w:spacing w:val="0"/>
          <w:position w:val="0"/>
          <w:sz w:val="32"/>
          <w:shd w:fill="FFFFFF" w:val="clear"/>
        </w:rPr>
        <w:t xml:space="preserve">，较年初预算数无增减，主要原因是此项目支出是按年初预算执行。</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（四）一般公共预算财政拨款基本支出决算情况说明</w:t>
      </w:r>
    </w:p>
    <w:p>
      <w:pPr>
        <w:spacing w:before="0" w:after="0" w:line="596"/>
        <w:ind w:right="0" w:left="0" w:firstLine="640"/>
        <w:jc w:val="both"/>
        <w:rPr>
          <w:rFonts w:ascii="方正仿宋_GBK" w:hAnsi="方正仿宋_GBK" w:cs="方正仿宋_GBK" w:eastAsia="方正仿宋_GBK"/>
          <w:color w:val="auto"/>
          <w:spacing w:val="0"/>
          <w:position w:val="0"/>
          <w:sz w:val="32"/>
          <w:shd w:fill="FFFFFF" w:val="clear"/>
        </w:rPr>
      </w:pPr>
      <w:r>
        <w:rPr>
          <w:rFonts w:ascii="Times New Roman" w:hAnsi="Times New Roman" w:cs="Times New Roman" w:eastAsia="Times New Roman"/>
          <w:color w:val="auto"/>
          <w:spacing w:val="0"/>
          <w:position w:val="0"/>
          <w:sz w:val="32"/>
          <w:shd w:fill="FFFFFF" w:val="clear"/>
        </w:rPr>
        <w:t xml:space="preserve">2024</w:t>
      </w:r>
      <w:r>
        <w:rPr>
          <w:rFonts w:ascii="楷体" w:hAnsi="楷体" w:cs="楷体" w:eastAsia="楷体"/>
          <w:color w:val="auto"/>
          <w:spacing w:val="0"/>
          <w:position w:val="0"/>
          <w:sz w:val="32"/>
          <w:shd w:fill="FFFFFF" w:val="clear"/>
        </w:rPr>
        <w:t xml:space="preserve">年度一般公共财政拨款基本支出</w:t>
      </w:r>
      <w:r>
        <w:rPr>
          <w:rFonts w:ascii="Times New Roman" w:hAnsi="Times New Roman" w:cs="Times New Roman" w:eastAsia="Times New Roman"/>
          <w:color w:val="auto"/>
          <w:spacing w:val="0"/>
          <w:position w:val="0"/>
          <w:sz w:val="32"/>
          <w:shd w:fill="FFFFFF" w:val="clear"/>
        </w:rPr>
        <w:t xml:space="preserve">5894.24</w:t>
      </w:r>
      <w:r>
        <w:rPr>
          <w:rFonts w:ascii="楷体" w:hAnsi="楷体" w:cs="楷体" w:eastAsia="楷体"/>
          <w:color w:val="auto"/>
          <w:spacing w:val="0"/>
          <w:position w:val="0"/>
          <w:sz w:val="32"/>
          <w:shd w:fill="FFFFFF" w:val="clear"/>
        </w:rPr>
        <w:t xml:space="preserve">万元。</w:t>
      </w:r>
    </w:p>
    <w:p>
      <w:pPr>
        <w:spacing w:before="0" w:after="0" w:line="596"/>
        <w:ind w:right="0" w:left="0" w:firstLine="0"/>
        <w:jc w:val="both"/>
        <w:rPr>
          <w:rFonts w:ascii="方正仿宋_GBK" w:hAnsi="方正仿宋_GBK" w:cs="方正仿宋_GBK" w:eastAsia="方正仿宋_GBK"/>
          <w:color w:val="auto"/>
          <w:spacing w:val="0"/>
          <w:position w:val="0"/>
          <w:sz w:val="32"/>
          <w:shd w:fill="FFFFFF" w:val="clear"/>
        </w:rPr>
      </w:pPr>
      <w:r>
        <w:rPr>
          <w:rFonts w:ascii="宋体" w:hAnsi="宋体" w:cs="宋体" w:eastAsia="宋体"/>
          <w:color w:val="auto"/>
          <w:spacing w:val="0"/>
          <w:position w:val="0"/>
          <w:sz w:val="32"/>
          <w:shd w:fill="FFFFFF" w:val="clear"/>
        </w:rPr>
        <w:t xml:space="preserve">其中：</w:t>
      </w:r>
    </w:p>
    <w:p>
      <w:pPr>
        <w:spacing w:before="0" w:after="0" w:line="560"/>
        <w:ind w:right="0" w:left="0" w:firstLine="480"/>
        <w:jc w:val="left"/>
        <w:rPr>
          <w:rFonts w:ascii="方正仿宋_GBK" w:hAnsi="方正仿宋_GBK" w:cs="方正仿宋_GBK" w:eastAsia="方正仿宋_GBK"/>
          <w:color w:val="333333"/>
          <w:spacing w:val="0"/>
          <w:position w:val="0"/>
          <w:sz w:val="32"/>
          <w:shd w:fill="FFFFFF" w:val="clear"/>
        </w:rPr>
      </w:pPr>
      <w:r>
        <w:rPr>
          <w:rFonts w:ascii="宋体" w:hAnsi="宋体" w:cs="宋体" w:eastAsia="宋体"/>
          <w:color w:val="auto"/>
          <w:spacing w:val="0"/>
          <w:position w:val="0"/>
          <w:sz w:val="32"/>
          <w:shd w:fill="FFFFFF" w:val="clear"/>
        </w:rPr>
        <w:t xml:space="preserve">人员经费</w:t>
      </w:r>
      <w:r>
        <w:rPr>
          <w:rFonts w:ascii="Times New Roman" w:hAnsi="Times New Roman" w:cs="Times New Roman" w:eastAsia="Times New Roman"/>
          <w:color w:val="auto"/>
          <w:spacing w:val="0"/>
          <w:position w:val="0"/>
          <w:sz w:val="32"/>
          <w:shd w:fill="FFFFFF" w:val="clear"/>
        </w:rPr>
        <w:t xml:space="preserve">5390.03</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277.45</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5.4%</w:t>
      </w:r>
      <w:r>
        <w:rPr>
          <w:rFonts w:ascii="宋体" w:hAnsi="宋体" w:cs="宋体" w:eastAsia="宋体"/>
          <w:color w:val="auto"/>
          <w:spacing w:val="0"/>
          <w:position w:val="0"/>
          <w:sz w:val="32"/>
          <w:shd w:fill="FFFFFF" w:val="clear"/>
        </w:rPr>
        <w:t xml:space="preserve">，主要原因是人员工资调整和超额绩效增加和</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年度超额绩效纳入养老保险和职业年金导致增长。人员经费用途主要包括工资、津补贴、绩效工资、社保保障缴费、其他福利支出等。公用经费</w:t>
      </w:r>
      <w:r>
        <w:rPr>
          <w:rFonts w:ascii="Times New Roman" w:hAnsi="Times New Roman" w:cs="Times New Roman" w:eastAsia="Times New Roman"/>
          <w:color w:val="auto"/>
          <w:spacing w:val="0"/>
          <w:position w:val="0"/>
          <w:sz w:val="32"/>
          <w:shd w:fill="FFFFFF" w:val="clear"/>
        </w:rPr>
        <w:t xml:space="preserve">504.21</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84.81</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14.4%</w:t>
      </w:r>
      <w:r>
        <w:rPr>
          <w:rFonts w:ascii="宋体" w:hAnsi="宋体" w:cs="宋体" w:eastAsia="宋体"/>
          <w:color w:val="auto"/>
          <w:spacing w:val="0"/>
          <w:position w:val="0"/>
          <w:sz w:val="32"/>
          <w:shd w:fill="FFFFFF" w:val="clear"/>
        </w:rPr>
        <w:t xml:space="preserve">，主要原因是保育教育费作公用经费支出数量的变化原因。公用经费用途主要包括办公费、印刷费、培训费、劳务费、工会经费、维修费、水费、电费、邮电费等。</w:t>
      </w:r>
    </w:p>
    <w:p>
      <w:pPr>
        <w:spacing w:before="0" w:after="0" w:line="600"/>
        <w:ind w:right="0" w:left="0" w:firstLine="643"/>
        <w:jc w:val="both"/>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（五）政府性基金预算收支决算情况说明</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Times New Roman" w:hAnsi="Times New Roman" w:cs="Times New Roman" w:eastAsia="Times New Roman"/>
          <w:color w:val="auto"/>
          <w:spacing w:val="0"/>
          <w:position w:val="0"/>
          <w:sz w:val="32"/>
          <w:shd w:fill="FFFFFF" w:val="clear"/>
        </w:rPr>
        <w:t xml:space="preserve">2024</w:t>
      </w:r>
      <w:r>
        <w:rPr>
          <w:rFonts w:ascii="楷体" w:hAnsi="楷体" w:cs="楷体" w:eastAsia="楷体"/>
          <w:color w:val="auto"/>
          <w:spacing w:val="0"/>
          <w:position w:val="0"/>
          <w:sz w:val="32"/>
          <w:shd w:fill="FFFFFF" w:val="clear"/>
        </w:rPr>
        <w:t xml:space="preserve">年度政府性基金预算财政拨款年初结转结余</w:t>
      </w:r>
      <w:r>
        <w:rPr>
          <w:rFonts w:ascii="Times New Roman" w:hAnsi="Times New Roman" w:cs="Times New Roman" w:eastAsia="Times New Roman"/>
          <w:color w:val="auto"/>
          <w:spacing w:val="0"/>
          <w:position w:val="0"/>
          <w:sz w:val="32"/>
          <w:shd w:fill="FFFFFF" w:val="clear"/>
        </w:rPr>
        <w:t xml:space="preserve">0.00</w:t>
      </w:r>
      <w:r>
        <w:rPr>
          <w:rFonts w:ascii="楷体" w:hAnsi="楷体" w:cs="楷体" w:eastAsia="楷体"/>
          <w:color w:val="auto"/>
          <w:spacing w:val="0"/>
          <w:position w:val="0"/>
          <w:sz w:val="32"/>
          <w:shd w:fill="FFFFFF" w:val="clear"/>
        </w:rPr>
        <w:t xml:space="preserve">万元，年末结转结余</w:t>
      </w:r>
      <w:r>
        <w:rPr>
          <w:rFonts w:ascii="Times New Roman" w:hAnsi="Times New Roman" w:cs="Times New Roman" w:eastAsia="Times New Roman"/>
          <w:color w:val="auto"/>
          <w:spacing w:val="0"/>
          <w:position w:val="0"/>
          <w:sz w:val="32"/>
          <w:shd w:fill="FFFFFF" w:val="clear"/>
        </w:rPr>
        <w:t xml:space="preserve">0.00</w:t>
      </w:r>
      <w:r>
        <w:rPr>
          <w:rFonts w:ascii="楷体" w:hAnsi="楷体" w:cs="楷体" w:eastAsia="楷体"/>
          <w:color w:val="auto"/>
          <w:spacing w:val="0"/>
          <w:position w:val="0"/>
          <w:sz w:val="32"/>
          <w:shd w:fill="FFFFFF" w:val="clear"/>
        </w:rPr>
        <w:t xml:space="preserve">万元。本年收入</w:t>
      </w:r>
      <w:r>
        <w:rPr>
          <w:rFonts w:ascii="Times New Roman" w:hAnsi="Times New Roman" w:cs="Times New Roman" w:eastAsia="Times New Roman"/>
          <w:color w:val="auto"/>
          <w:spacing w:val="0"/>
          <w:position w:val="0"/>
          <w:sz w:val="32"/>
          <w:shd w:fill="FFFFFF" w:val="clear"/>
        </w:rPr>
        <w:t xml:space="preserve">0.00</w:t>
      </w:r>
      <w:r>
        <w:rPr>
          <w:rFonts w:ascii="楷体" w:hAnsi="楷体" w:cs="楷体" w:eastAsia="楷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楷体" w:hAnsi="楷体" w:cs="楷体" w:eastAsia="楷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3.00</w:t>
      </w:r>
      <w:r>
        <w:rPr>
          <w:rFonts w:ascii="楷体" w:hAnsi="楷体" w:cs="楷体" w:eastAsia="楷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100.0%</w:t>
      </w:r>
      <w:r>
        <w:rPr>
          <w:rFonts w:ascii="楷体" w:hAnsi="楷体" w:cs="楷体" w:eastAsia="楷体"/>
          <w:color w:val="auto"/>
          <w:spacing w:val="0"/>
          <w:position w:val="0"/>
          <w:sz w:val="32"/>
          <w:shd w:fill="FFFFFF" w:val="clear"/>
        </w:rPr>
        <w:t xml:space="preserve">，主要原因是</w:t>
      </w:r>
      <w:r>
        <w:rPr>
          <w:rFonts w:ascii="楷体" w:hAnsi="楷体" w:cs="楷体" w:eastAsia="楷体"/>
          <w:color w:val="auto"/>
          <w:spacing w:val="0"/>
          <w:position w:val="0"/>
          <w:sz w:val="32"/>
          <w:shd w:fill="auto" w:val="clear"/>
        </w:rPr>
        <w:t xml:space="preserve">本年度无政府基金收支。</w:t>
      </w:r>
      <w:r>
        <w:rPr>
          <w:rFonts w:ascii="楷体" w:hAnsi="楷体" w:cs="楷体" w:eastAsia="楷体"/>
          <w:color w:val="auto"/>
          <w:spacing w:val="0"/>
          <w:position w:val="0"/>
          <w:sz w:val="32"/>
          <w:shd w:fill="FFFFFF" w:val="clear"/>
        </w:rPr>
        <w:t xml:space="preserve">本年支出</w:t>
      </w:r>
      <w:r>
        <w:rPr>
          <w:rFonts w:ascii="Times New Roman" w:hAnsi="Times New Roman" w:cs="Times New Roman" w:eastAsia="Times New Roman"/>
          <w:color w:val="auto"/>
          <w:spacing w:val="0"/>
          <w:position w:val="0"/>
          <w:sz w:val="32"/>
          <w:shd w:fill="FFFFFF" w:val="clear"/>
        </w:rPr>
        <w:t xml:space="preserve">0.00</w:t>
      </w:r>
      <w:r>
        <w:rPr>
          <w:rFonts w:ascii="楷体" w:hAnsi="楷体" w:cs="楷体" w:eastAsia="楷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楷体" w:hAnsi="楷体" w:cs="楷体" w:eastAsia="楷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3.00</w:t>
      </w:r>
      <w:r>
        <w:rPr>
          <w:rFonts w:ascii="楷体" w:hAnsi="楷体" w:cs="楷体" w:eastAsia="楷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100.0%</w:t>
      </w:r>
      <w:r>
        <w:rPr>
          <w:rFonts w:ascii="楷体" w:hAnsi="楷体" w:cs="楷体" w:eastAsia="楷体"/>
          <w:color w:val="auto"/>
          <w:spacing w:val="0"/>
          <w:position w:val="0"/>
          <w:sz w:val="32"/>
          <w:shd w:fill="FFFFFF" w:val="clear"/>
        </w:rPr>
        <w:t xml:space="preserve">，</w:t>
      </w:r>
      <w:r>
        <w:rPr>
          <w:rFonts w:ascii="楷体" w:hAnsi="楷体" w:cs="楷体" w:eastAsia="楷体"/>
          <w:color w:val="auto"/>
          <w:spacing w:val="0"/>
          <w:position w:val="0"/>
          <w:sz w:val="32"/>
          <w:shd w:fill="auto" w:val="clear"/>
        </w:rPr>
        <w:t xml:space="preserve">本单位</w:t>
      </w:r>
      <w:r>
        <w:rPr>
          <w:rFonts w:ascii="方正仿宋_GBK" w:hAnsi="方正仿宋_GBK" w:cs="方正仿宋_GBK" w:eastAsia="方正仿宋_GBK"/>
          <w:color w:val="auto"/>
          <w:spacing w:val="0"/>
          <w:position w:val="0"/>
          <w:sz w:val="32"/>
          <w:shd w:fill="auto" w:val="clear"/>
        </w:rPr>
        <w:t xml:space="preserve">2024</w:t>
      </w:r>
      <w:r>
        <w:rPr>
          <w:rFonts w:ascii="楷体" w:hAnsi="楷体" w:cs="楷体" w:eastAsia="楷体"/>
          <w:color w:val="auto"/>
          <w:spacing w:val="0"/>
          <w:position w:val="0"/>
          <w:sz w:val="32"/>
          <w:shd w:fill="auto" w:val="clear"/>
        </w:rPr>
        <w:t xml:space="preserve">年度无政府性基金预算财政拨款收支。</w:t>
      </w:r>
    </w:p>
    <w:p>
      <w:pPr>
        <w:spacing w:before="0" w:after="0" w:line="600"/>
        <w:ind w:right="0" w:left="0" w:firstLine="643"/>
        <w:jc w:val="both"/>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（六）国有资本经营预算财政拨款支出决算情况说明</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本单位</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年度无国有资本经营预算财政拨款支出</w:t>
      </w:r>
      <w:r>
        <w:rPr>
          <w:rFonts w:ascii="宋体" w:hAnsi="宋体" w:cs="宋体" w:eastAsia="宋体"/>
          <w:color w:val="auto"/>
          <w:spacing w:val="0"/>
          <w:position w:val="0"/>
          <w:sz w:val="32"/>
          <w:shd w:fill="auto" w:val="clear"/>
        </w:rPr>
        <w:t xml:space="preserve">。</w:t>
      </w:r>
    </w:p>
    <w:p>
      <w:pPr>
        <w:spacing w:before="100" w:after="100" w:line="240"/>
        <w:ind w:right="0" w:left="0" w:firstLine="0"/>
        <w:jc w:val="left"/>
        <w:rPr>
          <w:rFonts w:ascii="黑体" w:hAnsi="黑体" w:cs="黑体" w:eastAsia="黑体"/>
          <w:b/>
          <w:color w:val="auto"/>
          <w:spacing w:val="0"/>
          <w:position w:val="0"/>
          <w:sz w:val="32"/>
          <w:shd w:fill="FFFFFF" w:val="clear"/>
        </w:rPr>
      </w:pPr>
      <w:r>
        <w:rPr>
          <w:rFonts w:ascii="黑体" w:hAnsi="黑体" w:cs="黑体" w:eastAsia="黑体"/>
          <w:b/>
          <w:color w:val="auto"/>
          <w:spacing w:val="0"/>
          <w:position w:val="0"/>
          <w:sz w:val="32"/>
          <w:shd w:fill="FFFFFF" w:val="clear"/>
        </w:rPr>
        <w:t xml:space="preserve">三、“三公”经费情况说明</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（一）“三公”经费支出总体情况说明</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年度“三公”经费支出共计</w:t>
      </w:r>
      <w:r>
        <w:rPr>
          <w:rFonts w:ascii="方正仿宋_GBK" w:hAnsi="方正仿宋_GBK" w:cs="方正仿宋_GBK" w:eastAsia="方正仿宋_GBK"/>
          <w:color w:val="auto"/>
          <w:spacing w:val="0"/>
          <w:position w:val="0"/>
          <w:sz w:val="32"/>
          <w:shd w:fill="auto" w:val="clear"/>
        </w:rPr>
        <w:t xml:space="preserve">0.00</w:t>
      </w:r>
      <w:r>
        <w:rPr>
          <w:rFonts w:ascii="宋体" w:hAnsi="宋体" w:cs="宋体" w:eastAsia="宋体"/>
          <w:color w:val="auto"/>
          <w:spacing w:val="0"/>
          <w:position w:val="0"/>
          <w:sz w:val="32"/>
          <w:shd w:fill="FFFFFF" w:val="clear"/>
        </w:rPr>
        <w:t xml:space="preserve">万元，较年初预算数无增减，主要原因是</w:t>
      </w: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年度本单位未发生公务接待支出。</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（二）“三公”经费分项支出情况</w:t>
      </w:r>
    </w:p>
    <w:p>
      <w:pPr>
        <w:spacing w:before="100" w:after="100" w:line="560"/>
        <w:ind w:right="0" w:left="0" w:firstLine="640"/>
        <w:jc w:val="left"/>
        <w:rPr>
          <w:rFonts w:ascii="方正仿宋_GBK" w:hAnsi="方正仿宋_GBK" w:cs="方正仿宋_GBK" w:eastAsia="方正仿宋_GBK"/>
          <w:color w:val="auto"/>
          <w:spacing w:val="0"/>
          <w:position w:val="0"/>
          <w:sz w:val="32"/>
          <w:shd w:fill="FFFFFF" w:val="clear"/>
        </w:rPr>
      </w:pPr>
      <w:r>
        <w:rPr>
          <w:rFonts w:ascii="方正仿宋_GBK" w:hAnsi="方正仿宋_GBK" w:cs="方正仿宋_GBK" w:eastAsia="方正仿宋_GBK"/>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年度本单位因公出国（境）费用</w:t>
      </w:r>
      <w:r>
        <w:rPr>
          <w:rFonts w:ascii="方正仿宋_GBK" w:hAnsi="方正仿宋_GBK" w:cs="方正仿宋_GBK" w:eastAsia="方正仿宋_GBK"/>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万元，主要原因是本单位</w:t>
      </w:r>
      <w:r>
        <w:rPr>
          <w:rFonts w:ascii="方正仿宋_GBK" w:hAnsi="方正仿宋_GBK" w:cs="方正仿宋_GBK" w:eastAsia="方正仿宋_GBK"/>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年度未发生因公出国（境）费支出。</w:t>
      </w:r>
    </w:p>
    <w:p>
      <w:pPr>
        <w:spacing w:before="100" w:after="100" w:line="560"/>
        <w:ind w:right="0" w:left="0" w:firstLine="640"/>
        <w:jc w:val="left"/>
        <w:rPr>
          <w:rFonts w:ascii="方正仿宋_GBK" w:hAnsi="方正仿宋_GBK" w:cs="方正仿宋_GBK" w:eastAsia="方正仿宋_GBK"/>
          <w:color w:val="auto"/>
          <w:spacing w:val="0"/>
          <w:position w:val="0"/>
          <w:sz w:val="32"/>
          <w:shd w:fill="FFFFFF" w:val="clear"/>
        </w:rPr>
      </w:pPr>
      <w:r>
        <w:rPr>
          <w:rFonts w:ascii="宋体" w:hAnsi="宋体" w:cs="宋体" w:eastAsia="宋体"/>
          <w:color w:val="auto"/>
          <w:spacing w:val="0"/>
          <w:position w:val="0"/>
          <w:sz w:val="32"/>
          <w:shd w:fill="FFFFFF" w:val="clear"/>
        </w:rPr>
        <w:t xml:space="preserve"> 公务车购置费</w:t>
      </w:r>
      <w:r>
        <w:rPr>
          <w:rFonts w:ascii="方正仿宋_GBK" w:hAnsi="方正仿宋_GBK" w:cs="方正仿宋_GBK" w:eastAsia="方正仿宋_GBK"/>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万元，主要原因是本年度未发生公务车运行维护费。</w:t>
      </w:r>
    </w:p>
    <w:p>
      <w:pPr>
        <w:spacing w:before="0" w:after="0" w:line="600"/>
        <w:ind w:right="0" w:left="0" w:firstLine="640"/>
        <w:jc w:val="both"/>
        <w:rPr>
          <w:rFonts w:ascii="方正仿宋_GBK" w:hAnsi="方正仿宋_GBK" w:cs="方正仿宋_GBK" w:eastAsia="方正仿宋_GBK"/>
          <w:color w:val="auto"/>
          <w:spacing w:val="0"/>
          <w:position w:val="0"/>
          <w:sz w:val="32"/>
          <w:shd w:fill="FFFFFF" w:val="clear"/>
        </w:rPr>
      </w:pPr>
      <w:r>
        <w:rPr>
          <w:rFonts w:ascii="宋体" w:hAnsi="宋体" w:cs="宋体" w:eastAsia="宋体"/>
          <w:color w:val="auto"/>
          <w:spacing w:val="0"/>
          <w:position w:val="0"/>
          <w:sz w:val="32"/>
          <w:shd w:fill="FFFFFF" w:val="clear"/>
        </w:rPr>
        <w:t xml:space="preserve"> 公务接待费</w:t>
      </w:r>
      <w:r>
        <w:rPr>
          <w:rFonts w:ascii="方正仿宋_GBK" w:hAnsi="方正仿宋_GBK" w:cs="方正仿宋_GBK" w:eastAsia="方正仿宋_GBK"/>
          <w:color w:val="auto"/>
          <w:spacing w:val="0"/>
          <w:position w:val="0"/>
          <w:sz w:val="32"/>
          <w:shd w:fill="auto" w:val="clear"/>
        </w:rPr>
        <w:t xml:space="preserve">0.00</w:t>
      </w:r>
      <w:r>
        <w:rPr>
          <w:rFonts w:ascii="宋体" w:hAnsi="宋体" w:cs="宋体" w:eastAsia="宋体"/>
          <w:color w:val="auto"/>
          <w:spacing w:val="0"/>
          <w:position w:val="0"/>
          <w:sz w:val="32"/>
          <w:shd w:fill="FFFFFF" w:val="clear"/>
        </w:rPr>
        <w:t xml:space="preserve">万元，本年度未发生公务接待费，费用支出较年初预算数无增减，主要原因上年度和本年度未发生公务接待费。较上年支出数无增减，主要原因是本年度未发生公务接待费。</w:t>
      </w:r>
    </w:p>
    <w:p>
      <w:pPr>
        <w:spacing w:before="0" w:after="0" w:line="600"/>
        <w:ind w:right="0" w:left="0" w:firstLine="643"/>
        <w:jc w:val="both"/>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（三）“三公”经费实物量情况</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 </w:t>
      </w:r>
      <w:r>
        <w:rPr>
          <w:rFonts w:ascii="方正仿宋_GBK" w:hAnsi="方正仿宋_GBK" w:cs="方正仿宋_GBK" w:eastAsia="方正仿宋_GBK"/>
          <w:color w:val="auto"/>
          <w:spacing w:val="0"/>
          <w:position w:val="0"/>
          <w:sz w:val="32"/>
          <w:shd w:fill="FFFFFF" w:val="clear"/>
        </w:rPr>
        <w:t xml:space="preserve"> 2024</w:t>
      </w:r>
      <w:r>
        <w:rPr>
          <w:rFonts w:ascii="宋体" w:hAnsi="宋体" w:cs="宋体" w:eastAsia="宋体"/>
          <w:color w:val="auto"/>
          <w:spacing w:val="0"/>
          <w:position w:val="0"/>
          <w:sz w:val="32"/>
          <w:shd w:fill="FFFFFF" w:val="clear"/>
        </w:rPr>
        <w:t xml:space="preserve">年度本单位因公出国（境）共计</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个团组，</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人；公务用车购置</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辆，公务车保有量为</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辆；国内公务接待</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批次</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人，其中：国内外事接待</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批次，</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人；国（境）外公务接待</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批次，</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人。</w:t>
      </w:r>
      <w:r>
        <w:rPr>
          <w:rFonts w:ascii="方正仿宋_GBK" w:hAnsi="方正仿宋_GBK" w:cs="方正仿宋_GBK" w:eastAsia="方正仿宋_GBK"/>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年本单位人均接待费</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元，车均购置费</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万元，车均维护费</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万元。</w:t>
      </w:r>
    </w:p>
    <w:p>
      <w:pPr>
        <w:spacing w:before="100" w:after="100" w:line="240"/>
        <w:ind w:right="0" w:left="0" w:firstLine="0"/>
        <w:jc w:val="left"/>
        <w:rPr>
          <w:rFonts w:ascii="方正仿宋_GBK" w:hAnsi="方正仿宋_GBK" w:cs="方正仿宋_GBK" w:eastAsia="方正仿宋_GBK"/>
          <w:b/>
          <w:color w:val="auto"/>
          <w:spacing w:val="0"/>
          <w:position w:val="0"/>
          <w:sz w:val="32"/>
          <w:shd w:fill="FFFFFF" w:val="clear"/>
        </w:rPr>
      </w:pPr>
      <w:r>
        <w:rPr>
          <w:rFonts w:ascii="黑体" w:hAnsi="黑体" w:cs="黑体" w:eastAsia="黑体"/>
          <w:b/>
          <w:color w:val="auto"/>
          <w:spacing w:val="0"/>
          <w:position w:val="0"/>
          <w:sz w:val="32"/>
          <w:shd w:fill="FFFFFF" w:val="clear"/>
        </w:rPr>
        <w:t xml:space="preserve">四、其他需要说明的事项</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（一）财政拨款会议费和培训费情况说明</w:t>
      </w:r>
    </w:p>
    <w:p>
      <w:pPr>
        <w:spacing w:before="0" w:after="0" w:line="240"/>
        <w:ind w:right="0" w:left="0" w:firstLine="640"/>
        <w:jc w:val="left"/>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本年度会议费支出</w:t>
      </w:r>
      <w:r>
        <w:rPr>
          <w:rFonts w:ascii="Times New Roman" w:hAnsi="Times New Roman" w:cs="Times New Roman" w:eastAsia="Times New Roman"/>
          <w:color w:val="auto"/>
          <w:spacing w:val="0"/>
          <w:position w:val="0"/>
          <w:sz w:val="32"/>
          <w:shd w:fill="FFFFFF" w:val="clear"/>
        </w:rPr>
        <w:t xml:space="preserve">0.52</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0.24</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85.7%</w:t>
      </w:r>
      <w:r>
        <w:rPr>
          <w:rFonts w:ascii="宋体" w:hAnsi="宋体" w:cs="宋体" w:eastAsia="宋体"/>
          <w:color w:val="auto"/>
          <w:spacing w:val="0"/>
          <w:position w:val="0"/>
          <w:sz w:val="32"/>
          <w:shd w:fill="FFFFFF" w:val="clear"/>
        </w:rPr>
        <w:t xml:space="preserve">，主要原因是本年度会议次数有增加。本年度培训费支出</w:t>
      </w:r>
      <w:r>
        <w:rPr>
          <w:rFonts w:ascii="Times New Roman" w:hAnsi="Times New Roman" w:cs="Times New Roman" w:eastAsia="Times New Roman"/>
          <w:color w:val="auto"/>
          <w:spacing w:val="0"/>
          <w:position w:val="0"/>
          <w:sz w:val="32"/>
          <w:shd w:fill="FFFFFF" w:val="clear"/>
        </w:rPr>
        <w:t xml:space="preserve">25.31</w:t>
      </w:r>
      <w:r>
        <w:rPr>
          <w:rFonts w:ascii="宋体" w:hAnsi="宋体" w:cs="宋体" w:eastAsia="宋体"/>
          <w:color w:val="auto"/>
          <w:spacing w:val="0"/>
          <w:position w:val="0"/>
          <w:sz w:val="32"/>
          <w:shd w:fill="FFFFFF" w:val="clear"/>
        </w:rPr>
        <w:t xml:space="preserve">万元，与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年度相比，增加</w:t>
      </w:r>
      <w:r>
        <w:rPr>
          <w:rFonts w:ascii="Times New Roman" w:hAnsi="Times New Roman" w:cs="Times New Roman" w:eastAsia="Times New Roman"/>
          <w:color w:val="auto"/>
          <w:spacing w:val="0"/>
          <w:position w:val="0"/>
          <w:sz w:val="32"/>
          <w:shd w:fill="FFFFFF" w:val="clear"/>
        </w:rPr>
        <w:t xml:space="preserve">2.31</w:t>
      </w:r>
      <w:r>
        <w:rPr>
          <w:rFonts w:ascii="宋体" w:hAnsi="宋体" w:cs="宋体" w:eastAsia="宋体"/>
          <w:color w:val="auto"/>
          <w:spacing w:val="0"/>
          <w:position w:val="0"/>
          <w:sz w:val="32"/>
          <w:shd w:fill="FFFFFF" w:val="clear"/>
        </w:rPr>
        <w:t xml:space="preserve">万元，增长</w:t>
      </w:r>
      <w:r>
        <w:rPr>
          <w:rFonts w:ascii="Times New Roman" w:hAnsi="Times New Roman" w:cs="Times New Roman" w:eastAsia="Times New Roman"/>
          <w:color w:val="auto"/>
          <w:spacing w:val="0"/>
          <w:position w:val="0"/>
          <w:sz w:val="32"/>
          <w:shd w:fill="FFFFFF" w:val="clear"/>
        </w:rPr>
        <w:t xml:space="preserve">10.0%</w:t>
      </w:r>
      <w:r>
        <w:rPr>
          <w:rFonts w:ascii="宋体" w:hAnsi="宋体" w:cs="宋体" w:eastAsia="宋体"/>
          <w:color w:val="auto"/>
          <w:spacing w:val="0"/>
          <w:position w:val="0"/>
          <w:sz w:val="32"/>
          <w:shd w:fill="FFFFFF" w:val="clear"/>
        </w:rPr>
        <w:t xml:space="preserve">，主要原因是各种培训和外出学习正常开展。本年度差旅费支出</w:t>
      </w:r>
      <w:r>
        <w:rPr>
          <w:rFonts w:ascii="Times New Roman" w:hAnsi="Times New Roman" w:cs="Times New Roman" w:eastAsia="Times New Roman"/>
          <w:color w:val="auto"/>
          <w:spacing w:val="0"/>
          <w:position w:val="0"/>
          <w:sz w:val="32"/>
          <w:shd w:fill="FFFFFF" w:val="clear"/>
        </w:rPr>
        <w:t xml:space="preserve">1.46</w:t>
      </w:r>
      <w:r>
        <w:rPr>
          <w:rFonts w:ascii="宋体" w:hAnsi="宋体" w:cs="宋体" w:eastAsia="宋体"/>
          <w:color w:val="auto"/>
          <w:spacing w:val="0"/>
          <w:position w:val="0"/>
          <w:sz w:val="32"/>
          <w:shd w:fill="auto" w:val="clear"/>
        </w:rPr>
        <w:t xml:space="preserve">万元，</w:t>
      </w:r>
      <w:r>
        <w:rPr>
          <w:rFonts w:ascii="宋体" w:hAnsi="宋体" w:cs="宋体" w:eastAsia="宋体"/>
          <w:color w:val="auto"/>
          <w:spacing w:val="0"/>
          <w:position w:val="0"/>
          <w:sz w:val="32"/>
          <w:shd w:fill="FFFFFF" w:val="clear"/>
        </w:rPr>
        <w:t xml:space="preserve">与</w:t>
      </w:r>
      <w:r>
        <w:rPr>
          <w:rFonts w:ascii="Times New Roman" w:hAnsi="Times New Roman" w:cs="Times New Roman" w:eastAsia="Times New Roman"/>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年度相比，减少</w:t>
      </w:r>
      <w:r>
        <w:rPr>
          <w:rFonts w:ascii="Times New Roman" w:hAnsi="Times New Roman" w:cs="Times New Roman" w:eastAsia="Times New Roman"/>
          <w:color w:val="auto"/>
          <w:spacing w:val="0"/>
          <w:position w:val="0"/>
          <w:sz w:val="32"/>
          <w:shd w:fill="FFFFFF" w:val="clear"/>
        </w:rPr>
        <w:t xml:space="preserve">3.57</w:t>
      </w:r>
      <w:r>
        <w:rPr>
          <w:rFonts w:ascii="宋体" w:hAnsi="宋体" w:cs="宋体" w:eastAsia="宋体"/>
          <w:color w:val="auto"/>
          <w:spacing w:val="0"/>
          <w:position w:val="0"/>
          <w:sz w:val="32"/>
          <w:shd w:fill="FFFFFF" w:val="clear"/>
        </w:rPr>
        <w:t xml:space="preserve">万元，下降</w:t>
      </w:r>
      <w:r>
        <w:rPr>
          <w:rFonts w:ascii="Times New Roman" w:hAnsi="Times New Roman" w:cs="Times New Roman" w:eastAsia="Times New Roman"/>
          <w:color w:val="auto"/>
          <w:spacing w:val="0"/>
          <w:position w:val="0"/>
          <w:sz w:val="32"/>
          <w:shd w:fill="FFFFFF" w:val="clear"/>
        </w:rPr>
        <w:t xml:space="preserve">71.0%</w:t>
      </w:r>
      <w:r>
        <w:rPr>
          <w:rFonts w:ascii="宋体" w:hAnsi="宋体" w:cs="宋体" w:eastAsia="宋体"/>
          <w:color w:val="auto"/>
          <w:spacing w:val="0"/>
          <w:position w:val="0"/>
          <w:sz w:val="32"/>
          <w:shd w:fill="FFFFFF" w:val="clear"/>
        </w:rPr>
        <w:t xml:space="preserve">，主要原因是减少不必要的外出差旅开支。</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（二）机关运行经费情况说明</w:t>
      </w:r>
    </w:p>
    <w:p>
      <w:pPr>
        <w:spacing w:before="0" w:after="0" w:line="600"/>
        <w:ind w:right="0" w:left="0" w:firstLine="640"/>
        <w:jc w:val="both"/>
        <w:rPr>
          <w:rFonts w:ascii="方正仿宋_GBK" w:hAnsi="方正仿宋_GBK" w:cs="方正仿宋_GBK" w:eastAsia="方正仿宋_GBK"/>
          <w:color w:val="FF0000"/>
          <w:spacing w:val="0"/>
          <w:position w:val="0"/>
          <w:sz w:val="32"/>
          <w:shd w:fill="auto" w:val="clear"/>
        </w:rPr>
      </w:pPr>
      <w:r>
        <w:rPr>
          <w:rFonts w:ascii="宋体" w:hAnsi="宋体" w:cs="宋体" w:eastAsia="宋体"/>
          <w:color w:val="auto"/>
          <w:spacing w:val="0"/>
          <w:position w:val="0"/>
          <w:sz w:val="32"/>
          <w:shd w:fill="FFFFFF" w:val="clear"/>
        </w:rPr>
        <w:t xml:space="preserve">按照部门决算列报口径，我单位不在机关运行经费统计范围之内。</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（三）国有资产占用情况说明</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FFFFFF" w:val="clear"/>
        </w:rPr>
        <w:t xml:space="preserve"> </w:t>
      </w:r>
      <w:r>
        <w:rPr>
          <w:rFonts w:ascii="方正仿宋_GBK" w:hAnsi="方正仿宋_GBK" w:cs="方正仿宋_GBK" w:eastAsia="方正仿宋_GBK"/>
          <w:color w:val="auto"/>
          <w:spacing w:val="0"/>
          <w:position w:val="0"/>
          <w:sz w:val="32"/>
          <w:shd w:fill="FFFFFF" w:val="clear"/>
        </w:rPr>
        <w:t xml:space="preserve"> </w:t>
      </w:r>
      <w:r>
        <w:rPr>
          <w:rFonts w:ascii="宋体" w:hAnsi="宋体" w:cs="宋体" w:eastAsia="宋体"/>
          <w:color w:val="auto"/>
          <w:spacing w:val="0"/>
          <w:position w:val="0"/>
          <w:sz w:val="32"/>
          <w:shd w:fill="FFFFFF" w:val="clear"/>
        </w:rPr>
        <w:t xml:space="preserve">截至</w:t>
      </w:r>
      <w:r>
        <w:rPr>
          <w:rFonts w:ascii="方正仿宋_GBK" w:hAnsi="方正仿宋_GBK" w:cs="方正仿宋_GBK" w:eastAsia="方正仿宋_GBK"/>
          <w:color w:val="auto"/>
          <w:spacing w:val="0"/>
          <w:position w:val="0"/>
          <w:sz w:val="32"/>
          <w:shd w:fill="FFFFFF" w:val="clear"/>
        </w:rPr>
        <w:t xml:space="preserve">2023</w:t>
      </w:r>
      <w:r>
        <w:rPr>
          <w:rFonts w:ascii="宋体" w:hAnsi="宋体" w:cs="宋体" w:eastAsia="宋体"/>
          <w:color w:val="auto"/>
          <w:spacing w:val="0"/>
          <w:position w:val="0"/>
          <w:sz w:val="32"/>
          <w:shd w:fill="FFFFFF" w:val="clear"/>
        </w:rPr>
        <w:t xml:space="preserve">年</w:t>
      </w:r>
      <w:r>
        <w:rPr>
          <w:rFonts w:ascii="方正仿宋_GBK" w:hAnsi="方正仿宋_GBK" w:cs="方正仿宋_GBK" w:eastAsia="方正仿宋_GBK"/>
          <w:color w:val="auto"/>
          <w:spacing w:val="0"/>
          <w:position w:val="0"/>
          <w:sz w:val="32"/>
          <w:shd w:fill="FFFFFF" w:val="clear"/>
        </w:rPr>
        <w:t xml:space="preserve">12</w:t>
      </w:r>
      <w:r>
        <w:rPr>
          <w:rFonts w:ascii="宋体" w:hAnsi="宋体" w:cs="宋体" w:eastAsia="宋体"/>
          <w:color w:val="auto"/>
          <w:spacing w:val="0"/>
          <w:position w:val="0"/>
          <w:sz w:val="32"/>
          <w:shd w:fill="FFFFFF" w:val="clear"/>
        </w:rPr>
        <w:t xml:space="preserve">月</w:t>
      </w:r>
      <w:r>
        <w:rPr>
          <w:rFonts w:ascii="方正仿宋_GBK" w:hAnsi="方正仿宋_GBK" w:cs="方正仿宋_GBK" w:eastAsia="方正仿宋_GBK"/>
          <w:color w:val="auto"/>
          <w:spacing w:val="0"/>
          <w:position w:val="0"/>
          <w:sz w:val="32"/>
          <w:shd w:fill="FFFFFF" w:val="clear"/>
        </w:rPr>
        <w:t xml:space="preserve">31</w:t>
      </w:r>
      <w:r>
        <w:rPr>
          <w:rFonts w:ascii="宋体" w:hAnsi="宋体" w:cs="宋体" w:eastAsia="宋体"/>
          <w:color w:val="auto"/>
          <w:spacing w:val="0"/>
          <w:position w:val="0"/>
          <w:sz w:val="32"/>
          <w:shd w:fill="FFFFFF" w:val="clear"/>
        </w:rPr>
        <w:t xml:space="preserve">日，本单位共有车辆</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辆，其中，副部（省）级及以上领导用车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辆、主要负责人用车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辆、机要通信用车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辆、应急保障用车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辆、执法执勤用车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辆，特种专业技术用车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辆，离退休干部用车</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辆。单价</w:t>
      </w:r>
      <w:r>
        <w:rPr>
          <w:rFonts w:ascii="方正仿宋_GBK" w:hAnsi="方正仿宋_GBK" w:cs="方正仿宋_GBK" w:eastAsia="方正仿宋_GBK"/>
          <w:color w:val="auto"/>
          <w:spacing w:val="0"/>
          <w:position w:val="0"/>
          <w:sz w:val="32"/>
          <w:shd w:fill="FFFFFF" w:val="clear"/>
        </w:rPr>
        <w:t xml:space="preserve">100</w:t>
      </w:r>
      <w:r>
        <w:rPr>
          <w:rFonts w:ascii="宋体" w:hAnsi="宋体" w:cs="宋体" w:eastAsia="宋体"/>
          <w:color w:val="auto"/>
          <w:spacing w:val="0"/>
          <w:position w:val="0"/>
          <w:sz w:val="32"/>
          <w:shd w:fill="FFFFFF" w:val="clear"/>
        </w:rPr>
        <w:t xml:space="preserve">万元（含）以上专用设备</w:t>
      </w:r>
      <w:r>
        <w:rPr>
          <w:rFonts w:ascii="方正仿宋_GBK" w:hAnsi="方正仿宋_GBK" w:cs="方正仿宋_GBK" w:eastAsia="方正仿宋_GBK"/>
          <w:color w:val="auto"/>
          <w:spacing w:val="0"/>
          <w:position w:val="0"/>
          <w:sz w:val="32"/>
          <w:shd w:fill="auto" w:val="clear"/>
        </w:rPr>
        <w:t xml:space="preserve">0</w:t>
      </w:r>
      <w:r>
        <w:rPr>
          <w:rFonts w:ascii="宋体" w:hAnsi="宋体" w:cs="宋体" w:eastAsia="宋体"/>
          <w:color w:val="auto"/>
          <w:spacing w:val="0"/>
          <w:position w:val="0"/>
          <w:sz w:val="32"/>
          <w:shd w:fill="FFFFFF" w:val="clear"/>
        </w:rPr>
        <w:t xml:space="preserve">台（套）。</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（四）政府采购支出情况说明</w:t>
      </w:r>
    </w:p>
    <w:p>
      <w:pPr>
        <w:spacing w:before="0" w:after="0" w:line="600"/>
        <w:ind w:right="0" w:left="0" w:firstLine="640"/>
        <w:jc w:val="both"/>
        <w:rPr>
          <w:rFonts w:ascii="方正仿宋_GBK" w:hAnsi="方正仿宋_GBK" w:cs="方正仿宋_GBK" w:eastAsia="方正仿宋_GBK"/>
          <w:color w:val="FF0000"/>
          <w:spacing w:val="0"/>
          <w:position w:val="0"/>
          <w:sz w:val="32"/>
          <w:shd w:fill="FFFFFF" w:val="clear"/>
        </w:rPr>
      </w:pPr>
      <w:r>
        <w:rPr>
          <w:rFonts w:ascii="宋体" w:hAnsi="宋体" w:cs="宋体" w:eastAsia="宋体"/>
          <w:color w:val="auto"/>
          <w:spacing w:val="0"/>
          <w:position w:val="0"/>
          <w:sz w:val="32"/>
          <w:shd w:fill="FFFFFF" w:val="clear"/>
        </w:rPr>
        <w:t xml:space="preserve"> </w:t>
      </w:r>
      <w:r>
        <w:rPr>
          <w:rFonts w:ascii="方正仿宋_GBK" w:hAnsi="方正仿宋_GBK" w:cs="方正仿宋_GBK" w:eastAsia="方正仿宋_GBK"/>
          <w:color w:val="auto"/>
          <w:spacing w:val="0"/>
          <w:position w:val="0"/>
          <w:sz w:val="32"/>
          <w:shd w:fill="FFFFFF" w:val="clear"/>
        </w:rPr>
        <w:t xml:space="preserve"> </w:t>
      </w:r>
      <w:r>
        <w:rPr>
          <w:rFonts w:ascii="Times New Roman" w:hAnsi="Times New Roman" w:cs="Times New Roman" w:eastAsia="Times New Roman"/>
          <w:color w:val="auto"/>
          <w:spacing w:val="0"/>
          <w:position w:val="0"/>
          <w:sz w:val="32"/>
          <w:shd w:fill="FFFFFF" w:val="clear"/>
        </w:rPr>
        <w:t xml:space="preserve">2024</w:t>
      </w:r>
      <w:r>
        <w:rPr>
          <w:rFonts w:ascii="宋体" w:hAnsi="宋体" w:cs="宋体" w:eastAsia="宋体"/>
          <w:color w:val="auto"/>
          <w:spacing w:val="0"/>
          <w:position w:val="0"/>
          <w:sz w:val="32"/>
          <w:shd w:fill="FFFFFF" w:val="clear"/>
        </w:rPr>
        <w:t xml:space="preserve">年度本单位政府采购支出总额</w:t>
      </w:r>
      <w:r>
        <w:rPr>
          <w:rFonts w:ascii="Times New Roman" w:hAnsi="Times New Roman" w:cs="Times New Roman" w:eastAsia="Times New Roman"/>
          <w:color w:val="auto"/>
          <w:spacing w:val="0"/>
          <w:position w:val="0"/>
          <w:sz w:val="32"/>
          <w:shd w:fill="FFFFFF" w:val="clear"/>
        </w:rPr>
        <w:t xml:space="preserve">6.41</w:t>
      </w:r>
      <w:r>
        <w:rPr>
          <w:rFonts w:ascii="宋体" w:hAnsi="宋体" w:cs="宋体" w:eastAsia="宋体"/>
          <w:color w:val="auto"/>
          <w:spacing w:val="0"/>
          <w:position w:val="0"/>
          <w:sz w:val="32"/>
          <w:shd w:fill="FFFFFF" w:val="clear"/>
        </w:rPr>
        <w:t xml:space="preserve">万元，其中：政府采购货物支出</w:t>
      </w:r>
      <w:r>
        <w:rPr>
          <w:rFonts w:ascii="Times New Roman" w:hAnsi="Times New Roman" w:cs="Times New Roman" w:eastAsia="Times New Roman"/>
          <w:color w:val="auto"/>
          <w:spacing w:val="0"/>
          <w:position w:val="0"/>
          <w:sz w:val="32"/>
          <w:shd w:fill="FFFFFF" w:val="clear"/>
        </w:rPr>
        <w:t xml:space="preserve">6.41</w:t>
      </w:r>
      <w:r>
        <w:rPr>
          <w:rFonts w:ascii="宋体" w:hAnsi="宋体" w:cs="宋体" w:eastAsia="宋体"/>
          <w:color w:val="auto"/>
          <w:spacing w:val="0"/>
          <w:position w:val="0"/>
          <w:sz w:val="32"/>
          <w:shd w:fill="FFFFFF" w:val="clear"/>
        </w:rPr>
        <w:t xml:space="preserve">万元、政府采购工程支出</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万元、政府采购服务支出</w:t>
      </w:r>
      <w:r>
        <w:rPr>
          <w:rFonts w:ascii="Times New Roman" w:hAnsi="Times New Roman" w:cs="Times New Roman" w:eastAsia="Times New Roman"/>
          <w:color w:val="auto"/>
          <w:spacing w:val="0"/>
          <w:position w:val="0"/>
          <w:sz w:val="32"/>
          <w:shd w:fill="FFFFFF" w:val="clear"/>
        </w:rPr>
        <w:t xml:space="preserve">0.00</w:t>
      </w:r>
      <w:r>
        <w:rPr>
          <w:rFonts w:ascii="宋体" w:hAnsi="宋体" w:cs="宋体" w:eastAsia="宋体"/>
          <w:color w:val="auto"/>
          <w:spacing w:val="0"/>
          <w:position w:val="0"/>
          <w:sz w:val="32"/>
          <w:shd w:fill="FFFFFF" w:val="clear"/>
        </w:rPr>
        <w:t xml:space="preserve">万元。授予中小企业合同金额</w:t>
      </w:r>
      <w:r>
        <w:rPr>
          <w:rFonts w:ascii="Times New Roman" w:hAnsi="Times New Roman" w:cs="Times New Roman" w:eastAsia="Times New Roman"/>
          <w:color w:val="auto"/>
          <w:spacing w:val="0"/>
          <w:position w:val="0"/>
          <w:sz w:val="32"/>
          <w:shd w:fill="FFFFFF" w:val="clear"/>
        </w:rPr>
        <w:t xml:space="preserve">6.41</w:t>
      </w:r>
      <w:r>
        <w:rPr>
          <w:rFonts w:ascii="宋体" w:hAnsi="宋体" w:cs="宋体" w:eastAsia="宋体"/>
          <w:color w:val="auto"/>
          <w:spacing w:val="0"/>
          <w:position w:val="0"/>
          <w:sz w:val="32"/>
          <w:shd w:fill="auto" w:val="clear"/>
        </w:rPr>
        <w:t xml:space="preserve">万</w:t>
      </w:r>
      <w:r>
        <w:rPr>
          <w:rFonts w:ascii="宋体" w:hAnsi="宋体" w:cs="宋体" w:eastAsia="宋体"/>
          <w:color w:val="auto"/>
          <w:spacing w:val="0"/>
          <w:position w:val="0"/>
          <w:sz w:val="32"/>
          <w:shd w:fill="FFFFFF" w:val="clear"/>
        </w:rPr>
        <w:t xml:space="preserve">元，占政府采购支出总额的</w:t>
      </w:r>
      <w:r>
        <w:rPr>
          <w:rFonts w:ascii="Times New Roman" w:hAnsi="Times New Roman" w:cs="Times New Roman" w:eastAsia="Times New Roman"/>
          <w:color w:val="auto"/>
          <w:spacing w:val="0"/>
          <w:position w:val="0"/>
          <w:sz w:val="32"/>
          <w:shd w:fill="FFFFFF" w:val="clear"/>
        </w:rPr>
        <w:t xml:space="preserve">100.0%</w:t>
      </w:r>
      <w:r>
        <w:rPr>
          <w:rFonts w:ascii="宋体" w:hAnsi="宋体" w:cs="宋体" w:eastAsia="宋体"/>
          <w:color w:val="auto"/>
          <w:spacing w:val="0"/>
          <w:position w:val="0"/>
          <w:sz w:val="32"/>
          <w:shd w:fill="FFFFFF" w:val="clear"/>
        </w:rPr>
        <w:t xml:space="preserve">，其中：授予小微企业合同金额</w:t>
      </w:r>
      <w:r>
        <w:rPr>
          <w:rFonts w:ascii="Times New Roman" w:hAnsi="Times New Roman" w:cs="Times New Roman" w:eastAsia="Times New Roman"/>
          <w:color w:val="auto"/>
          <w:spacing w:val="0"/>
          <w:position w:val="0"/>
          <w:sz w:val="32"/>
          <w:shd w:fill="FFFFFF" w:val="clear"/>
        </w:rPr>
        <w:t xml:space="preserve">6.41</w:t>
      </w:r>
      <w:r>
        <w:rPr>
          <w:rFonts w:ascii="宋体" w:hAnsi="宋体" w:cs="宋体" w:eastAsia="宋体"/>
          <w:color w:val="auto"/>
          <w:spacing w:val="0"/>
          <w:position w:val="0"/>
          <w:sz w:val="32"/>
          <w:shd w:fill="FFFFFF" w:val="clear"/>
        </w:rPr>
        <w:t xml:space="preserve">万元，占政府采购支出总额的</w:t>
      </w:r>
      <w:r>
        <w:rPr>
          <w:rFonts w:ascii="Times New Roman" w:hAnsi="Times New Roman" w:cs="Times New Roman" w:eastAsia="Times New Roman"/>
          <w:color w:val="auto"/>
          <w:spacing w:val="0"/>
          <w:position w:val="0"/>
          <w:sz w:val="32"/>
          <w:shd w:fill="FFFFFF" w:val="clear"/>
        </w:rPr>
        <w:t xml:space="preserve">100.0 %</w:t>
      </w:r>
      <w:r>
        <w:rPr>
          <w:rFonts w:ascii="宋体" w:hAnsi="宋体" w:cs="宋体" w:eastAsia="宋体"/>
          <w:color w:val="auto"/>
          <w:spacing w:val="0"/>
          <w:position w:val="0"/>
          <w:sz w:val="32"/>
          <w:shd w:fill="FFFFFF" w:val="clear"/>
        </w:rPr>
        <w:t xml:space="preserve">。主要用于采购办公用打印</w:t>
      </w:r>
      <w:r>
        <w:rPr>
          <w:rFonts w:ascii="方正仿宋_GBK" w:hAnsi="方正仿宋_GBK" w:cs="方正仿宋_GBK" w:eastAsia="方正仿宋_GBK"/>
          <w:color w:val="auto"/>
          <w:spacing w:val="0"/>
          <w:position w:val="0"/>
          <w:sz w:val="32"/>
          <w:shd w:fill="FFFFFF" w:val="clear"/>
        </w:rPr>
        <w:t xml:space="preserve">A4</w:t>
      </w:r>
      <w:r>
        <w:rPr>
          <w:rFonts w:ascii="宋体" w:hAnsi="宋体" w:cs="宋体" w:eastAsia="宋体"/>
          <w:color w:val="auto"/>
          <w:spacing w:val="0"/>
          <w:position w:val="0"/>
          <w:sz w:val="32"/>
          <w:shd w:fill="FFFFFF" w:val="clear"/>
        </w:rPr>
        <w:t xml:space="preserve">纸。</w:t>
      </w:r>
    </w:p>
    <w:p>
      <w:pPr>
        <w:numPr>
          <w:ilvl w:val="0"/>
          <w:numId w:val="43"/>
        </w:numPr>
        <w:spacing w:before="100" w:after="100" w:line="240"/>
        <w:ind w:right="0" w:left="0" w:firstLine="0"/>
        <w:jc w:val="left"/>
        <w:rPr>
          <w:rFonts w:ascii="黑体" w:hAnsi="黑体" w:cs="黑体" w:eastAsia="黑体"/>
          <w:b/>
          <w:color w:val="auto"/>
          <w:spacing w:val="0"/>
          <w:position w:val="0"/>
          <w:sz w:val="32"/>
          <w:shd w:fill="FFFFFF" w:val="clear"/>
        </w:rPr>
      </w:pPr>
      <w:r>
        <w:rPr>
          <w:rFonts w:ascii="黑体" w:hAnsi="黑体" w:cs="黑体" w:eastAsia="黑体"/>
          <w:b/>
          <w:color w:val="auto"/>
          <w:spacing w:val="0"/>
          <w:position w:val="0"/>
          <w:sz w:val="32"/>
          <w:shd w:fill="FFFFFF" w:val="clear"/>
        </w:rPr>
        <w:t xml:space="preserve">预算绩效管理情况说明</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（一）单位自评情况</w:t>
      </w:r>
    </w:p>
    <w:p>
      <w:pPr>
        <w:spacing w:before="0" w:after="0" w:line="560"/>
        <w:ind w:right="0" w:left="0" w:firstLine="640"/>
        <w:jc w:val="left"/>
        <w:rPr>
          <w:rFonts w:ascii="方正仿宋_GBK" w:hAnsi="方正仿宋_GBK" w:cs="方正仿宋_GBK" w:eastAsia="方正仿宋_GBK"/>
          <w:color w:val="333333"/>
          <w:spacing w:val="0"/>
          <w:position w:val="0"/>
          <w:sz w:val="32"/>
          <w:shd w:fill="FFFFFF" w:val="clear"/>
        </w:rPr>
      </w:pPr>
      <w:r>
        <w:rPr>
          <w:rFonts w:ascii="宋体" w:hAnsi="宋体" w:cs="宋体" w:eastAsia="宋体"/>
          <w:color w:val="333333"/>
          <w:spacing w:val="0"/>
          <w:position w:val="0"/>
          <w:sz w:val="32"/>
          <w:shd w:fill="FFFFFF" w:val="clear"/>
        </w:rPr>
        <w:t xml:space="preserve">根据预算绩效管理要求</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本部门对</w:t>
      </w:r>
      <w:r>
        <w:rPr>
          <w:rFonts w:ascii="方正仿宋_GBK" w:hAnsi="方正仿宋_GBK" w:cs="方正仿宋_GBK" w:eastAsia="方正仿宋_GBK"/>
          <w:color w:val="333333"/>
          <w:spacing w:val="0"/>
          <w:position w:val="0"/>
          <w:sz w:val="32"/>
          <w:shd w:fill="FFFFFF" w:val="clear"/>
        </w:rPr>
        <w:t xml:space="preserve">14</w:t>
      </w:r>
      <w:r>
        <w:rPr>
          <w:rFonts w:ascii="宋体" w:hAnsi="宋体" w:cs="宋体" w:eastAsia="宋体"/>
          <w:color w:val="333333"/>
          <w:spacing w:val="0"/>
          <w:position w:val="0"/>
          <w:sz w:val="32"/>
          <w:shd w:fill="FFFFFF" w:val="clear"/>
        </w:rPr>
        <w:t xml:space="preserve">个项目开展了绩效自评</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涉及资金</w:t>
      </w:r>
      <w:r>
        <w:rPr>
          <w:rFonts w:ascii="方正仿宋_GBK" w:hAnsi="方正仿宋_GBK" w:cs="方正仿宋_GBK" w:eastAsia="方正仿宋_GBK"/>
          <w:color w:val="333333"/>
          <w:spacing w:val="0"/>
          <w:position w:val="0"/>
          <w:sz w:val="32"/>
          <w:shd w:fill="FFFFFF" w:val="clear"/>
        </w:rPr>
        <w:t xml:space="preserve">747.15</w:t>
      </w:r>
      <w:r>
        <w:rPr>
          <w:rFonts w:ascii="宋体" w:hAnsi="宋体" w:cs="宋体" w:eastAsia="宋体"/>
          <w:color w:val="333333"/>
          <w:spacing w:val="0"/>
          <w:position w:val="0"/>
          <w:sz w:val="32"/>
          <w:shd w:fill="FFFFFF" w:val="clear"/>
        </w:rPr>
        <w:t xml:space="preserve">万元</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从评价情况来看</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项目立项较为规范</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绩效目标明确</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预算编制合理</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管理科学规范</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资金到位及时</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总体完成情况较好。现将有关开展情况汇报如下</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一是各级领导高度重视预算绩效管理工作</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二是合理选择项目、合理分配资金使有限的财政资金发挥更大的效益</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三是通过开展预算资金绩效评价</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健全了项目资金的核算与管理</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逐步形成自我约束</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内部规范的良性机制</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四是预算绩效评价</w:t>
      </w:r>
      <w:r>
        <w:rPr>
          <w:rFonts w:ascii="方正仿宋_GBK" w:hAnsi="方正仿宋_GBK" w:cs="方正仿宋_GBK" w:eastAsia="方正仿宋_GBK"/>
          <w:color w:val="333333"/>
          <w:spacing w:val="0"/>
          <w:position w:val="0"/>
          <w:sz w:val="32"/>
          <w:shd w:fill="FFFFFF" w:val="clear"/>
        </w:rPr>
        <w:t xml:space="preserve">,</w:t>
      </w:r>
      <w:r>
        <w:rPr>
          <w:rFonts w:ascii="宋体" w:hAnsi="宋体" w:cs="宋体" w:eastAsia="宋体"/>
          <w:color w:val="333333"/>
          <w:spacing w:val="0"/>
          <w:position w:val="0"/>
          <w:sz w:val="32"/>
          <w:shd w:fill="FFFFFF" w:val="clear"/>
        </w:rPr>
        <w:t xml:space="preserve">提高了管理水平和资金的使用效益。</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（二）单位绩效评价情况</w:t>
      </w:r>
    </w:p>
    <w:p>
      <w:pPr>
        <w:spacing w:before="0" w:after="0" w:line="240"/>
        <w:ind w:right="0" w:left="0" w:firstLine="640"/>
        <w:jc w:val="left"/>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auto" w:val="clear"/>
        </w:rPr>
        <w:t xml:space="preserve">我单位未组织开展绩效评价。</w:t>
      </w:r>
    </w:p>
    <w:p>
      <w:pPr>
        <w:spacing w:before="0" w:after="0" w:line="240"/>
        <w:ind w:right="0" w:left="0" w:firstLine="643"/>
        <w:jc w:val="left"/>
        <w:rPr>
          <w:rFonts w:ascii="楷体" w:hAnsi="楷体" w:cs="楷体" w:eastAsia="楷体"/>
          <w:b/>
          <w:color w:val="auto"/>
          <w:spacing w:val="0"/>
          <w:position w:val="0"/>
          <w:sz w:val="32"/>
          <w:shd w:fill="FFFFFF" w:val="clear"/>
        </w:rPr>
      </w:pPr>
      <w:r>
        <w:rPr>
          <w:rFonts w:ascii="楷体" w:hAnsi="楷体" w:cs="楷体" w:eastAsia="楷体"/>
          <w:b/>
          <w:color w:val="auto"/>
          <w:spacing w:val="0"/>
          <w:position w:val="0"/>
          <w:sz w:val="32"/>
          <w:shd w:fill="FFFFFF" w:val="clear"/>
        </w:rPr>
        <w:t xml:space="preserve">（三）财政绩效评价情况</w:t>
      </w:r>
    </w:p>
    <w:p>
      <w:pPr>
        <w:spacing w:before="0" w:after="0" w:line="240"/>
        <w:ind w:right="0" w:left="0" w:firstLine="640"/>
        <w:jc w:val="left"/>
        <w:rPr>
          <w:rFonts w:ascii="方正仿宋_GBK" w:hAnsi="方正仿宋_GBK" w:cs="方正仿宋_GBK" w:eastAsia="方正仿宋_GBK"/>
          <w:color w:val="auto"/>
          <w:spacing w:val="0"/>
          <w:position w:val="0"/>
          <w:sz w:val="32"/>
          <w:shd w:fill="auto" w:val="clear"/>
        </w:rPr>
      </w:pPr>
      <w:r>
        <w:rPr>
          <w:rFonts w:ascii="宋体" w:hAnsi="宋体" w:cs="宋体" w:eastAsia="宋体"/>
          <w:color w:val="auto"/>
          <w:spacing w:val="0"/>
          <w:position w:val="0"/>
          <w:sz w:val="32"/>
          <w:shd w:fill="auto" w:val="clear"/>
        </w:rPr>
        <w:t xml:space="preserve">市财政局未委托第三方对我单位开展绩效评价。</w:t>
      </w:r>
    </w:p>
    <w:p>
      <w:pPr>
        <w:spacing w:before="100" w:after="100" w:line="240"/>
        <w:ind w:right="0" w:left="0" w:firstLine="0"/>
        <w:jc w:val="left"/>
        <w:rPr>
          <w:rFonts w:ascii="方正仿宋_GBK" w:hAnsi="方正仿宋_GBK" w:cs="方正仿宋_GBK" w:eastAsia="方正仿宋_GBK"/>
          <w:b/>
          <w:color w:val="auto"/>
          <w:spacing w:val="0"/>
          <w:position w:val="0"/>
          <w:sz w:val="32"/>
          <w:shd w:fill="FFFFFF" w:val="clear"/>
        </w:rPr>
      </w:pPr>
      <w:r>
        <w:rPr>
          <w:rFonts w:ascii="宋体" w:hAnsi="宋体" w:cs="宋体" w:eastAsia="宋体"/>
          <w:b/>
          <w:color w:val="auto"/>
          <w:spacing w:val="0"/>
          <w:position w:val="0"/>
          <w:sz w:val="32"/>
          <w:shd w:fill="FFFFFF" w:val="clear"/>
        </w:rPr>
        <w:t xml:space="preserve"> </w:t>
      </w:r>
      <w:r>
        <w:rPr>
          <w:rFonts w:ascii="方正仿宋_GBK" w:hAnsi="方正仿宋_GBK" w:cs="方正仿宋_GBK" w:eastAsia="方正仿宋_GBK"/>
          <w:b/>
          <w:color w:val="auto"/>
          <w:spacing w:val="0"/>
          <w:position w:val="0"/>
          <w:sz w:val="32"/>
          <w:shd w:fill="FFFFFF" w:val="clear"/>
        </w:rPr>
        <w:t xml:space="preserve"> </w:t>
      </w:r>
      <w:r>
        <w:rPr>
          <w:rFonts w:ascii="黑体" w:hAnsi="黑体" w:cs="黑体" w:eastAsia="黑体"/>
          <w:b/>
          <w:color w:val="auto"/>
          <w:spacing w:val="0"/>
          <w:position w:val="0"/>
          <w:sz w:val="32"/>
          <w:shd w:fill="FFFFFF" w:val="clear"/>
        </w:rPr>
        <w:t xml:space="preserve">六、专业名词解释</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（一）财政拨款收入：</w:t>
      </w:r>
      <w:r>
        <w:rPr>
          <w:rFonts w:ascii="楷体" w:hAnsi="楷体" w:cs="楷体" w:eastAsia="楷体"/>
          <w:color w:val="auto"/>
          <w:spacing w:val="0"/>
          <w:position w:val="0"/>
          <w:sz w:val="32"/>
          <w:shd w:fill="FFFFFF" w:val="clear"/>
        </w:rPr>
        <w:t xml:space="preserve">指本年度从本级财政部门取得的财政拨款，包括一般公共预算财政拨款和政府性基金预算财政拨款。</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（二）事业收入</w:t>
      </w:r>
      <w:r>
        <w:rPr>
          <w:rFonts w:ascii="楷体" w:hAnsi="楷体" w:cs="楷体" w:eastAsia="楷体"/>
          <w:color w:val="auto"/>
          <w:spacing w:val="0"/>
          <w:position w:val="0"/>
          <w:sz w:val="32"/>
          <w:shd w:fill="FFFFFF" w:val="clear"/>
        </w:rPr>
        <w:t xml:space="preserve">：指事业单位开展专业业务活动及其辅助活动取得的现金流入；事业单位收到的财政专户实际核拨的教育收费等资金在此反映。</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（三）经营收入</w:t>
      </w:r>
      <w:r>
        <w:rPr>
          <w:rFonts w:ascii="楷体" w:hAnsi="楷体" w:cs="楷体" w:eastAsia="楷体"/>
          <w:color w:val="auto"/>
          <w:spacing w:val="0"/>
          <w:position w:val="0"/>
          <w:sz w:val="32"/>
          <w:shd w:fill="FFFFFF" w:val="clear"/>
        </w:rPr>
        <w:t xml:space="preserve">：指事业单位在专业业务活动及其辅助活动之外开展非独立核算经营活动取得的现金流入。</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（四）其他收入</w:t>
      </w:r>
      <w:r>
        <w:rPr>
          <w:rFonts w:ascii="楷体" w:hAnsi="楷体" w:cs="楷体" w:eastAsia="楷体"/>
          <w:color w:val="auto"/>
          <w:spacing w:val="0"/>
          <w:position w:val="0"/>
          <w:sz w:val="32"/>
          <w:shd w:fill="FFFFFF" w:val="clear"/>
        </w:rPr>
        <w:t xml:space="preserve">：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0" w:after="0" w:line="600"/>
        <w:ind w:right="0" w:left="0" w:firstLine="643"/>
        <w:jc w:val="both"/>
        <w:rPr>
          <w:rFonts w:ascii="方正仿宋_GBK" w:hAnsi="方正仿宋_GBK" w:cs="方正仿宋_GBK" w:eastAsia="方正仿宋_GBK"/>
          <w:color w:val="auto"/>
          <w:spacing w:val="0"/>
          <w:position w:val="0"/>
          <w:sz w:val="32"/>
          <w:shd w:fill="auto" w:val="clear"/>
        </w:rPr>
      </w:pPr>
      <w:r>
        <w:rPr>
          <w:rFonts w:ascii="楷体" w:hAnsi="楷体" w:cs="楷体" w:eastAsia="楷体"/>
          <w:b/>
          <w:color w:val="auto"/>
          <w:spacing w:val="0"/>
          <w:position w:val="0"/>
          <w:sz w:val="32"/>
          <w:shd w:fill="FFFFFF" w:val="clear"/>
        </w:rPr>
        <w:t xml:space="preserve">（五）使用非财政拨款结余</w:t>
      </w:r>
      <w:r>
        <w:rPr>
          <w:rFonts w:ascii="楷体" w:hAnsi="楷体" w:cs="楷体" w:eastAsia="楷体"/>
          <w:color w:val="auto"/>
          <w:spacing w:val="0"/>
          <w:position w:val="0"/>
          <w:sz w:val="32"/>
          <w:shd w:fill="FFFFFF" w:val="clear"/>
        </w:rPr>
        <w:t xml:space="preserve">：指单位在当年的“财政拨款收入”、“事业收入”、“经营收入”、“其他收入”等不足以安排当年支出的情况下，使用以前年度积累的非财政拨款结余弥补本年度收支缺口的资金。</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（六）年初结转和结余</w:t>
      </w:r>
      <w:r>
        <w:rPr>
          <w:rFonts w:ascii="楷体" w:hAnsi="楷体" w:cs="楷体" w:eastAsia="楷体"/>
          <w:color w:val="auto"/>
          <w:spacing w:val="0"/>
          <w:position w:val="0"/>
          <w:sz w:val="32"/>
          <w:shd w:fill="FFFFFF" w:val="clear"/>
        </w:rPr>
        <w:t xml:space="preserve">：指单位上年结转本年使用的基本支出结转、项目支出结转和结余、经营结余。</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（七）结余分配</w:t>
      </w:r>
      <w:r>
        <w:rPr>
          <w:rFonts w:ascii="楷体" w:hAnsi="楷体" w:cs="楷体" w:eastAsia="楷体"/>
          <w:color w:val="auto"/>
          <w:spacing w:val="0"/>
          <w:position w:val="0"/>
          <w:sz w:val="32"/>
          <w:shd w:fill="FFFFFF" w:val="clear"/>
        </w:rPr>
        <w:t xml:space="preserve">：指单位按照国家有关规定，缴所得税、提取专用基金、转入非财政拨款结余等当年结余的分配情况。</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（八）年末结转和结余</w:t>
      </w:r>
      <w:r>
        <w:rPr>
          <w:rFonts w:ascii="楷体" w:hAnsi="楷体" w:cs="楷体" w:eastAsia="楷体"/>
          <w:color w:val="auto"/>
          <w:spacing w:val="0"/>
          <w:position w:val="0"/>
          <w:sz w:val="32"/>
          <w:shd w:fill="FFFFFF" w:val="clear"/>
        </w:rPr>
        <w:t xml:space="preserve">：指单位结转下年的基本支出结转、项目支出结转和结余、经营结余。</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（九）基本支出</w:t>
      </w:r>
      <w:r>
        <w:rPr>
          <w:rFonts w:ascii="楷体" w:hAnsi="楷体" w:cs="楷体" w:eastAsia="楷体"/>
          <w:color w:val="auto"/>
          <w:spacing w:val="0"/>
          <w:position w:val="0"/>
          <w:sz w:val="32"/>
          <w:shd w:fill="FFFFFF" w:val="clear"/>
        </w:rPr>
        <w:t xml:space="preserve">：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（十）项目支出</w:t>
      </w:r>
      <w:r>
        <w:rPr>
          <w:rFonts w:ascii="楷体" w:hAnsi="楷体" w:cs="楷体" w:eastAsia="楷体"/>
          <w:color w:val="auto"/>
          <w:spacing w:val="0"/>
          <w:position w:val="0"/>
          <w:sz w:val="32"/>
          <w:shd w:fill="FFFFFF" w:val="clear"/>
        </w:rPr>
        <w:t xml:space="preserve">：指在基本支出之外为完成特定行政任务和事业发展目标所发生的支出。</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（十一）经营支出</w:t>
      </w:r>
      <w:r>
        <w:rPr>
          <w:rFonts w:ascii="楷体" w:hAnsi="楷体" w:cs="楷体" w:eastAsia="楷体"/>
          <w:color w:val="auto"/>
          <w:spacing w:val="0"/>
          <w:position w:val="0"/>
          <w:sz w:val="32"/>
          <w:shd w:fill="FFFFFF" w:val="clear"/>
        </w:rPr>
        <w:t xml:space="preserve">：指事业单位在专业业务活动及其辅助活动之外开展非独立核算经营活动发生的支出。</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（十二）“三公”经费</w:t>
      </w:r>
      <w:r>
        <w:rPr>
          <w:rFonts w:ascii="楷体" w:hAnsi="楷体" w:cs="楷体" w:eastAsia="楷体"/>
          <w:color w:val="auto"/>
          <w:spacing w:val="0"/>
          <w:position w:val="0"/>
          <w:sz w:val="32"/>
          <w:shd w:fill="FFFFFF" w:val="clear"/>
        </w:rPr>
        <w:t xml:space="preserve">：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（十三）机关运行经费</w:t>
      </w:r>
      <w:r>
        <w:rPr>
          <w:rFonts w:ascii="楷体" w:hAnsi="楷体" w:cs="楷体" w:eastAsia="楷体"/>
          <w:color w:val="auto"/>
          <w:spacing w:val="0"/>
          <w:position w:val="0"/>
          <w:sz w:val="32"/>
          <w:shd w:fill="FFFFFF" w:val="clear"/>
        </w:rPr>
        <w:t xml:space="preserve">：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（十四）工资福利支出（支出经济分类科目类级）</w:t>
      </w:r>
      <w:r>
        <w:rPr>
          <w:rFonts w:ascii="楷体" w:hAnsi="楷体" w:cs="楷体" w:eastAsia="楷体"/>
          <w:color w:val="auto"/>
          <w:spacing w:val="0"/>
          <w:position w:val="0"/>
          <w:sz w:val="32"/>
          <w:shd w:fill="FFFFFF" w:val="clear"/>
        </w:rPr>
        <w:t xml:space="preserve">：反映单位开支的在职职工和编制外长期聘用人员的各类劳动报酬，以及为上述人员缴纳的各项社会保险费等。</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（十五）商品和服务支出（支出经济分类科目类级）</w:t>
      </w:r>
      <w:r>
        <w:rPr>
          <w:rFonts w:ascii="楷体" w:hAnsi="楷体" w:cs="楷体" w:eastAsia="楷体"/>
          <w:color w:val="auto"/>
          <w:spacing w:val="0"/>
          <w:position w:val="0"/>
          <w:sz w:val="32"/>
          <w:shd w:fill="FFFFFF" w:val="clear"/>
        </w:rPr>
        <w:t xml:space="preserve">：反映单位购买商品和服务的支出（不包括用于购置固定资产的支出、战略性和应急储备支出）。</w:t>
      </w:r>
    </w:p>
    <w:p>
      <w:pPr>
        <w:spacing w:before="0" w:after="0" w:line="600"/>
        <w:ind w:right="0" w:left="0" w:firstLine="643"/>
        <w:jc w:val="both"/>
        <w:rPr>
          <w:rFonts w:ascii="方正仿宋_GBK" w:hAnsi="方正仿宋_GBK" w:cs="方正仿宋_GBK" w:eastAsia="方正仿宋_GBK"/>
          <w:color w:val="auto"/>
          <w:spacing w:val="0"/>
          <w:position w:val="0"/>
          <w:sz w:val="32"/>
          <w:shd w:fill="auto" w:val="clear"/>
        </w:rPr>
      </w:pPr>
      <w:r>
        <w:rPr>
          <w:rFonts w:ascii="楷体" w:hAnsi="楷体" w:cs="楷体" w:eastAsia="楷体"/>
          <w:b/>
          <w:color w:val="auto"/>
          <w:spacing w:val="0"/>
          <w:position w:val="0"/>
          <w:sz w:val="32"/>
          <w:shd w:fill="FFFFFF" w:val="clear"/>
        </w:rPr>
        <w:t xml:space="preserve"> （十六）对个人和家庭的补助（支出经济分类科目类级）</w:t>
      </w:r>
      <w:r>
        <w:rPr>
          <w:rFonts w:ascii="楷体" w:hAnsi="楷体" w:cs="楷体" w:eastAsia="楷体"/>
          <w:color w:val="auto"/>
          <w:spacing w:val="0"/>
          <w:position w:val="0"/>
          <w:sz w:val="32"/>
          <w:shd w:fill="FFFFFF" w:val="clear"/>
        </w:rPr>
        <w:t xml:space="preserve">：反映用于对个人和家庭的补助支出。</w:t>
      </w:r>
    </w:p>
    <w:p>
      <w:pPr>
        <w:spacing w:before="0" w:after="0" w:line="600"/>
        <w:ind w:right="0" w:left="0" w:firstLine="640"/>
        <w:jc w:val="both"/>
        <w:rPr>
          <w:rFonts w:ascii="方正仿宋_GBK" w:hAnsi="方正仿宋_GBK" w:cs="方正仿宋_GBK" w:eastAsia="方正仿宋_GBK"/>
          <w:color w:val="auto"/>
          <w:spacing w:val="0"/>
          <w:position w:val="0"/>
          <w:sz w:val="32"/>
          <w:shd w:fill="auto" w:val="clear"/>
        </w:rPr>
      </w:pPr>
      <w:r>
        <w:rPr>
          <w:rFonts w:ascii="宋体" w:hAnsi="宋体" w:cs="宋体" w:eastAsia="宋体"/>
          <w:b/>
          <w:color w:val="auto"/>
          <w:spacing w:val="0"/>
          <w:position w:val="0"/>
          <w:sz w:val="32"/>
          <w:shd w:fill="FFFFFF" w:val="clear"/>
        </w:rPr>
        <w:t xml:space="preserve"> </w:t>
      </w:r>
      <w:r>
        <w:rPr>
          <w:rFonts w:ascii="楷体" w:hAnsi="楷体" w:cs="楷体" w:eastAsia="楷体"/>
          <w:b/>
          <w:color w:val="auto"/>
          <w:spacing w:val="0"/>
          <w:position w:val="0"/>
          <w:sz w:val="32"/>
          <w:shd w:fill="FFFFFF" w:val="clear"/>
        </w:rPr>
        <w:t xml:space="preserve">（十七）其他资本性支出（支出经济分类科目类级）</w:t>
      </w:r>
      <w:r>
        <w:rPr>
          <w:rFonts w:ascii="楷体" w:hAnsi="楷体" w:cs="楷体" w:eastAsia="楷体"/>
          <w:color w:val="auto"/>
          <w:spacing w:val="0"/>
          <w:position w:val="0"/>
          <w:sz w:val="32"/>
          <w:shd w:fill="FFFFFF" w:val="clear"/>
        </w:rPr>
        <w:t xml:space="preserve">：反映非各级发展与改革部门集中安排的用于购置固定资产、战略性和应急性储备、土地和无形资产，以及构建基础设施、大型修缮和财政支持企业更新改造所发生的支出。</w:t>
      </w:r>
    </w:p>
    <w:p>
      <w:pPr>
        <w:spacing w:before="100" w:after="100" w:line="240"/>
        <w:ind w:right="0" w:left="0" w:firstLine="0"/>
        <w:jc w:val="left"/>
        <w:rPr>
          <w:rFonts w:ascii="方正仿宋_GBK" w:hAnsi="方正仿宋_GBK" w:cs="方正仿宋_GBK" w:eastAsia="方正仿宋_GBK"/>
          <w:b/>
          <w:color w:val="auto"/>
          <w:spacing w:val="0"/>
          <w:position w:val="0"/>
          <w:sz w:val="32"/>
          <w:shd w:fill="FFFFFF" w:val="clear"/>
        </w:rPr>
      </w:pPr>
      <w:r>
        <w:rPr>
          <w:rFonts w:ascii="宋体" w:hAnsi="宋体" w:cs="宋体" w:eastAsia="宋体"/>
          <w:b/>
          <w:color w:val="auto"/>
          <w:spacing w:val="0"/>
          <w:position w:val="0"/>
          <w:sz w:val="32"/>
          <w:shd w:fill="FFFFFF" w:val="clear"/>
        </w:rPr>
        <w:t xml:space="preserve"> </w:t>
      </w:r>
      <w:r>
        <w:rPr>
          <w:rFonts w:ascii="方正仿宋_GBK" w:hAnsi="方正仿宋_GBK" w:cs="方正仿宋_GBK" w:eastAsia="方正仿宋_GBK"/>
          <w:b/>
          <w:color w:val="auto"/>
          <w:spacing w:val="0"/>
          <w:position w:val="0"/>
          <w:sz w:val="32"/>
          <w:shd w:fill="FFFFFF" w:val="clear"/>
        </w:rPr>
        <w:t xml:space="preserve"> </w:t>
      </w:r>
      <w:r>
        <w:rPr>
          <w:rFonts w:ascii="黑体" w:hAnsi="黑体" w:cs="黑体" w:eastAsia="黑体"/>
          <w:b/>
          <w:color w:val="auto"/>
          <w:spacing w:val="0"/>
          <w:position w:val="0"/>
          <w:sz w:val="32"/>
          <w:shd w:fill="FFFFFF" w:val="clear"/>
        </w:rPr>
        <w:t xml:space="preserve">七、决算公开联系方式及信息反馈渠道</w:t>
      </w:r>
    </w:p>
    <w:p>
      <w:pPr>
        <w:spacing w:before="0" w:after="0" w:line="600"/>
        <w:ind w:right="0" w:left="0" w:firstLine="640"/>
        <w:jc w:val="both"/>
        <w:rPr>
          <w:rFonts w:ascii="方正仿宋_GBK" w:hAnsi="方正仿宋_GBK" w:cs="方正仿宋_GBK" w:eastAsia="方正仿宋_GBK"/>
          <w:color w:val="auto"/>
          <w:spacing w:val="0"/>
          <w:position w:val="0"/>
          <w:sz w:val="32"/>
          <w:shd w:fill="FFFFFF" w:val="clear"/>
        </w:rPr>
      </w:pPr>
      <w:r>
        <w:rPr>
          <w:rFonts w:ascii="宋体" w:hAnsi="宋体" w:cs="宋体" w:eastAsia="宋体"/>
          <w:color w:val="auto"/>
          <w:spacing w:val="0"/>
          <w:position w:val="0"/>
          <w:sz w:val="32"/>
          <w:shd w:fill="FFFFFF" w:val="clear"/>
        </w:rPr>
        <w:t xml:space="preserve">本单位决算公开信息反馈和联系方式：</w:t>
      </w:r>
    </w:p>
    <w:p>
      <w:pPr>
        <w:spacing w:before="0" w:after="0" w:line="600"/>
        <w:ind w:right="0" w:left="0" w:firstLine="640"/>
        <w:jc w:val="both"/>
        <w:rPr>
          <w:rFonts w:ascii="方正仿宋_GBK" w:hAnsi="方正仿宋_GBK" w:cs="方正仿宋_GBK" w:eastAsia="方正仿宋_GBK"/>
          <w:color w:val="auto"/>
          <w:spacing w:val="0"/>
          <w:position w:val="0"/>
          <w:sz w:val="32"/>
          <w:u w:val="single"/>
          <w:shd w:fill="FFFFFF" w:val="clear"/>
        </w:rPr>
      </w:pPr>
      <w:r>
        <w:rPr>
          <w:rFonts w:ascii="宋体" w:hAnsi="宋体" w:cs="宋体" w:eastAsia="宋体"/>
          <w:color w:val="auto"/>
          <w:spacing w:val="0"/>
          <w:position w:val="0"/>
          <w:sz w:val="32"/>
          <w:shd w:fill="FFFFFF" w:val="clear"/>
        </w:rPr>
        <w:t xml:space="preserve">王天斌</w:t>
      </w:r>
      <w:r>
        <w:rPr>
          <w:rFonts w:ascii="方正仿宋_GBK" w:hAnsi="方正仿宋_GBK" w:cs="方正仿宋_GBK" w:eastAsia="方正仿宋_GBK"/>
          <w:color w:val="auto"/>
          <w:spacing w:val="0"/>
          <w:position w:val="0"/>
          <w:sz w:val="32"/>
          <w:u w:val="single"/>
          <w:shd w:fill="FFFFFF" w:val="clear"/>
        </w:rPr>
        <w:t xml:space="preserve">317975560@qq.com,      023-81850613</w:t>
      </w:r>
    </w:p>
    <w:p>
      <w:pPr>
        <w:spacing w:before="0" w:after="0" w:line="596"/>
        <w:ind w:right="0" w:left="0" w:firstLine="643"/>
        <w:jc w:val="left"/>
        <w:rPr>
          <w:rFonts w:ascii="黑体" w:hAnsi="黑体" w:cs="黑体" w:eastAsia="黑体"/>
          <w:b/>
          <w:color w:val="auto"/>
          <w:spacing w:val="0"/>
          <w:position w:val="0"/>
          <w:sz w:val="32"/>
          <w:shd w:fill="FFFFFF" w:val="clear"/>
        </w:rPr>
      </w:pPr>
    </w:p>
    <w:p>
      <w:pPr>
        <w:spacing w:before="0" w:after="0" w:line="596"/>
        <w:ind w:right="0" w:left="0" w:firstLine="643"/>
        <w:jc w:val="left"/>
        <w:rPr>
          <w:rFonts w:ascii="黑体" w:hAnsi="黑体" w:cs="黑体" w:eastAsia="黑体"/>
          <w:b/>
          <w:color w:val="auto"/>
          <w:spacing w:val="0"/>
          <w:position w:val="0"/>
          <w:sz w:val="32"/>
          <w:shd w:fill="FFFFFF" w:val="clear"/>
        </w:rPr>
      </w:pPr>
    </w:p>
    <w:p>
      <w:pPr>
        <w:spacing w:before="0" w:after="0" w:line="596"/>
        <w:ind w:right="0" w:left="0" w:firstLine="0"/>
        <w:jc w:val="left"/>
        <w:rPr>
          <w:rFonts w:ascii="方正仿宋_GBK" w:hAnsi="方正仿宋_GBK" w:cs="方正仿宋_GBK" w:eastAsia="方正仿宋_GBK"/>
          <w:color w:val="auto"/>
          <w:spacing w:val="0"/>
          <w:position w:val="0"/>
          <w:sz w:val="32"/>
          <w:shd w:fill="auto" w:val="clear"/>
        </w:rPr>
      </w:pPr>
    </w:p>
    <w:p>
      <w:pPr>
        <w:spacing w:before="0" w:after="0" w:line="596"/>
        <w:ind w:right="0" w:left="0" w:firstLine="641"/>
        <w:jc w:val="both"/>
        <w:rPr>
          <w:rFonts w:ascii="方正仿宋_GBK" w:hAnsi="方正仿宋_GBK" w:cs="方正仿宋_GBK" w:eastAsia="方正仿宋_GBK"/>
          <w:b/>
          <w:color w:val="auto"/>
          <w:spacing w:val="0"/>
          <w:position w:val="0"/>
          <w:sz w:val="32"/>
          <w:shd w:fill="FFFF00" w:val="clear"/>
        </w:rPr>
      </w:pPr>
    </w:p>
    <w:tbl>
      <w:tblPr/>
      <w:tblGrid>
        <w:gridCol w:w="4294"/>
        <w:gridCol w:w="3558"/>
        <w:gridCol w:w="4044"/>
        <w:gridCol w:w="2841"/>
      </w:tblGrid>
      <w:tr>
        <w:trPr>
          <w:trHeight w:val="232" w:hRule="auto"/>
          <w:jc w:val="left"/>
        </w:trPr>
        <w:tc>
          <w:tcPr>
            <w:tcW w:w="14737"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40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收入支出决算总表</w:t>
            </w:r>
          </w:p>
        </w:tc>
      </w:tr>
      <w:tr>
        <w:trPr>
          <w:trHeight w:val="232" w:hRule="auto"/>
          <w:jc w:val="left"/>
        </w:trPr>
        <w:tc>
          <w:tcPr>
            <w:tcW w:w="42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01</w:t>
            </w:r>
            <w:r>
              <w:rPr>
                <w:rFonts w:ascii="宋体" w:hAnsi="宋体" w:cs="宋体" w:eastAsia="宋体"/>
                <w:color w:val="000000"/>
                <w:spacing w:val="0"/>
                <w:position w:val="0"/>
                <w:sz w:val="20"/>
                <w:shd w:fill="auto" w:val="clear"/>
              </w:rPr>
              <w:t xml:space="preserve">表</w:t>
            </w:r>
          </w:p>
        </w:tc>
      </w:tr>
      <w:tr>
        <w:trPr>
          <w:trHeight w:val="232" w:hRule="auto"/>
          <w:jc w:val="left"/>
        </w:trPr>
        <w:tc>
          <w:tcPr>
            <w:tcW w:w="7852"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单位：丰都县第一小学校</w:t>
            </w:r>
          </w:p>
        </w:tc>
        <w:tc>
          <w:tcPr>
            <w:tcW w:w="404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243" w:hRule="auto"/>
          <w:jc w:val="left"/>
        </w:trPr>
        <w:tc>
          <w:tcPr>
            <w:tcW w:w="7852"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收入</w:t>
            </w:r>
          </w:p>
        </w:tc>
        <w:tc>
          <w:tcPr>
            <w:tcW w:w="6885" w:type="dxa"/>
            <w:gridSpan w:val="2"/>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支出</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决算数</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决算数</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一、一般公共预算财政拨款收入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6,152.27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一、一般公共服务支出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二、政府性基金预算财政拨款收入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二、外交支出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三、国有资本经营预算财政拨款收入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三、国防支出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四、上级补助收入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四、公共安全支出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五、事业收入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235.44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五、教育支出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5,573.69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六、经营收入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六、科学技术支出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七、附属单位上缴收入</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七、文化旅游体育与传媒支出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八、其他收入</w:t>
            </w:r>
          </w:p>
        </w:tc>
        <w:tc>
          <w:tcPr>
            <w:tcW w:w="3558" w:type="dxa"/>
            <w:tcBorders>
              <w:top w:val="single" w:color="000000" w:sz="0"/>
              <w:left w:val="single" w:color="000000" w:sz="0"/>
              <w:bottom w:val="single" w:color="000000" w:sz="0"/>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625.60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八、社会保障和就业支出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1,010.55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九、卫生健康支出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281.73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十、节能环保支出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十一、城乡社区支出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十二、农林水支出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十三、交通运输支出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十四、资源勘探工业信息等支出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十五、商业服务业等支出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十六、金融支出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十七、援助其他地区支出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90"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十八、自然资源海洋气象等支出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十九、住房保障支出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二十、粮油物资储备支出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二十一、国有资本经营预算支出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二十二、灾害防治及应急管理支出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二十三、其他支出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二十四、债务还本支出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二十五、债务付息支出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二十六、抗疫特别国债安排的支出</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本年收入合计</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7,013.32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本年支出合计</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7,129.73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使用非财政拨款结余（含专用结余）</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结余分配</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24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年初结转和结余</w:t>
            </w:r>
          </w:p>
        </w:tc>
        <w:tc>
          <w:tcPr>
            <w:tcW w:w="35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196.45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年末结转和结余</w:t>
            </w:r>
          </w:p>
        </w:tc>
        <w:tc>
          <w:tcPr>
            <w:tcW w:w="28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80.04 </w:t>
            </w:r>
          </w:p>
        </w:tc>
      </w:tr>
      <w:tr>
        <w:trPr>
          <w:trHeight w:val="253" w:hRule="auto"/>
          <w:jc w:val="left"/>
        </w:trPr>
        <w:tc>
          <w:tcPr>
            <w:tcW w:w="4294"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总计</w:t>
            </w:r>
          </w:p>
        </w:tc>
        <w:tc>
          <w:tcPr>
            <w:tcW w:w="35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7,209.77 </w:t>
            </w:r>
          </w:p>
        </w:tc>
        <w:tc>
          <w:tcPr>
            <w:tcW w:w="404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总计</w:t>
            </w:r>
          </w:p>
        </w:tc>
        <w:tc>
          <w:tcPr>
            <w:tcW w:w="284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7,209.77 </w:t>
            </w:r>
          </w:p>
        </w:tc>
      </w:tr>
    </w:tbl>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0"/>
          <w:shd w:fill="auto" w:val="clear"/>
        </w:rPr>
      </w:pPr>
      <w:r>
        <w:rPr>
          <w:rFonts w:ascii="宋体" w:hAnsi="宋体" w:cs="宋体" w:eastAsia="宋体"/>
          <w:color w:val="auto"/>
          <w:spacing w:val="0"/>
          <w:position w:val="0"/>
          <w:sz w:val="20"/>
          <w:shd w:fill="auto" w:val="clear"/>
        </w:rPr>
        <w:t xml:space="preserve">备注：1.本表反映单位本年度的总收支和年末结转结余情况。</w:t>
        <w:br/>
        <w:t xml:space="preserve">      2.本套报表金额单位转换时可能存在尾数误差。</w:t>
        <w:br/>
        <w:br/>
      </w:r>
    </w:p>
    <w:tbl>
      <w:tblPr/>
      <w:tblGrid>
        <w:gridCol w:w="1430"/>
        <w:gridCol w:w="2918"/>
        <w:gridCol w:w="1581"/>
        <w:gridCol w:w="1448"/>
        <w:gridCol w:w="1256"/>
        <w:gridCol w:w="1436"/>
        <w:gridCol w:w="1460"/>
        <w:gridCol w:w="1293"/>
        <w:gridCol w:w="1349"/>
        <w:gridCol w:w="1334"/>
      </w:tblGrid>
      <w:tr>
        <w:trPr>
          <w:trHeight w:val="641" w:hRule="auto"/>
          <w:jc w:val="left"/>
        </w:trPr>
        <w:tc>
          <w:tcPr>
            <w:tcW w:w="15505" w:type="dxa"/>
            <w:gridSpan w:val="10"/>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收入决算表</w:t>
            </w:r>
          </w:p>
        </w:tc>
      </w:tr>
      <w:tr>
        <w:trPr>
          <w:trHeight w:val="328" w:hRule="auto"/>
          <w:jc w:val="left"/>
        </w:trPr>
        <w:tc>
          <w:tcPr>
            <w:tcW w:w="5929"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单位：丰都县第一小学校</w:t>
            </w:r>
          </w:p>
        </w:tc>
        <w:tc>
          <w:tcPr>
            <w:tcW w:w="144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25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3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6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293"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34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33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02</w:t>
            </w:r>
            <w:r>
              <w:rPr>
                <w:rFonts w:ascii="宋体" w:hAnsi="宋体" w:cs="宋体" w:eastAsia="宋体"/>
                <w:color w:val="000000"/>
                <w:spacing w:val="0"/>
                <w:position w:val="0"/>
                <w:sz w:val="20"/>
                <w:shd w:fill="auto" w:val="clear"/>
              </w:rPr>
              <w:t xml:space="preserve">表</w:t>
            </w:r>
          </w:p>
        </w:tc>
      </w:tr>
      <w:tr>
        <w:trPr>
          <w:trHeight w:val="328" w:hRule="auto"/>
          <w:jc w:val="left"/>
        </w:trPr>
        <w:tc>
          <w:tcPr>
            <w:tcW w:w="5929"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4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25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3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6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293"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34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33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431" w:hRule="auto"/>
          <w:jc w:val="left"/>
        </w:trPr>
        <w:tc>
          <w:tcPr>
            <w:tcW w:w="4348" w:type="dxa"/>
            <w:gridSpan w:val="2"/>
            <w:tcBorders>
              <w:top w:val="single" w:color="000000" w:sz="4"/>
              <w:left w:val="single" w:color="000000" w:sz="4"/>
              <w:bottom w:val="single" w:color="000000" w:sz="4"/>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1581"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本年收入合计</w:t>
            </w:r>
          </w:p>
        </w:tc>
        <w:tc>
          <w:tcPr>
            <w:tcW w:w="1448"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财政拨款收入</w:t>
            </w:r>
          </w:p>
        </w:tc>
        <w:tc>
          <w:tcPr>
            <w:tcW w:w="1256"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上级补助收入</w:t>
            </w:r>
          </w:p>
        </w:tc>
        <w:tc>
          <w:tcPr>
            <w:tcW w:w="2896"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事业收入</w:t>
            </w:r>
          </w:p>
        </w:tc>
        <w:tc>
          <w:tcPr>
            <w:tcW w:w="1293"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经营收入</w:t>
            </w:r>
          </w:p>
        </w:tc>
        <w:tc>
          <w:tcPr>
            <w:tcW w:w="1349"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附属单位上缴收入</w:t>
            </w:r>
          </w:p>
        </w:tc>
        <w:tc>
          <w:tcPr>
            <w:tcW w:w="1334"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其他收入</w:t>
            </w:r>
          </w:p>
        </w:tc>
      </w:tr>
      <w:tr>
        <w:trPr>
          <w:trHeight w:val="334" w:hRule="auto"/>
          <w:jc w:val="left"/>
        </w:trPr>
        <w:tc>
          <w:tcPr>
            <w:tcW w:w="1430"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功能分类科目编码</w:t>
            </w:r>
          </w:p>
        </w:tc>
        <w:tc>
          <w:tcPr>
            <w:tcW w:w="2918" w:type="dxa"/>
            <w:vMerge w:val="restart"/>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项目（按“项”级功能分类科目）</w:t>
            </w:r>
          </w:p>
        </w:tc>
        <w:tc>
          <w:tcPr>
            <w:tcW w:w="158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44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25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436"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小计</w:t>
            </w:r>
          </w:p>
        </w:tc>
        <w:tc>
          <w:tcPr>
            <w:tcW w:w="1460"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其中：教育收费</w:t>
            </w:r>
          </w:p>
        </w:tc>
        <w:tc>
          <w:tcPr>
            <w:tcW w:w="1293"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34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334"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r>
      <w:tr>
        <w:trPr>
          <w:trHeight w:val="334" w:hRule="auto"/>
          <w:jc w:val="left"/>
        </w:trPr>
        <w:tc>
          <w:tcPr>
            <w:tcW w:w="143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918"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8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4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3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93"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4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34"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4" w:hRule="auto"/>
          <w:jc w:val="left"/>
        </w:trPr>
        <w:tc>
          <w:tcPr>
            <w:tcW w:w="143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918"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8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4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3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93"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4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34"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4" w:hRule="auto"/>
          <w:jc w:val="left"/>
        </w:trPr>
        <w:tc>
          <w:tcPr>
            <w:tcW w:w="143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918"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8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4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36"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93"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4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34"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8" w:hRule="auto"/>
          <w:jc w:val="left"/>
        </w:trPr>
        <w:tc>
          <w:tcPr>
            <w:tcW w:w="4348"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158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7,013.32 </w:t>
            </w:r>
          </w:p>
        </w:tc>
        <w:tc>
          <w:tcPr>
            <w:tcW w:w="144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6,152.27 </w:t>
            </w:r>
          </w:p>
        </w:tc>
        <w:tc>
          <w:tcPr>
            <w:tcW w:w="125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46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29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625.60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教育支出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5,457.28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4,596.23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625.60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20502</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普通教育</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5,457.28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4,596.23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235.44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625.60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2050201</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学前教育</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161.36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150.32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11.04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2050202</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小学教育</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5,295.92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4,445.92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235.44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235.44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614.56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社会保障和就业支出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20805</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行政事业单位养老支出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2080505</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机关事业单位基本养老保险缴费支出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2080506</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机关事业单位职业年金缴费支出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2080599</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其他行政事业单位养老支出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卫生健康支出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21011</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行政事业单位医疗</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2101102</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事业单位医疗</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2101199</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其他行政事业单位医疗支出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住房保障支出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22102</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住房改革支出</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8" w:hRule="auto"/>
          <w:jc w:val="left"/>
        </w:trPr>
        <w:tc>
          <w:tcPr>
            <w:tcW w:w="143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2210201</w:t>
            </w:r>
          </w:p>
        </w:tc>
        <w:tc>
          <w:tcPr>
            <w:tcW w:w="291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住房公积金</w:t>
            </w:r>
          </w:p>
        </w:tc>
        <w:tc>
          <w:tcPr>
            <w:tcW w:w="158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144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125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3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46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2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4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33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bl>
    <w:p>
      <w:pPr>
        <w:spacing w:before="0" w:after="0" w:line="240"/>
        <w:ind w:right="0" w:left="600" w:hanging="600"/>
        <w:jc w:val="left"/>
        <w:rPr>
          <w:rFonts w:ascii="宋体" w:hAnsi="宋体" w:cs="宋体" w:eastAsia="宋体"/>
          <w:color w:val="auto"/>
          <w:spacing w:val="0"/>
          <w:position w:val="0"/>
          <w:sz w:val="20"/>
          <w:shd w:fill="auto" w:val="clear"/>
        </w:rPr>
      </w:pPr>
      <w:r>
        <w:rPr>
          <w:rFonts w:ascii="宋体" w:hAnsi="宋体" w:cs="宋体" w:eastAsia="宋体"/>
          <w:color w:val="auto"/>
          <w:spacing w:val="0"/>
          <w:position w:val="0"/>
          <w:sz w:val="20"/>
          <w:shd w:fill="auto" w:val="clear"/>
        </w:rPr>
        <w:t xml:space="preserve">备注：1.本表反映单位本年度取得的各项收入情况。</w:t>
        <w:br/>
        <w:t xml:space="preserve">2.本套报表金额单位转换时可能存在尾数误差。</w:t>
        <w:br/>
        <w:br/>
      </w:r>
    </w:p>
    <w:tbl>
      <w:tblPr/>
      <w:tblGrid>
        <w:gridCol w:w="1290"/>
        <w:gridCol w:w="3604"/>
        <w:gridCol w:w="1839"/>
        <w:gridCol w:w="1762"/>
        <w:gridCol w:w="1621"/>
        <w:gridCol w:w="1557"/>
        <w:gridCol w:w="1691"/>
        <w:gridCol w:w="1958"/>
      </w:tblGrid>
      <w:tr>
        <w:trPr>
          <w:trHeight w:val="654" w:hRule="auto"/>
          <w:jc w:val="left"/>
        </w:trPr>
        <w:tc>
          <w:tcPr>
            <w:tcW w:w="15322" w:type="dxa"/>
            <w:gridSpan w:val="8"/>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支出决算表</w:t>
            </w:r>
          </w:p>
        </w:tc>
      </w:tr>
      <w:tr>
        <w:trPr>
          <w:trHeight w:val="342" w:hRule="auto"/>
          <w:jc w:val="left"/>
        </w:trPr>
        <w:tc>
          <w:tcPr>
            <w:tcW w:w="6733"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 </w:t>
            </w:r>
          </w:p>
        </w:tc>
        <w:tc>
          <w:tcPr>
            <w:tcW w:w="176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2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55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95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03</w:t>
            </w:r>
            <w:r>
              <w:rPr>
                <w:rFonts w:ascii="宋体" w:hAnsi="宋体" w:cs="宋体" w:eastAsia="宋体"/>
                <w:color w:val="000000"/>
                <w:spacing w:val="0"/>
                <w:position w:val="0"/>
                <w:sz w:val="20"/>
                <w:shd w:fill="auto" w:val="clear"/>
              </w:rPr>
              <w:t xml:space="preserve">表</w:t>
            </w:r>
          </w:p>
        </w:tc>
      </w:tr>
      <w:tr>
        <w:trPr>
          <w:trHeight w:val="342" w:hRule="auto"/>
          <w:jc w:val="left"/>
        </w:trPr>
        <w:tc>
          <w:tcPr>
            <w:tcW w:w="6733"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2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55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958"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362" w:hRule="auto"/>
          <w:jc w:val="left"/>
        </w:trPr>
        <w:tc>
          <w:tcPr>
            <w:tcW w:w="489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1839"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本年支出合计</w:t>
            </w:r>
          </w:p>
        </w:tc>
        <w:tc>
          <w:tcPr>
            <w:tcW w:w="1762"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基本支出</w:t>
            </w:r>
          </w:p>
        </w:tc>
        <w:tc>
          <w:tcPr>
            <w:tcW w:w="1621"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项目支出</w:t>
            </w:r>
          </w:p>
        </w:tc>
        <w:tc>
          <w:tcPr>
            <w:tcW w:w="1557"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上缴上级支出</w:t>
            </w:r>
          </w:p>
        </w:tc>
        <w:tc>
          <w:tcPr>
            <w:tcW w:w="1691"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经营支出</w:t>
            </w:r>
          </w:p>
        </w:tc>
        <w:tc>
          <w:tcPr>
            <w:tcW w:w="1958"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对附属单位补助支出</w:t>
            </w:r>
          </w:p>
        </w:tc>
      </w:tr>
      <w:tr>
        <w:trPr>
          <w:trHeight w:val="338" w:hRule="auto"/>
          <w:jc w:val="left"/>
        </w:trPr>
        <w:tc>
          <w:tcPr>
            <w:tcW w:w="1290"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功能分类科目编码</w:t>
            </w:r>
          </w:p>
        </w:tc>
        <w:tc>
          <w:tcPr>
            <w:tcW w:w="3604" w:type="dxa"/>
            <w:vMerge w:val="restart"/>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项目（按“项”级功能分类科目）</w:t>
            </w: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76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62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557"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69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95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r>
      <w:tr>
        <w:trPr>
          <w:trHeight w:val="338" w:hRule="auto"/>
          <w:jc w:val="left"/>
        </w:trPr>
        <w:tc>
          <w:tcPr>
            <w:tcW w:w="129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04"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2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7"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9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95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8" w:hRule="auto"/>
          <w:jc w:val="left"/>
        </w:trPr>
        <w:tc>
          <w:tcPr>
            <w:tcW w:w="129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04"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2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7"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9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95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8" w:hRule="auto"/>
          <w:jc w:val="left"/>
        </w:trPr>
        <w:tc>
          <w:tcPr>
            <w:tcW w:w="1290"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04" w:type="dxa"/>
            <w:vMerge/>
            <w:tcBorders>
              <w:top w:val="single" w:color="000000" w:sz="0"/>
              <w:left w:val="single" w:color="000000" w:sz="0"/>
              <w:bottom w:val="single" w:color="000000" w:sz="4"/>
              <w:right w:val="single" w:color="000000" w:sz="0"/>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2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7"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9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958"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62" w:hRule="auto"/>
          <w:jc w:val="left"/>
        </w:trPr>
        <w:tc>
          <w:tcPr>
            <w:tcW w:w="4894"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1839"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7,129.73 </w:t>
            </w:r>
          </w:p>
        </w:tc>
        <w:tc>
          <w:tcPr>
            <w:tcW w:w="1762"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6,871.69 </w:t>
            </w:r>
          </w:p>
        </w:tc>
        <w:tc>
          <w:tcPr>
            <w:tcW w:w="162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c>
          <w:tcPr>
            <w:tcW w:w="155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教育支出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5,573.69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5,315.65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20502</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普通教育</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5,573.69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5,315.65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2050201</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学前教育</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166.64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66.06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100.57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2050202</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小学教育</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5,407.05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5,249.59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157.46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社会保障和就业支出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20805</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行政事业单位养老支出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2080505</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机关事业单位基本养老保险缴费支出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2080506</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机关事业单位职业年金缴费支出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2080599</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其他行政事业单位养老支出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卫生健康支出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21011</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行政事业单位医疗</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2101102</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事业单位医疗</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2101199</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其他行政事业单位医疗支出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住房保障支出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22102</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住房改革支出</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82" w:hRule="auto"/>
          <w:jc w:val="left"/>
        </w:trPr>
        <w:tc>
          <w:tcPr>
            <w:tcW w:w="1290"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2210201</w:t>
            </w:r>
          </w:p>
        </w:tc>
        <w:tc>
          <w:tcPr>
            <w:tcW w:w="3604"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住房公积金</w:t>
            </w:r>
          </w:p>
        </w:tc>
        <w:tc>
          <w:tcPr>
            <w:tcW w:w="183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17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16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55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69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958"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bl>
    <w:p>
      <w:pPr>
        <w:spacing w:before="0" w:after="0" w:line="240"/>
        <w:ind w:right="0" w:left="0" w:firstLine="0"/>
        <w:jc w:val="left"/>
        <w:rPr>
          <w:rFonts w:ascii="宋体" w:hAnsi="宋体" w:cs="宋体" w:eastAsia="宋体"/>
          <w:color w:val="auto"/>
          <w:spacing w:val="0"/>
          <w:position w:val="0"/>
          <w:sz w:val="20"/>
          <w:shd w:fill="auto" w:val="clear"/>
        </w:rPr>
      </w:pPr>
      <w:r>
        <w:rPr>
          <w:rFonts w:ascii="宋体" w:hAnsi="宋体" w:cs="宋体" w:eastAsia="宋体"/>
          <w:color w:val="auto"/>
          <w:spacing w:val="0"/>
          <w:position w:val="0"/>
          <w:sz w:val="20"/>
          <w:shd w:fill="auto" w:val="clear"/>
        </w:rPr>
        <w:t xml:space="preserve">备注：1.本表反映单位本年度各项支出情况。</w:t>
        <w:br/>
        <w:t xml:space="preserve">      2.本套报表金额单位转换时可能存在尾数误差。</w:t>
        <w:br/>
        <w:br/>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tbl>
      <w:tblPr/>
      <w:tblGrid>
        <w:gridCol w:w="2967"/>
        <w:gridCol w:w="1521"/>
        <w:gridCol w:w="3179"/>
        <w:gridCol w:w="1694"/>
        <w:gridCol w:w="1694"/>
        <w:gridCol w:w="1694"/>
        <w:gridCol w:w="1929"/>
      </w:tblGrid>
      <w:tr>
        <w:trPr>
          <w:trHeight w:val="90" w:hRule="auto"/>
          <w:jc w:val="left"/>
        </w:trPr>
        <w:tc>
          <w:tcPr>
            <w:tcW w:w="14678" w:type="dxa"/>
            <w:gridSpan w:val="7"/>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40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财政拨款收入支出决算总表</w:t>
            </w:r>
          </w:p>
        </w:tc>
      </w:tr>
      <w:tr>
        <w:trPr>
          <w:trHeight w:val="90" w:hRule="auto"/>
          <w:jc w:val="left"/>
        </w:trPr>
        <w:tc>
          <w:tcPr>
            <w:tcW w:w="7667"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92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6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04</w:t>
            </w:r>
            <w:r>
              <w:rPr>
                <w:rFonts w:ascii="宋体" w:hAnsi="宋体" w:cs="宋体" w:eastAsia="宋体"/>
                <w:color w:val="000000"/>
                <w:spacing w:val="0"/>
                <w:position w:val="0"/>
                <w:sz w:val="20"/>
                <w:shd w:fill="auto" w:val="clear"/>
              </w:rPr>
              <w:t xml:space="preserve">表</w:t>
            </w:r>
          </w:p>
        </w:tc>
      </w:tr>
      <w:tr>
        <w:trPr>
          <w:trHeight w:val="90" w:hRule="auto"/>
          <w:jc w:val="left"/>
        </w:trPr>
        <w:tc>
          <w:tcPr>
            <w:tcW w:w="7667"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92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6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90" w:hRule="auto"/>
          <w:jc w:val="left"/>
        </w:trPr>
        <w:tc>
          <w:tcPr>
            <w:tcW w:w="4488"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收     入</w:t>
            </w:r>
          </w:p>
        </w:tc>
        <w:tc>
          <w:tcPr>
            <w:tcW w:w="10190" w:type="dxa"/>
            <w:gridSpan w:val="5"/>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支     出</w:t>
            </w:r>
          </w:p>
        </w:tc>
      </w:tr>
      <w:tr>
        <w:trPr>
          <w:trHeight w:val="90" w:hRule="auto"/>
          <w:jc w:val="left"/>
        </w:trPr>
        <w:tc>
          <w:tcPr>
            <w:tcW w:w="2967"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项目</w:t>
            </w:r>
          </w:p>
        </w:tc>
        <w:tc>
          <w:tcPr>
            <w:tcW w:w="1521"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决算数</w:t>
            </w:r>
          </w:p>
        </w:tc>
        <w:tc>
          <w:tcPr>
            <w:tcW w:w="3179"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功能分类科目</w:t>
            </w:r>
          </w:p>
        </w:tc>
        <w:tc>
          <w:tcPr>
            <w:tcW w:w="7011" w:type="dxa"/>
            <w:gridSpan w:val="4"/>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决算数</w:t>
            </w:r>
          </w:p>
        </w:tc>
      </w:tr>
      <w:tr>
        <w:trPr>
          <w:trHeight w:val="90" w:hRule="auto"/>
          <w:jc w:val="left"/>
        </w:trPr>
        <w:tc>
          <w:tcPr>
            <w:tcW w:w="2967"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21"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179"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小计</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一般公共预算财政拨款</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政府性基金预算财政拨款</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国有资本经营预算财政拨款</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一、一般公共预算财政拨款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一、一般公共服务支出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二、政府性基金预算财政拨款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二、外交支出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三、国有资本经营预算财政拨款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三、国防支出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四、公共安全支出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五、教育支出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4,596.23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4,596.23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六、科学技术支出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七、文化旅游体育与传媒支出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八、社会保障和就业支出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1,010.55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1,010.55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九、卫生健康支出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281.73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281.73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十、节能环保支出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十一、城乡社区支出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十二、农林水支出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十三、交通运输支出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十四、资源勘探工业信息等支出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十五、商业服务业等支出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十六、金融支出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十七、援助其他地区支出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十八、自然资源海洋气象等支出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十九、住房保障支出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263.76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263.76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二十、粮油物资储备支出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二十一、国有资本经营预算支出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二十二、灾害防治及应急管理支出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二十三、其他支出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二十四、债务还本支出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二十五、债务付息支出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二十六、抗疫特别国债安排的支出</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本年收入合计</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本年支出合计</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年初财政拨款结转和结余</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年末财政拨款结转和结余</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  一般公共预算财政拨款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  政府性基金预算财政拨款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  国有资本经营预算财政拨款</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90" w:hRule="auto"/>
          <w:jc w:val="left"/>
        </w:trPr>
        <w:tc>
          <w:tcPr>
            <w:tcW w:w="296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总计</w:t>
            </w:r>
          </w:p>
        </w:tc>
        <w:tc>
          <w:tcPr>
            <w:tcW w:w="152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317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总计</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6,152.27 </w:t>
            </w:r>
          </w:p>
        </w:tc>
        <w:tc>
          <w:tcPr>
            <w:tcW w:w="169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1929"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bl>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0"/>
          <w:shd w:fill="auto" w:val="clear"/>
        </w:rPr>
        <w:t xml:space="preserve">备注：1.本表反映单位本年度一般公共预算财政拨款、政府性基金预算财政拨款及国有资本经营预算财政拨款的总收支和年末结转结余情况。</w:t>
        <w:br/>
        <w:t xml:space="preserve">      2.本套报表金额单位转换时可能存在尾数误差。</w:t>
        <w:br/>
        <w:br/>
      </w:r>
      <w:r>
        <w:rPr>
          <w:rFonts w:ascii="宋体" w:hAnsi="宋体" w:cs="宋体" w:eastAsia="宋体"/>
          <w:color w:val="auto"/>
          <w:spacing w:val="0"/>
          <w:position w:val="0"/>
          <w:sz w:val="21"/>
          <w:shd w:fill="auto" w:val="clear"/>
        </w:rPr>
        <w:t xml:space="preserve"> </w:t>
      </w:r>
    </w:p>
    <w:p>
      <w:pPr>
        <w:spacing w:before="0" w:after="0" w:line="240"/>
        <w:ind w:right="0" w:left="0" w:firstLine="0"/>
        <w:jc w:val="left"/>
        <w:rPr>
          <w:rFonts w:ascii="宋体" w:hAnsi="宋体" w:cs="宋体" w:eastAsia="宋体"/>
          <w:color w:val="auto"/>
          <w:spacing w:val="0"/>
          <w:position w:val="0"/>
          <w:sz w:val="20"/>
          <w:shd w:fill="auto" w:val="clear"/>
        </w:rPr>
      </w:pPr>
    </w:p>
    <w:tbl>
      <w:tblPr/>
      <w:tblGrid>
        <w:gridCol w:w="1305"/>
        <w:gridCol w:w="4073"/>
        <w:gridCol w:w="3306"/>
        <w:gridCol w:w="3297"/>
        <w:gridCol w:w="3341"/>
      </w:tblGrid>
      <w:tr>
        <w:trPr>
          <w:trHeight w:val="510" w:hRule="auto"/>
          <w:jc w:val="left"/>
        </w:trPr>
        <w:tc>
          <w:tcPr>
            <w:tcW w:w="15322" w:type="dxa"/>
            <w:gridSpan w:val="5"/>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一般公共预算财政拨款支出决算表</w:t>
            </w:r>
          </w:p>
        </w:tc>
      </w:tr>
      <w:tr>
        <w:trPr>
          <w:trHeight w:val="255" w:hRule="auto"/>
          <w:jc w:val="left"/>
        </w:trPr>
        <w:tc>
          <w:tcPr>
            <w:tcW w:w="8684"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329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3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05</w:t>
            </w:r>
            <w:r>
              <w:rPr>
                <w:rFonts w:ascii="宋体" w:hAnsi="宋体" w:cs="宋体" w:eastAsia="宋体"/>
                <w:color w:val="000000"/>
                <w:spacing w:val="0"/>
                <w:position w:val="0"/>
                <w:sz w:val="20"/>
                <w:shd w:fill="auto" w:val="clear"/>
              </w:rPr>
              <w:t xml:space="preserve">表</w:t>
            </w:r>
          </w:p>
        </w:tc>
      </w:tr>
      <w:tr>
        <w:trPr>
          <w:trHeight w:val="285" w:hRule="auto"/>
          <w:jc w:val="left"/>
        </w:trPr>
        <w:tc>
          <w:tcPr>
            <w:tcW w:w="8684"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29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34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308" w:hRule="auto"/>
          <w:jc w:val="left"/>
        </w:trPr>
        <w:tc>
          <w:tcPr>
            <w:tcW w:w="5378"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9944" w:type="dxa"/>
            <w:gridSpan w:val="3"/>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本年支出</w:t>
            </w:r>
          </w:p>
        </w:tc>
      </w:tr>
      <w:tr>
        <w:trPr>
          <w:trHeight w:val="326" w:hRule="auto"/>
          <w:jc w:val="left"/>
        </w:trPr>
        <w:tc>
          <w:tcPr>
            <w:tcW w:w="1305"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功能分类科目编码</w:t>
            </w:r>
          </w:p>
        </w:tc>
        <w:tc>
          <w:tcPr>
            <w:tcW w:w="4073"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项目（按“项”级功能分类科目）</w:t>
            </w:r>
          </w:p>
        </w:tc>
        <w:tc>
          <w:tcPr>
            <w:tcW w:w="3306"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3297"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基本支出</w:t>
            </w:r>
          </w:p>
        </w:tc>
        <w:tc>
          <w:tcPr>
            <w:tcW w:w="3341"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项目支出</w:t>
            </w:r>
          </w:p>
        </w:tc>
      </w:tr>
      <w:tr>
        <w:trPr>
          <w:trHeight w:val="326" w:hRule="auto"/>
          <w:jc w:val="left"/>
        </w:trPr>
        <w:tc>
          <w:tcPr>
            <w:tcW w:w="1305"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073"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306"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297"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341"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615" w:hRule="auto"/>
          <w:jc w:val="left"/>
        </w:trPr>
        <w:tc>
          <w:tcPr>
            <w:tcW w:w="1305"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073"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306"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297"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341"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08" w:hRule="auto"/>
          <w:jc w:val="left"/>
        </w:trPr>
        <w:tc>
          <w:tcPr>
            <w:tcW w:w="5378" w:type="dxa"/>
            <w:gridSpan w:val="2"/>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6,152.27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5,894.24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教育支出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4,596.23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4,338.20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20502</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普通教育</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4,596.23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4,338.20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258.04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2050201</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学前教育</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150.32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49.74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100.57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2050202</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小学教育</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4,445.92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4,288.45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157.46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社会保障和就业支出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20805</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行政事业单位养老支出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1,010.55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2080505</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机关事业单位基本养老保险缴费支出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511.66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2080506</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机关事业单位职业年金缴费支出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278.06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2080599</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其他行政事业单位养老支出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220.83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卫生健康支出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21011</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行政事业单位医疗</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281.73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2101102</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事业单位医疗</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183.25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2101199</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其他行政事业单位医疗支出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98.49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住房保障支出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22102</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住房改革支出</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263.76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08" w:hRule="auto"/>
          <w:jc w:val="left"/>
        </w:trPr>
        <w:tc>
          <w:tcPr>
            <w:tcW w:w="1305"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2210201</w:t>
            </w:r>
          </w:p>
        </w:tc>
        <w:tc>
          <w:tcPr>
            <w:tcW w:w="407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住房公积金</w:t>
            </w:r>
          </w:p>
        </w:tc>
        <w:tc>
          <w:tcPr>
            <w:tcW w:w="330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32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263.76 </w:t>
            </w:r>
          </w:p>
        </w:tc>
        <w:tc>
          <w:tcPr>
            <w:tcW w:w="3341"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bl>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0"/>
          <w:shd w:fill="auto" w:val="clear"/>
        </w:rPr>
        <w:t xml:space="preserve">备注：1.本表反映单位本年度一般公共预算财政拨款支出情况。</w:t>
        <w:br/>
        <w:t xml:space="preserve">      2.本套报表金额单位转换时可能存在尾数误差。</w:t>
        <w:br/>
        <w:br/>
      </w:r>
    </w:p>
    <w:p>
      <w:pPr>
        <w:spacing w:before="0" w:after="0" w:line="240"/>
        <w:ind w:right="0" w:left="0" w:firstLine="63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630"/>
        <w:jc w:val="left"/>
        <w:rPr>
          <w:rFonts w:ascii="宋体" w:hAnsi="宋体" w:cs="宋体" w:eastAsia="宋体"/>
          <w:color w:val="auto"/>
          <w:spacing w:val="0"/>
          <w:position w:val="0"/>
          <w:sz w:val="21"/>
          <w:shd w:fill="auto" w:val="clear"/>
        </w:rPr>
      </w:pPr>
    </w:p>
    <w:tbl>
      <w:tblPr/>
      <w:tblGrid>
        <w:gridCol w:w="802"/>
        <w:gridCol w:w="2810"/>
        <w:gridCol w:w="1540"/>
        <w:gridCol w:w="873"/>
        <w:gridCol w:w="2032"/>
        <w:gridCol w:w="1417"/>
        <w:gridCol w:w="873"/>
        <w:gridCol w:w="3462"/>
        <w:gridCol w:w="1497"/>
      </w:tblGrid>
      <w:tr>
        <w:trPr>
          <w:trHeight w:val="90" w:hRule="auto"/>
          <w:jc w:val="left"/>
        </w:trPr>
        <w:tc>
          <w:tcPr>
            <w:tcW w:w="15306" w:type="dxa"/>
            <w:gridSpan w:val="9"/>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4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一般公共预算财政拨款基本支出决算表</w:t>
            </w:r>
          </w:p>
        </w:tc>
      </w:tr>
      <w:tr>
        <w:trPr>
          <w:trHeight w:val="334" w:hRule="auto"/>
          <w:jc w:val="left"/>
        </w:trPr>
        <w:tc>
          <w:tcPr>
            <w:tcW w:w="8057" w:type="dxa"/>
            <w:gridSpan w:val="5"/>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141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46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9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06</w:t>
            </w:r>
            <w:r>
              <w:rPr>
                <w:rFonts w:ascii="宋体" w:hAnsi="宋体" w:cs="宋体" w:eastAsia="宋体"/>
                <w:color w:val="000000"/>
                <w:spacing w:val="0"/>
                <w:position w:val="0"/>
                <w:sz w:val="20"/>
                <w:shd w:fill="auto" w:val="clear"/>
              </w:rPr>
              <w:t xml:space="preserve">表</w:t>
            </w:r>
          </w:p>
        </w:tc>
      </w:tr>
      <w:tr>
        <w:trPr>
          <w:trHeight w:val="520" w:hRule="auto"/>
          <w:jc w:val="left"/>
        </w:trPr>
        <w:tc>
          <w:tcPr>
            <w:tcW w:w="8057" w:type="dxa"/>
            <w:gridSpan w:val="5"/>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46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497"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90" w:hRule="auto"/>
          <w:jc w:val="left"/>
        </w:trPr>
        <w:tc>
          <w:tcPr>
            <w:tcW w:w="5152" w:type="dxa"/>
            <w:gridSpan w:val="3"/>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人员经费</w:t>
            </w:r>
          </w:p>
        </w:tc>
        <w:tc>
          <w:tcPr>
            <w:tcW w:w="10154" w:type="dxa"/>
            <w:gridSpan w:val="6"/>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公用经费</w:t>
            </w:r>
          </w:p>
        </w:tc>
      </w:tr>
      <w:tr>
        <w:trPr>
          <w:trHeight w:val="312" w:hRule="auto"/>
          <w:jc w:val="left"/>
        </w:trPr>
        <w:tc>
          <w:tcPr>
            <w:tcW w:w="802"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经济分类科目编码</w:t>
            </w:r>
          </w:p>
        </w:tc>
        <w:tc>
          <w:tcPr>
            <w:tcW w:w="2810"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经济分类科目（按“款”级经济分类科目）</w:t>
            </w:r>
          </w:p>
        </w:tc>
        <w:tc>
          <w:tcPr>
            <w:tcW w:w="1540"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金额</w:t>
            </w:r>
          </w:p>
        </w:tc>
        <w:tc>
          <w:tcPr>
            <w:tcW w:w="873"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经济分类科目编码</w:t>
            </w:r>
          </w:p>
        </w:tc>
        <w:tc>
          <w:tcPr>
            <w:tcW w:w="2032"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经济分类科目（按“款”级经济分类科目）</w:t>
            </w:r>
          </w:p>
        </w:tc>
        <w:tc>
          <w:tcPr>
            <w:tcW w:w="1417"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金额</w:t>
            </w:r>
          </w:p>
        </w:tc>
        <w:tc>
          <w:tcPr>
            <w:tcW w:w="873"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经济分类科目编码</w:t>
            </w:r>
          </w:p>
        </w:tc>
        <w:tc>
          <w:tcPr>
            <w:tcW w:w="3462"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经济分类科目（按“款”级经济分类科目）</w:t>
            </w:r>
          </w:p>
        </w:tc>
        <w:tc>
          <w:tcPr>
            <w:tcW w:w="1497"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金额</w:t>
            </w:r>
          </w:p>
        </w:tc>
      </w:tr>
      <w:tr>
        <w:trPr>
          <w:trHeight w:val="312" w:hRule="auto"/>
          <w:jc w:val="left"/>
        </w:trPr>
        <w:tc>
          <w:tcPr>
            <w:tcW w:w="802"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81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4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73"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032"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7"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73"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462"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97"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301</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工资福利支出</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5,130.98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302</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商品和服务支出</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475.21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310</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资本性支出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29.00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30101</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基本工资</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1,463.70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30201</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办公费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107.27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31001</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房屋建筑物购建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30102</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津贴补贴</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56.29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30202</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印刷费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35.29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31002</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办公设备购置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29.00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30103</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奖金</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30203</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咨询费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1.00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31003</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专用设备购置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30106</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伙食补助费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30204</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手续费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31005</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基础设施建设</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30107</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绩效工资</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2,220.77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30205</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水费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6.22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31006</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大型修缮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30108</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机关事业单位基本养老保险缴费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511.66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30206</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电费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7.44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31007</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信息网络及软件购置更新</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30109</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职业年金缴费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278.06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30207</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邮电费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17.01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31008</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物资储备</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30110</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职工基本医疗保险缴费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205.25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30208</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取暖费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31009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土地补偿</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30111</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公务员医疗补助缴费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30209</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物业管理费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1.65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31010</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安置补助</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30112</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其他社会保障缴费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11.81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30211</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差旅费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1.46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31011</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地上附着物和青苗补偿</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30113</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住房公积金</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263.76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30212</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因公出国（境）费用</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31012</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拆迁补偿</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30114</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医疗费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64.68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30213</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维修（护）费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67.27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31013</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公务用车购置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30199</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其他工资福利支出</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55.01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30214</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租赁费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1.90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31019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其他交通工具购置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303</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对个人和家庭的补助</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259.05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30215</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会议费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0.52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31021</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文物和陈列品购置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30301</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离休费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30216</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培训费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25.31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31022</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无形资产购置</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30302</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退休费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30217</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公务接待费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31099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其他资本性支出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30303</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退职（役）费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30218</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专用材料费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312</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对企业补助</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30304</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抚恤金</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8.00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30224</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被装购置费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31201</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资本金注入</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30305</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生活补助</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188.98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30225</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专用燃料费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31203</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政府投资基金股权投资</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30306</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救济费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30226</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劳务费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3.78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31204</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费用补贴</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30307</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医疗费补助</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35.63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30227</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委托业务费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31205</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利息补贴</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30308</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助学金</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30228</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工会经费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170.25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31206</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18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其他资本性补助</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30309</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奖励金</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26.44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30229</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福利费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7.95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31299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其他对企业补助</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30310</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个人农业生产补贴</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30231</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公务用车运行维护费</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399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其他支出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30311</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代缴社会保险费</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30239</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其他交通费用</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1.81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39907</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国家赔偿费用支出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30399</w:t>
            </w: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其他对个人和家庭的补助</w:t>
            </w: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30240</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税金及附加费用</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39908</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对民间非营利组织和群众性自治组织补贴</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30299</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其他商品和服务支出</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19.09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39909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经常性赠与</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307</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债务利息及费用支出</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39910</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资本性赠与</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30701</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国内债务付息</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39999</w:t>
            </w: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其他支出</w:t>
            </w: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30702</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国外债务付息</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90"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30703</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国内债务发行费用</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155" w:hRule="auto"/>
          <w:jc w:val="left"/>
        </w:trPr>
        <w:tc>
          <w:tcPr>
            <w:tcW w:w="80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810"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540"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30704</w:t>
            </w:r>
          </w:p>
        </w:tc>
        <w:tc>
          <w:tcPr>
            <w:tcW w:w="203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  国外债务发行费用</w:t>
            </w:r>
          </w:p>
        </w:tc>
        <w:tc>
          <w:tcPr>
            <w:tcW w:w="141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87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462"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497"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r>
      <w:tr>
        <w:trPr>
          <w:trHeight w:val="310" w:hRule="auto"/>
          <w:jc w:val="left"/>
        </w:trPr>
        <w:tc>
          <w:tcPr>
            <w:tcW w:w="3612" w:type="dxa"/>
            <w:gridSpan w:val="2"/>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人员经费合计</w:t>
            </w:r>
          </w:p>
        </w:tc>
        <w:tc>
          <w:tcPr>
            <w:tcW w:w="1540" w:type="dxa"/>
            <w:tcBorders>
              <w:top w:val="single" w:color="000000" w:sz="0"/>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5,390.03 </w:t>
            </w:r>
          </w:p>
        </w:tc>
        <w:tc>
          <w:tcPr>
            <w:tcW w:w="8657" w:type="dxa"/>
            <w:gridSpan w:val="5"/>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8"/>
                <w:shd w:fill="auto" w:val="clear"/>
              </w:rPr>
              <w:t xml:space="preserve">公用经费合计</w:t>
            </w:r>
          </w:p>
        </w:tc>
        <w:tc>
          <w:tcPr>
            <w:tcW w:w="1497"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504.21 </w:t>
            </w:r>
          </w:p>
        </w:tc>
      </w:tr>
    </w:tbl>
    <w:p>
      <w:pPr>
        <w:spacing w:before="0" w:after="0" w:line="28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0"/>
          <w:shd w:fill="auto" w:val="clear"/>
        </w:rPr>
        <w:t xml:space="preserve">备注：1.本表反映单位本年度一般公共预算财政拨款基本支出明细情况。</w:t>
        <w:br/>
        <w:t xml:space="preserve">      2.本套报表金额单位转换时可能存在尾数误差。</w:t>
        <w:br/>
        <w:br/>
      </w:r>
      <w:r>
        <w:rPr>
          <w:rFonts w:ascii="宋体" w:hAnsi="宋体" w:cs="宋体" w:eastAsia="宋体"/>
          <w:color w:val="auto"/>
          <w:spacing w:val="0"/>
          <w:position w:val="0"/>
          <w:sz w:val="21"/>
          <w:shd w:fill="auto" w:val="clear"/>
        </w:rPr>
        <w:t xml:space="preserve"> </w:t>
      </w:r>
    </w:p>
    <w:p>
      <w:pPr>
        <w:spacing w:before="0" w:after="0" w:line="280"/>
        <w:ind w:right="0" w:left="0" w:firstLine="0"/>
        <w:jc w:val="left"/>
        <w:rPr>
          <w:rFonts w:ascii="宋体" w:hAnsi="宋体" w:cs="宋体" w:eastAsia="宋体"/>
          <w:color w:val="auto"/>
          <w:spacing w:val="0"/>
          <w:position w:val="0"/>
          <w:sz w:val="20"/>
          <w:shd w:fill="auto" w:val="clear"/>
        </w:rPr>
      </w:pPr>
    </w:p>
    <w:tbl>
      <w:tblPr/>
      <w:tblGrid>
        <w:gridCol w:w="1322"/>
        <w:gridCol w:w="3595"/>
        <w:gridCol w:w="1700"/>
        <w:gridCol w:w="1700"/>
        <w:gridCol w:w="1700"/>
        <w:gridCol w:w="1700"/>
        <w:gridCol w:w="1765"/>
        <w:gridCol w:w="1839"/>
      </w:tblGrid>
      <w:tr>
        <w:trPr>
          <w:trHeight w:val="644" w:hRule="auto"/>
          <w:jc w:val="left"/>
        </w:trPr>
        <w:tc>
          <w:tcPr>
            <w:tcW w:w="15321" w:type="dxa"/>
            <w:gridSpan w:val="8"/>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政府性基金预算财政拨款收入支出决算表</w:t>
            </w:r>
          </w:p>
        </w:tc>
      </w:tr>
      <w:tr>
        <w:trPr>
          <w:trHeight w:val="329" w:hRule="auto"/>
          <w:jc w:val="left"/>
        </w:trPr>
        <w:tc>
          <w:tcPr>
            <w:tcW w:w="6617"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65"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83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07</w:t>
            </w:r>
            <w:r>
              <w:rPr>
                <w:rFonts w:ascii="宋体" w:hAnsi="宋体" w:cs="宋体" w:eastAsia="宋体"/>
                <w:color w:val="000000"/>
                <w:spacing w:val="0"/>
                <w:position w:val="0"/>
                <w:sz w:val="20"/>
                <w:shd w:fill="auto" w:val="clear"/>
              </w:rPr>
              <w:t xml:space="preserve">表</w:t>
            </w:r>
          </w:p>
        </w:tc>
      </w:tr>
      <w:tr>
        <w:trPr>
          <w:trHeight w:val="329" w:hRule="auto"/>
          <w:jc w:val="left"/>
        </w:trPr>
        <w:tc>
          <w:tcPr>
            <w:tcW w:w="6617"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765"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1839"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339" w:hRule="auto"/>
          <w:jc w:val="left"/>
        </w:trPr>
        <w:tc>
          <w:tcPr>
            <w:tcW w:w="4917"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1700" w:type="dxa"/>
            <w:vMerge w:val="restart"/>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年初结转和结余</w:t>
            </w:r>
          </w:p>
        </w:tc>
        <w:tc>
          <w:tcPr>
            <w:tcW w:w="1700"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本年收入</w:t>
            </w:r>
          </w:p>
        </w:tc>
        <w:tc>
          <w:tcPr>
            <w:tcW w:w="5165" w:type="dxa"/>
            <w:gridSpan w:val="3"/>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本年支出</w:t>
            </w:r>
          </w:p>
        </w:tc>
        <w:tc>
          <w:tcPr>
            <w:tcW w:w="1839"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年末结转和结余</w:t>
            </w:r>
          </w:p>
        </w:tc>
      </w:tr>
      <w:tr>
        <w:trPr>
          <w:trHeight w:val="335" w:hRule="auto"/>
          <w:jc w:val="left"/>
        </w:trPr>
        <w:tc>
          <w:tcPr>
            <w:tcW w:w="1322"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功能分类科目编码</w:t>
            </w:r>
          </w:p>
        </w:tc>
        <w:tc>
          <w:tcPr>
            <w:tcW w:w="3595" w:type="dxa"/>
            <w:vMerge w:val="restart"/>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项目（按“项”级功能分类科目）</w:t>
            </w:r>
          </w:p>
        </w:tc>
        <w:tc>
          <w:tcPr>
            <w:tcW w:w="1700" w:type="dxa"/>
            <w:vMerge/>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70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c>
          <w:tcPr>
            <w:tcW w:w="1700"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1700"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基本支出</w:t>
            </w:r>
          </w:p>
        </w:tc>
        <w:tc>
          <w:tcPr>
            <w:tcW w:w="1765"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项目支出</w:t>
            </w: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spacing w:val="0"/>
                <w:position w:val="0"/>
                <w:shd w:fill="auto" w:val="clear"/>
              </w:rPr>
            </w:pPr>
          </w:p>
        </w:tc>
      </w:tr>
      <w:tr>
        <w:trPr>
          <w:trHeight w:val="335" w:hRule="auto"/>
          <w:jc w:val="left"/>
        </w:trPr>
        <w:tc>
          <w:tcPr>
            <w:tcW w:w="132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595"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5"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645" w:hRule="auto"/>
          <w:jc w:val="left"/>
        </w:trPr>
        <w:tc>
          <w:tcPr>
            <w:tcW w:w="1322"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595"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4"/>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00"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765"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839" w:type="dxa"/>
            <w:vMerge/>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9" w:hRule="auto"/>
          <w:jc w:val="left"/>
        </w:trPr>
        <w:tc>
          <w:tcPr>
            <w:tcW w:w="4917" w:type="dxa"/>
            <w:gridSpan w:val="2"/>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765"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1839"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349" w:hRule="auto"/>
          <w:jc w:val="left"/>
        </w:trPr>
        <w:tc>
          <w:tcPr>
            <w:tcW w:w="1322"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3595"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700"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765"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1839"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bl>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0"/>
          <w:shd w:fill="auto" w:val="clear"/>
        </w:rPr>
        <w:t xml:space="preserve">备注：本表反映单位本年度政府性基金预算财政拨款收入支出及结转和结余情况。本单位无政府性基金收支，故本表无数据。</w:t>
        <w:br/>
        <w:br/>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left"/>
        <w:rPr>
          <w:rFonts w:ascii="宋体" w:hAnsi="宋体" w:cs="宋体" w:eastAsia="宋体"/>
          <w:color w:val="auto"/>
          <w:spacing w:val="0"/>
          <w:position w:val="0"/>
          <w:sz w:val="21"/>
          <w:shd w:fill="auto" w:val="clear"/>
        </w:rPr>
      </w:pPr>
    </w:p>
    <w:tbl>
      <w:tblPr/>
      <w:tblGrid>
        <w:gridCol w:w="1293"/>
        <w:gridCol w:w="3616"/>
        <w:gridCol w:w="3272"/>
        <w:gridCol w:w="2188"/>
        <w:gridCol w:w="3463"/>
        <w:gridCol w:w="2474"/>
        <w:gridCol w:w="3402"/>
      </w:tblGrid>
      <w:tr>
        <w:trPr>
          <w:trHeight w:val="650" w:hRule="auto"/>
          <w:jc w:val="left"/>
        </w:trPr>
        <w:tc>
          <w:tcPr>
            <w:tcW w:w="19708" w:type="dxa"/>
            <w:gridSpan w:val="7"/>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国有资本经营预算财政拨款支出决算表</w:t>
            </w:r>
          </w:p>
        </w:tc>
      </w:tr>
      <w:tr>
        <w:trPr>
          <w:trHeight w:val="332" w:hRule="auto"/>
          <w:jc w:val="left"/>
        </w:trPr>
        <w:tc>
          <w:tcPr>
            <w:tcW w:w="8181" w:type="dxa"/>
            <w:gridSpan w:val="3"/>
            <w:vMerge w:val="restart"/>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8125"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40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08</w:t>
            </w:r>
            <w:r>
              <w:rPr>
                <w:rFonts w:ascii="宋体" w:hAnsi="宋体" w:cs="宋体" w:eastAsia="宋体"/>
                <w:color w:val="000000"/>
                <w:spacing w:val="0"/>
                <w:position w:val="0"/>
                <w:sz w:val="20"/>
                <w:shd w:fill="auto" w:val="clear"/>
              </w:rPr>
              <w:t xml:space="preserve">表</w:t>
            </w:r>
          </w:p>
        </w:tc>
      </w:tr>
      <w:tr>
        <w:trPr>
          <w:trHeight w:val="332" w:hRule="auto"/>
          <w:jc w:val="left"/>
        </w:trPr>
        <w:tc>
          <w:tcPr>
            <w:tcW w:w="8181" w:type="dxa"/>
            <w:gridSpan w:val="3"/>
            <w:vMerge/>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125" w:type="dxa"/>
            <w:gridSpan w:val="3"/>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40"/>
              <w:ind w:right="0" w:left="0" w:firstLine="0"/>
              <w:jc w:val="left"/>
              <w:rPr>
                <w:rFonts w:ascii="宋体" w:hAnsi="宋体" w:cs="宋体" w:eastAsia="宋体"/>
                <w:color w:val="auto"/>
                <w:spacing w:val="0"/>
                <w:position w:val="0"/>
                <w:sz w:val="22"/>
                <w:shd w:fill="auto" w:val="clear"/>
              </w:rPr>
            </w:pPr>
          </w:p>
        </w:tc>
        <w:tc>
          <w:tcPr>
            <w:tcW w:w="3402"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422" w:hRule="auto"/>
          <w:jc w:val="left"/>
        </w:trPr>
        <w:tc>
          <w:tcPr>
            <w:tcW w:w="4909"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w:t>
            </w:r>
          </w:p>
        </w:tc>
        <w:tc>
          <w:tcPr>
            <w:tcW w:w="14799" w:type="dxa"/>
            <w:gridSpan w:val="5"/>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本年支出</w:t>
            </w:r>
          </w:p>
        </w:tc>
      </w:tr>
      <w:tr>
        <w:trPr>
          <w:trHeight w:val="339" w:hRule="auto"/>
          <w:jc w:val="left"/>
        </w:trPr>
        <w:tc>
          <w:tcPr>
            <w:tcW w:w="1293" w:type="dxa"/>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功能分类科目编码</w:t>
            </w:r>
          </w:p>
        </w:tc>
        <w:tc>
          <w:tcPr>
            <w:tcW w:w="3616"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科目名称</w:t>
            </w:r>
          </w:p>
        </w:tc>
        <w:tc>
          <w:tcPr>
            <w:tcW w:w="5460" w:type="dxa"/>
            <w:gridSpan w:val="2"/>
            <w:vMerge w:val="restart"/>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3463" w:type="dxa"/>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基本支出</w:t>
            </w:r>
          </w:p>
        </w:tc>
        <w:tc>
          <w:tcPr>
            <w:tcW w:w="5876" w:type="dxa"/>
            <w:gridSpan w:val="2"/>
            <w:vMerge w:val="restart"/>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项目支出</w:t>
            </w:r>
          </w:p>
        </w:tc>
      </w:tr>
      <w:tr>
        <w:trPr>
          <w:trHeight w:val="339" w:hRule="auto"/>
          <w:jc w:val="left"/>
        </w:trPr>
        <w:tc>
          <w:tcPr>
            <w:tcW w:w="1293"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16"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60" w:type="dxa"/>
            <w:gridSpan w:val="2"/>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463"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876" w:type="dxa"/>
            <w:gridSpan w:val="2"/>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39" w:hRule="auto"/>
          <w:jc w:val="left"/>
        </w:trPr>
        <w:tc>
          <w:tcPr>
            <w:tcW w:w="1293"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16"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60" w:type="dxa"/>
            <w:gridSpan w:val="2"/>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463"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876" w:type="dxa"/>
            <w:gridSpan w:val="2"/>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326" w:hRule="auto"/>
          <w:jc w:val="left"/>
        </w:trPr>
        <w:tc>
          <w:tcPr>
            <w:tcW w:w="1293" w:type="dxa"/>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616"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460" w:type="dxa"/>
            <w:gridSpan w:val="2"/>
            <w:vMerge/>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3463" w:type="dxa"/>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876" w:type="dxa"/>
            <w:gridSpan w:val="2"/>
            <w:vMerge/>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611" w:hRule="auto"/>
          <w:jc w:val="left"/>
        </w:trPr>
        <w:tc>
          <w:tcPr>
            <w:tcW w:w="4909" w:type="dxa"/>
            <w:gridSpan w:val="2"/>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合计</w:t>
            </w:r>
          </w:p>
        </w:tc>
        <w:tc>
          <w:tcPr>
            <w:tcW w:w="5460" w:type="dxa"/>
            <w:gridSpan w:val="2"/>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c>
          <w:tcPr>
            <w:tcW w:w="346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5876" w:type="dxa"/>
            <w:gridSpan w:val="2"/>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0.00 </w:t>
            </w:r>
          </w:p>
        </w:tc>
      </w:tr>
      <w:tr>
        <w:trPr>
          <w:trHeight w:val="488" w:hRule="auto"/>
          <w:jc w:val="left"/>
        </w:trPr>
        <w:tc>
          <w:tcPr>
            <w:tcW w:w="1293" w:type="dxa"/>
            <w:tcBorders>
              <w:top w:val="single" w:color="000000" w:sz="0"/>
              <w:left w:val="single" w:color="000000" w:sz="4"/>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3616"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5460" w:type="dxa"/>
            <w:gridSpan w:val="2"/>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c>
          <w:tcPr>
            <w:tcW w:w="3463" w:type="dxa"/>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rFonts w:ascii="宋体" w:hAnsi="宋体" w:cs="宋体" w:eastAsia="宋体"/>
                <w:color w:val="auto"/>
                <w:spacing w:val="0"/>
                <w:position w:val="0"/>
                <w:sz w:val="22"/>
                <w:shd w:fill="auto" w:val="clear"/>
              </w:rPr>
            </w:pPr>
          </w:p>
        </w:tc>
        <w:tc>
          <w:tcPr>
            <w:tcW w:w="5876" w:type="dxa"/>
            <w:gridSpan w:val="2"/>
            <w:tcBorders>
              <w:top w:val="single" w:color="000000" w:sz="0"/>
              <w:left w:val="single" w:color="000000" w:sz="0"/>
              <w:bottom w:val="single" w:color="000000" w:sz="4"/>
              <w:right w:val="single" w:color="000000" w:sz="4"/>
            </w:tcBorders>
            <w:shd w:color="auto" w:fill="auto" w:val="clear"/>
            <w:tcMar>
              <w:left w:w="14" w:type="dxa"/>
              <w:right w:w="14"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0.00 </w:t>
            </w:r>
          </w:p>
        </w:tc>
      </w:tr>
    </w:tbl>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0"/>
          <w:shd w:fill="auto" w:val="clear"/>
        </w:rPr>
        <w:t xml:space="preserve">备注：本表反映单位本年度国有资本经营预算财政拨款支出情况。本单位无国有资本经营收支，故本表无数据。</w:t>
        <w:br/>
        <w:br/>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left"/>
        <w:rPr>
          <w:rFonts w:ascii="宋体" w:hAnsi="宋体" w:cs="宋体" w:eastAsia="宋体"/>
          <w:color w:val="auto"/>
          <w:spacing w:val="0"/>
          <w:position w:val="0"/>
          <w:sz w:val="21"/>
          <w:shd w:fill="auto" w:val="clear"/>
        </w:rPr>
      </w:pPr>
    </w:p>
    <w:tbl>
      <w:tblPr/>
      <w:tblGrid>
        <w:gridCol w:w="3176"/>
        <w:gridCol w:w="2416"/>
        <w:gridCol w:w="2374"/>
        <w:gridCol w:w="3671"/>
        <w:gridCol w:w="2493"/>
      </w:tblGrid>
      <w:tr>
        <w:trPr>
          <w:trHeight w:val="343" w:hRule="auto"/>
          <w:jc w:val="left"/>
        </w:trPr>
        <w:tc>
          <w:tcPr>
            <w:tcW w:w="14130" w:type="dxa"/>
            <w:gridSpan w:val="5"/>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40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32"/>
                <w:shd w:fill="auto" w:val="clear"/>
              </w:rPr>
              <w:t xml:space="preserve">机构运行信息表</w:t>
            </w:r>
          </w:p>
        </w:tc>
      </w:tr>
      <w:tr>
        <w:trPr>
          <w:trHeight w:val="244" w:hRule="auto"/>
          <w:jc w:val="left"/>
        </w:trPr>
        <w:tc>
          <w:tcPr>
            <w:tcW w:w="317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color w:val="auto"/>
                <w:spacing w:val="0"/>
                <w:position w:val="0"/>
                <w:sz w:val="22"/>
                <w:shd w:fill="auto" w:val="clear"/>
              </w:rPr>
            </w:pPr>
          </w:p>
        </w:tc>
        <w:tc>
          <w:tcPr>
            <w:tcW w:w="2416"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center"/>
              <w:rPr>
                <w:rFonts w:ascii="宋体" w:hAnsi="宋体" w:cs="宋体" w:eastAsia="宋体"/>
                <w:color w:val="auto"/>
                <w:spacing w:val="0"/>
                <w:position w:val="0"/>
                <w:sz w:val="22"/>
                <w:shd w:fill="auto" w:val="clear"/>
              </w:rPr>
            </w:pPr>
          </w:p>
        </w:tc>
        <w:tc>
          <w:tcPr>
            <w:tcW w:w="2374"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color w:val="auto"/>
                <w:spacing w:val="0"/>
                <w:position w:val="0"/>
                <w:sz w:val="22"/>
                <w:shd w:fill="auto" w:val="clear"/>
              </w:rPr>
            </w:pPr>
          </w:p>
        </w:tc>
        <w:tc>
          <w:tcPr>
            <w:tcW w:w="3671"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color w:val="auto"/>
                <w:spacing w:val="0"/>
                <w:position w:val="0"/>
                <w:sz w:val="22"/>
                <w:shd w:fill="auto" w:val="clear"/>
              </w:rPr>
            </w:pPr>
          </w:p>
        </w:tc>
        <w:tc>
          <w:tcPr>
            <w:tcW w:w="2493" w:type="dxa"/>
            <w:tcBorders>
              <w:top w:val="single" w:color="000000" w:sz="0"/>
              <w:left w:val="single" w:color="000000" w:sz="0"/>
              <w:bottom w:val="single" w:color="000000" w:sz="0"/>
              <w:right w:val="single" w:color="000000" w:sz="0"/>
            </w:tcBorders>
            <w:shd w:color="auto" w:fill="auto" w:val="clear"/>
            <w:tcMar>
              <w:left w:w="14" w:type="dxa"/>
              <w:right w:w="14" w:type="dxa"/>
            </w:tcMar>
            <w:vAlign w:val="bottom"/>
          </w:tcPr>
          <w:p>
            <w:pPr>
              <w:spacing w:before="0" w:after="0" w:line="280"/>
              <w:ind w:right="0" w:left="0" w:firstLine="0"/>
              <w:jc w:val="right"/>
              <w:rPr>
                <w:spacing w:val="0"/>
                <w:position w:val="0"/>
                <w:shd w:fill="auto" w:val="clear"/>
              </w:rPr>
            </w:pPr>
            <w:r>
              <w:rPr>
                <w:rFonts w:ascii="宋体" w:hAnsi="宋体" w:cs="宋体" w:eastAsia="宋体"/>
                <w:color w:val="000000"/>
                <w:spacing w:val="0"/>
                <w:position w:val="0"/>
                <w:sz w:val="20"/>
                <w:shd w:fill="auto" w:val="clear"/>
              </w:rPr>
              <w:t xml:space="preserve">公开</w:t>
            </w:r>
            <w:r>
              <w:rPr>
                <w:rFonts w:ascii="Times New Roman" w:hAnsi="Times New Roman" w:cs="Times New Roman" w:eastAsia="Times New Roman"/>
                <w:color w:val="000000"/>
                <w:spacing w:val="0"/>
                <w:position w:val="0"/>
                <w:sz w:val="20"/>
                <w:shd w:fill="auto" w:val="clear"/>
              </w:rPr>
              <w:t xml:space="preserve">09</w:t>
            </w:r>
            <w:r>
              <w:rPr>
                <w:rFonts w:ascii="宋体" w:hAnsi="宋体" w:cs="宋体" w:eastAsia="宋体"/>
                <w:color w:val="000000"/>
                <w:spacing w:val="0"/>
                <w:position w:val="0"/>
                <w:sz w:val="20"/>
                <w:shd w:fill="auto" w:val="clear"/>
              </w:rPr>
              <w:t xml:space="preserve">表</w:t>
            </w:r>
          </w:p>
        </w:tc>
      </w:tr>
      <w:tr>
        <w:trPr>
          <w:trHeight w:val="244" w:hRule="auto"/>
          <w:jc w:val="left"/>
        </w:trPr>
        <w:tc>
          <w:tcPr>
            <w:tcW w:w="5592" w:type="dxa"/>
            <w:gridSpan w:val="2"/>
            <w:tcBorders>
              <w:top w:val="single" w:color="000000" w:sz="0"/>
              <w:left w:val="single" w:color="000000" w:sz="0"/>
              <w:bottom w:val="single" w:color="000000" w:sz="4"/>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0"/>
                <w:shd w:fill="auto" w:val="clear"/>
              </w:rPr>
              <w:t xml:space="preserve">单位</w:t>
            </w:r>
            <w:r>
              <w:rPr>
                <w:rFonts w:ascii="宋体" w:hAnsi="宋体" w:cs="宋体" w:eastAsia="宋体"/>
                <w:color w:val="000000"/>
                <w:spacing w:val="0"/>
                <w:position w:val="0"/>
                <w:sz w:val="20"/>
                <w:shd w:fill="auto" w:val="clear"/>
              </w:rPr>
              <w:t xml:space="preserve">：丰都县第一小学校</w:t>
            </w:r>
          </w:p>
        </w:tc>
        <w:tc>
          <w:tcPr>
            <w:tcW w:w="2374" w:type="dxa"/>
            <w:tcBorders>
              <w:top w:val="single" w:color="000000" w:sz="0"/>
              <w:left w:val="single" w:color="000000" w:sz="0"/>
              <w:bottom w:val="single" w:color="000000" w:sz="4"/>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color w:val="auto"/>
                <w:spacing w:val="0"/>
                <w:position w:val="0"/>
                <w:sz w:val="22"/>
                <w:shd w:fill="auto" w:val="clear"/>
              </w:rPr>
            </w:pPr>
          </w:p>
        </w:tc>
        <w:tc>
          <w:tcPr>
            <w:tcW w:w="3671" w:type="dxa"/>
            <w:tcBorders>
              <w:top w:val="single" w:color="000000" w:sz="0"/>
              <w:left w:val="single" w:color="000000" w:sz="0"/>
              <w:bottom w:val="single" w:color="000000" w:sz="4"/>
              <w:right w:val="single" w:color="000000" w:sz="0"/>
            </w:tcBorders>
            <w:shd w:color="auto" w:fill="auto" w:val="clear"/>
            <w:tcMar>
              <w:left w:w="14" w:type="dxa"/>
              <w:right w:w="14" w:type="dxa"/>
            </w:tcMar>
            <w:vAlign w:val="bottom"/>
          </w:tcPr>
          <w:p>
            <w:pPr>
              <w:spacing w:before="0" w:after="0" w:line="280"/>
              <w:ind w:right="0" w:left="0" w:firstLine="0"/>
              <w:jc w:val="left"/>
              <w:rPr>
                <w:rFonts w:ascii="宋体" w:hAnsi="宋体" w:cs="宋体" w:eastAsia="宋体"/>
                <w:color w:val="auto"/>
                <w:spacing w:val="0"/>
                <w:position w:val="0"/>
                <w:sz w:val="22"/>
                <w:shd w:fill="auto" w:val="clear"/>
              </w:rPr>
            </w:pPr>
          </w:p>
        </w:tc>
        <w:tc>
          <w:tcPr>
            <w:tcW w:w="2493" w:type="dxa"/>
            <w:tcBorders>
              <w:top w:val="single" w:color="000000" w:sz="0"/>
              <w:left w:val="single" w:color="000000" w:sz="0"/>
              <w:bottom w:val="single" w:color="000000" w:sz="4"/>
              <w:right w:val="single" w:color="000000" w:sz="0"/>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单位：</w:t>
            </w:r>
            <w:r>
              <w:rPr>
                <w:rFonts w:ascii="宋体" w:hAnsi="宋体" w:cs="宋体" w:eastAsia="宋体"/>
                <w:color w:val="auto"/>
                <w:spacing w:val="0"/>
                <w:position w:val="0"/>
                <w:sz w:val="20"/>
                <w:shd w:fill="auto" w:val="clear"/>
              </w:rPr>
              <w:t xml:space="preserve">万元</w:t>
            </w:r>
          </w:p>
        </w:tc>
      </w:tr>
      <w:tr>
        <w:trPr>
          <w:trHeight w:val="28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项  目</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预算数</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决算数</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项  目</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决算数</w:t>
            </w:r>
          </w:p>
        </w:tc>
      </w:tr>
      <w:tr>
        <w:trPr>
          <w:trHeight w:val="28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一、“三公”经费支出</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五、机关运行经费</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（一）支出合计</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（一）行政单位</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1．因公出国（境）费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（二）参照公务员法管理事业单位</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2．公务用车购置及运行维护费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六、资产信息</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12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（1）公务用车购置费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（一）车辆数合计（辆）</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（2）公务用车运行维护费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1．副部（省）级及以上领导用车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3．公务接待费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2．主要领导干部用车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（1）国内接待费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3．机要通信用车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其中：外事接待费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4．应急保障用车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（2）国（境）外接待费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5．执法执勤用车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（二）相关统计数</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12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6．特种专业技术用车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1．因公出国（境）团组数（个）</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7．离退休干部用车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2．因公出国（境）人次数（人）</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8．其他用车</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3．公务用车购置数（辆）</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（二）单价100万元（含）以上设备（不含车辆）</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4．公务用车保有量（辆）</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七、政府采购支出信息</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12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5．国内公务接待批次（个）</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（一）政府采购支出合计</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6.41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其中：外事接待批次（个）</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1．政府采购货物支出</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6.41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6．国内公务接待人次（人）</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2．政府采购工程支出</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其中：外事接待人次（人）</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3．政府采购服务支出</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7．国（境）外公务接待批次（个）</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（二）政府采购授予中小企业合同金额</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6.41 </w:t>
            </w:r>
          </w:p>
        </w:tc>
      </w:tr>
      <w:tr>
        <w:trPr>
          <w:trHeight w:val="292"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8．国（境）外公务接待人次（人）</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        其中：授予小微企业合同金额</w:t>
            </w: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6.41 </w:t>
            </w:r>
          </w:p>
        </w:tc>
      </w:tr>
      <w:tr>
        <w:trPr>
          <w:trHeight w:val="286"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二、会议费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0.52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color w:val="auto"/>
                <w:spacing w:val="0"/>
                <w:position w:val="0"/>
                <w:sz w:val="22"/>
                <w:shd w:fill="auto" w:val="clear"/>
              </w:rPr>
            </w:pP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color w:val="auto"/>
                <w:spacing w:val="0"/>
                <w:position w:val="0"/>
                <w:sz w:val="22"/>
                <w:shd w:fill="auto" w:val="clear"/>
              </w:rPr>
            </w:pPr>
          </w:p>
        </w:tc>
      </w:tr>
      <w:tr>
        <w:trPr>
          <w:trHeight w:val="389"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三、培训费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25.31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color w:val="auto"/>
                <w:spacing w:val="0"/>
                <w:position w:val="0"/>
                <w:sz w:val="22"/>
                <w:shd w:fill="auto" w:val="clear"/>
              </w:rPr>
            </w:pP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color w:val="auto"/>
                <w:spacing w:val="0"/>
                <w:position w:val="0"/>
                <w:sz w:val="22"/>
                <w:shd w:fill="auto" w:val="clear"/>
              </w:rPr>
            </w:pPr>
          </w:p>
        </w:tc>
      </w:tr>
      <w:tr>
        <w:trPr>
          <w:trHeight w:val="389" w:hRule="auto"/>
          <w:jc w:val="left"/>
        </w:trPr>
        <w:tc>
          <w:tcPr>
            <w:tcW w:w="317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16"/>
                <w:shd w:fill="auto" w:val="clear"/>
              </w:rPr>
              <w:t xml:space="preserve">四、差旅费</w:t>
            </w:r>
          </w:p>
        </w:tc>
        <w:tc>
          <w:tcPr>
            <w:tcW w:w="2416"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w:t>
            </w:r>
          </w:p>
        </w:tc>
        <w:tc>
          <w:tcPr>
            <w:tcW w:w="2374"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12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1.46 </w:t>
            </w:r>
          </w:p>
        </w:tc>
        <w:tc>
          <w:tcPr>
            <w:tcW w:w="3671" w:type="dxa"/>
            <w:tcBorders>
              <w:top w:val="single" w:color="000000" w:sz="4"/>
              <w:left w:val="single" w:color="000000" w:sz="4"/>
              <w:bottom w:val="single" w:color="000000" w:sz="4"/>
              <w:right w:val="single" w:color="000000" w:sz="4"/>
            </w:tcBorders>
            <w:shd w:color="auto" w:fill="auto" w:val="clear"/>
            <w:tcMar>
              <w:left w:w="14" w:type="dxa"/>
              <w:right w:w="14" w:type="dxa"/>
            </w:tcMar>
            <w:vAlign w:val="center"/>
          </w:tcPr>
          <w:p>
            <w:pPr>
              <w:spacing w:before="0" w:after="0" w:line="280"/>
              <w:ind w:right="0" w:left="0" w:firstLine="0"/>
              <w:jc w:val="left"/>
              <w:rPr>
                <w:rFonts w:ascii="宋体" w:hAnsi="宋体" w:cs="宋体" w:eastAsia="宋体"/>
                <w:color w:val="auto"/>
                <w:spacing w:val="0"/>
                <w:position w:val="0"/>
                <w:sz w:val="22"/>
                <w:shd w:fill="auto" w:val="clear"/>
              </w:rPr>
            </w:pPr>
          </w:p>
        </w:tc>
        <w:tc>
          <w:tcPr>
            <w:tcW w:w="2493" w:type="dxa"/>
            <w:tcBorders>
              <w:top w:val="single" w:color="000000" w:sz="4"/>
              <w:left w:val="single" w:color="000000" w:sz="4"/>
              <w:bottom w:val="single" w:color="000000" w:sz="4"/>
              <w:right w:val="single" w:color="000000" w:sz="4"/>
            </w:tcBorders>
            <w:shd w:color="auto" w:fill="auto" w:val="clear"/>
            <w:tcMar>
              <w:left w:w="14" w:type="dxa"/>
              <w:right w:w="14" w:type="dxa"/>
            </w:tcMar>
            <w:vAlign w:val="bottom"/>
          </w:tcPr>
          <w:p>
            <w:pPr>
              <w:spacing w:before="0" w:after="0" w:line="280"/>
              <w:ind w:right="0" w:left="0" w:firstLine="0"/>
              <w:jc w:val="right"/>
              <w:rPr>
                <w:rFonts w:ascii="宋体" w:hAnsi="宋体" w:cs="宋体" w:eastAsia="宋体"/>
                <w:color w:val="auto"/>
                <w:spacing w:val="0"/>
                <w:position w:val="0"/>
                <w:sz w:val="22"/>
                <w:shd w:fill="auto" w:val="clear"/>
              </w:rPr>
            </w:pPr>
          </w:p>
        </w:tc>
      </w:tr>
    </w:tbl>
    <w:p>
      <w:pPr>
        <w:spacing w:before="0" w:after="0" w:line="240"/>
        <w:ind w:right="0" w:left="0" w:firstLine="0"/>
        <w:jc w:val="left"/>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18"/>
          <w:shd w:fill="auto" w:val="clear"/>
        </w:rPr>
        <w:t xml:space="preserve">备注：1.本表反映单位本年度财政拨款“三公”经费支出预决算情况。其中，预算数为“三公”经费全年预算数，反映按规定程序调整后的预算数；决算数为包括本年度财政拨款和以前年度结转资金安排的实际支出。</w:t>
        <w:br/>
        <w:t xml:space="preserve">      2.本套报表金额单位转换时可能存在尾数误差。</w:t>
        <w:br/>
        <w:br/>
      </w:r>
    </w:p>
    <w:p>
      <w:pPr>
        <w:spacing w:before="0" w:after="0" w:line="240"/>
        <w:ind w:right="0" w:left="0" w:firstLine="0"/>
        <w:jc w:val="left"/>
        <w:rPr>
          <w:rFonts w:ascii="宋体" w:hAnsi="宋体" w:cs="宋体" w:eastAsia="宋体"/>
          <w:color w:val="auto"/>
          <w:spacing w:val="0"/>
          <w:position w:val="0"/>
          <w:sz w:val="18"/>
          <w:shd w:fill="auto" w:val="clear"/>
        </w:rPr>
      </w:pPr>
      <w:r>
        <w:object w:dxaOrig="15347" w:dyaOrig="9981">
          <v:rect xmlns:o="urn:schemas-microsoft-com:office:office" xmlns:v="urn:schemas-microsoft-com:vml" id="rectole0000000000" style="width:767.350000pt;height:499.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Excel.Sheet.12" DrawAspect="Content" ObjectID="0000000000" ShapeID="rectole0000000000" r:id="docRId0"/>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420"/>
        <w:jc w:val="left"/>
        <w:rPr>
          <w:rFonts w:ascii="Times New Roman" w:hAnsi="Times New Roman" w:cs="Times New Roman" w:eastAsia="Times New Roman"/>
          <w:color w:val="auto"/>
          <w:spacing w:val="0"/>
          <w:position w:val="0"/>
          <w:sz w:val="22"/>
          <w:shd w:fill="auto" w:val="clear"/>
        </w:rPr>
      </w:pPr>
      <w:r>
        <w:object w:dxaOrig="14294" w:dyaOrig="9900">
          <v:rect xmlns:o="urn:schemas-microsoft-com:office:office" xmlns:v="urn:schemas-microsoft-com:vml" id="rectole0000000001" style="width:714.700000pt;height:495.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Excel.Sheet.12" DrawAspect="Content" ObjectID="0000000001" ShapeID="rectole0000000001" r:id="docRId2"/>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24"/>
          <w:shd w:fill="auto" w:val="clear"/>
        </w:rPr>
      </w:pPr>
      <w:r>
        <w:object w:dxaOrig="14740" w:dyaOrig="9981">
          <v:rect xmlns:o="urn:schemas-microsoft-com:office:office" xmlns:v="urn:schemas-microsoft-com:vml" id="rectole0000000002" style="width:737.000000pt;height:499.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Excel.Sheet.12" DrawAspect="Content" ObjectID="0000000002" ShapeID="rectole0000000002" r:id="docRId4"/>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18"/>
          <w:shd w:fill="auto" w:val="clear"/>
        </w:rPr>
      </w:pPr>
      <w:r>
        <w:object w:dxaOrig="14983" w:dyaOrig="10650">
          <v:rect xmlns:o="urn:schemas-microsoft-com:office:office" xmlns:v="urn:schemas-microsoft-com:vml" id="rectole0000000003" style="width:749.150000pt;height:532.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Excel.Sheet.12" DrawAspect="Content" ObjectID="0000000003" ShapeID="rectole0000000003" r:id="docRId6"/>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420"/>
        <w:jc w:val="left"/>
        <w:rPr>
          <w:rFonts w:ascii="Times New Roman" w:hAnsi="Times New Roman" w:cs="Times New Roman" w:eastAsia="Times New Roman"/>
          <w:color w:val="auto"/>
          <w:spacing w:val="0"/>
          <w:position w:val="0"/>
          <w:sz w:val="22"/>
          <w:shd w:fill="auto" w:val="clear"/>
        </w:rPr>
      </w:pPr>
      <w:r>
        <w:object w:dxaOrig="14477" w:dyaOrig="10265">
          <v:rect xmlns:o="urn:schemas-microsoft-com:office:office" xmlns:v="urn:schemas-microsoft-com:vml" id="rectole0000000004" style="width:723.850000pt;height:513.2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Excel.Sheet.12" DrawAspect="Content" ObjectID="0000000004" ShapeID="rectole0000000004" r:id="docRId8"/>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24"/>
          <w:shd w:fill="auto" w:val="clear"/>
        </w:rPr>
      </w:pPr>
      <w:r>
        <w:object w:dxaOrig="15104" w:dyaOrig="9819">
          <v:rect xmlns:o="urn:schemas-microsoft-com:office:office" xmlns:v="urn:schemas-microsoft-com:vml" id="rectole0000000005" style="width:755.200000pt;height:490.9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Excel.Sheet.12" DrawAspect="Content" ObjectID="0000000005" ShapeID="rectole0000000005" r:id="docRId10"/>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18"/>
          <w:shd w:fill="auto" w:val="clear"/>
        </w:rPr>
      </w:pPr>
      <w:r>
        <w:object w:dxaOrig="15469" w:dyaOrig="10326">
          <v:rect xmlns:o="urn:schemas-microsoft-com:office:office" xmlns:v="urn:schemas-microsoft-com:vml" id="rectole0000000006" style="width:773.450000pt;height:516.3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Excel.Sheet.12" DrawAspect="Content" ObjectID="0000000006" ShapeID="rectole0000000006" r:id="docRId12"/>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420"/>
        <w:jc w:val="left"/>
        <w:rPr>
          <w:rFonts w:ascii="Times New Roman" w:hAnsi="Times New Roman" w:cs="Times New Roman" w:eastAsia="Times New Roman"/>
          <w:color w:val="auto"/>
          <w:spacing w:val="0"/>
          <w:position w:val="0"/>
          <w:sz w:val="22"/>
          <w:shd w:fill="auto" w:val="clear"/>
        </w:rPr>
      </w:pPr>
      <w:r>
        <w:object w:dxaOrig="14314" w:dyaOrig="8969">
          <v:rect xmlns:o="urn:schemas-microsoft-com:office:office" xmlns:v="urn:schemas-microsoft-com:vml" id="rectole0000000007" style="width:715.700000pt;height:448.4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Excel.Sheet.12" DrawAspect="Content" ObjectID="0000000007" ShapeID="rectole0000000007" r:id="docRId14"/>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24"/>
          <w:shd w:fill="auto" w:val="clear"/>
        </w:rPr>
      </w:pPr>
      <w:r>
        <w:object w:dxaOrig="15226" w:dyaOrig="10346">
          <v:rect xmlns:o="urn:schemas-microsoft-com:office:office" xmlns:v="urn:schemas-microsoft-com:vml" id="rectole0000000008" style="width:761.300000pt;height:517.3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Excel.Sheet.12" DrawAspect="Content" ObjectID="0000000008" ShapeID="rectole0000000008" r:id="docRId16"/>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18"/>
          <w:shd w:fill="auto" w:val="clear"/>
        </w:rPr>
      </w:pPr>
      <w:r>
        <w:object w:dxaOrig="14983" w:dyaOrig="10306">
          <v:rect xmlns:o="urn:schemas-microsoft-com:office:office" xmlns:v="urn:schemas-microsoft-com:vml" id="rectole0000000009" style="width:749.150000pt;height:515.3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Excel.Sheet.12" DrawAspect="Content" ObjectID="0000000009" ShapeID="rectole0000000009" r:id="docRId18"/>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420"/>
        <w:jc w:val="left"/>
        <w:rPr>
          <w:rFonts w:ascii="Times New Roman" w:hAnsi="Times New Roman" w:cs="Times New Roman" w:eastAsia="Times New Roman"/>
          <w:color w:val="auto"/>
          <w:spacing w:val="0"/>
          <w:position w:val="0"/>
          <w:sz w:val="22"/>
          <w:shd w:fill="auto" w:val="clear"/>
        </w:rPr>
      </w:pPr>
      <w:r>
        <w:object w:dxaOrig="14092" w:dyaOrig="10285">
          <v:rect xmlns:o="urn:schemas-microsoft-com:office:office" xmlns:v="urn:schemas-microsoft-com:vml" id="rectole0000000010" style="width:704.600000pt;height:514.2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Excel.Sheet.12" DrawAspect="Content" ObjectID="0000000010" ShapeID="rectole0000000010" r:id="docRId20"/>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24"/>
          <w:shd w:fill="auto" w:val="clear"/>
        </w:rPr>
      </w:pPr>
      <w:r>
        <w:object w:dxaOrig="14558" w:dyaOrig="10022">
          <v:rect xmlns:o="urn:schemas-microsoft-com:office:office" xmlns:v="urn:schemas-microsoft-com:vml" id="rectole0000000011" style="width:727.900000pt;height:501.1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Excel.Sheet.12" DrawAspect="Content" ObjectID="0000000011" ShapeID="rectole0000000011" r:id="docRId22"/>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0"/>
        <w:jc w:val="left"/>
        <w:rPr>
          <w:rFonts w:ascii="宋体" w:hAnsi="宋体" w:cs="宋体" w:eastAsia="宋体"/>
          <w:color w:val="auto"/>
          <w:spacing w:val="0"/>
          <w:position w:val="0"/>
          <w:sz w:val="18"/>
          <w:shd w:fill="auto" w:val="clear"/>
        </w:rPr>
      </w:pPr>
      <w:r>
        <w:object w:dxaOrig="14456" w:dyaOrig="10488">
          <v:rect xmlns:o="urn:schemas-microsoft-com:office:office" xmlns:v="urn:schemas-microsoft-com:vml" id="rectole0000000012" style="width:722.800000pt;height:524.4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Excel.Sheet.12" DrawAspect="Content" ObjectID="0000000012" ShapeID="rectole0000000012" r:id="docRId24"/>
        </w:object>
      </w:r>
    </w:p>
    <w:p>
      <w:pPr>
        <w:spacing w:before="0" w:after="0" w:line="24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240"/>
        <w:ind w:right="0" w:left="0" w:firstLine="0"/>
        <w:jc w:val="left"/>
        <w:rPr>
          <w:rFonts w:ascii="宋体" w:hAnsi="宋体" w:cs="宋体" w:eastAsia="宋体"/>
          <w:color w:val="auto"/>
          <w:spacing w:val="0"/>
          <w:position w:val="0"/>
          <w:sz w:val="24"/>
          <w:shd w:fill="auto" w:val="clear"/>
        </w:rPr>
      </w:pPr>
    </w:p>
    <w:p>
      <w:pPr>
        <w:spacing w:before="0" w:after="0" w:line="240"/>
        <w:ind w:right="0" w:left="0" w:firstLine="420"/>
        <w:jc w:val="left"/>
        <w:rPr>
          <w:rFonts w:ascii="Times New Roman" w:hAnsi="Times New Roman" w:cs="Times New Roman" w:eastAsia="Times New Roman"/>
          <w:color w:val="auto"/>
          <w:spacing w:val="0"/>
          <w:position w:val="0"/>
          <w:sz w:val="22"/>
          <w:shd w:fill="auto" w:val="clear"/>
        </w:rPr>
      </w:pPr>
      <w:r>
        <w:object w:dxaOrig="14314" w:dyaOrig="10528">
          <v:rect xmlns:o="urn:schemas-microsoft-com:office:office" xmlns:v="urn:schemas-microsoft-com:vml" id="rectole0000000013" style="width:715.700000pt;height:526.4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Excel.Sheet.12" DrawAspect="Content" ObjectID="0000000013" ShapeID="rectole0000000013" r:id="docRId26"/>
        </w:object>
      </w:r>
    </w:p>
  </w:body>
</w:document>
</file>

<file path=word/numbering.xml><?xml version="1.0" encoding="utf-8"?>
<w:numbering xmlns:w="http://schemas.openxmlformats.org/wordprocessingml/2006/main">
  <w:abstractNum w:abstractNumId="0">
    <w:lvl w:ilvl="0">
      <w:start w:val="1"/>
      <w:numFmt w:val="bullet"/>
      <w:lvlText w:val="•"/>
    </w:lvl>
  </w:abstract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embeddings/oleObject12.bin" Id="docRId24" Type="http://schemas.openxmlformats.org/officeDocument/2006/relationships/oleObject"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styles.xml" Id="docRId29" Type="http://schemas.openxmlformats.org/officeDocument/2006/relationships/styles"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numbering.xml" Id="docRId28" Type="http://schemas.openxmlformats.org/officeDocument/2006/relationships/numbering"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2.bin" Id="docRId4" Type="http://schemas.openxmlformats.org/officeDocument/2006/relationships/oleObject" /></Relationships>
</file>