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keepNext w:val="0"/>
        <w:keepLines w:val="0"/>
        <w:pageBreakBefore w:val="0"/>
        <w:widowControl/>
        <w:kinsoku/>
        <w:wordWrap/>
        <w:overflowPunct/>
        <w:topLinePunct w:val="0"/>
        <w:autoSpaceDN/>
        <w:bidi w:val="0"/>
        <w:adjustRightInd/>
        <w:spacing w:before="0" w:beforeAutospacing="0" w:after="0" w:afterAutospacing="0" w:line="560" w:lineRule="exact"/>
        <w:jc w:val="center"/>
        <w:textAlignment w:val="auto"/>
        <w:rPr>
          <w:rFonts w:hint="eastAsia" w:ascii="方正小标宋简体" w:hAnsi="方正小标宋简体" w:eastAsia="方正小标宋简体" w:cs="方正小标宋简体"/>
          <w:sz w:val="44"/>
          <w:szCs w:val="44"/>
        </w:rPr>
      </w:pPr>
      <w:bookmarkStart w:id="0" w:name="_Hlk37239649"/>
      <w:bookmarkEnd w:id="0"/>
      <w:r>
        <w:rPr>
          <w:rFonts w:hint="eastAsia" w:ascii="方正小标宋简体" w:hAnsi="方正小标宋简体" w:eastAsia="方正小标宋简体" w:cs="方正小标宋简体"/>
          <w:sz w:val="44"/>
          <w:szCs w:val="44"/>
        </w:rPr>
        <w:t>丰都县大桥管理事务中心</w:t>
      </w:r>
    </w:p>
    <w:p>
      <w:pPr>
        <w:pStyle w:val="7"/>
        <w:keepNext w:val="0"/>
        <w:keepLines w:val="0"/>
        <w:pageBreakBefore w:val="0"/>
        <w:widowControl/>
        <w:tabs>
          <w:tab w:val="left" w:pos="1840"/>
          <w:tab w:val="center" w:pos="4217"/>
        </w:tabs>
        <w:kinsoku/>
        <w:wordWrap/>
        <w:overflowPunct/>
        <w:topLinePunct w:val="0"/>
        <w:autoSpaceDN/>
        <w:bidi w:val="0"/>
        <w:adjustRightInd/>
        <w:spacing w:before="0" w:beforeAutospacing="0" w:after="0" w:afterAutospacing="0" w:line="560" w:lineRule="exact"/>
        <w:ind w:left="0" w:firstLine="440" w:firstLineChars="100"/>
        <w:jc w:val="left"/>
        <w:textAlignment w:val="auto"/>
        <w:rPr>
          <w:rFonts w:hint="eastAsia" w:ascii="方正小标宋简体" w:hAnsi="方正小标宋简体" w:eastAsia="方正小标宋简体" w:cs="方正小标宋简体"/>
          <w:sz w:val="44"/>
          <w:szCs w:val="44"/>
          <w:shd w:val="clear" w:color="auto" w:fill="FFFFFF"/>
        </w:rPr>
      </w:pPr>
      <w:r>
        <w:rPr>
          <w:rFonts w:hint="eastAsia" w:ascii="方正小标宋简体" w:hAnsi="方正小标宋简体" w:eastAsia="方正小标宋简体" w:cs="方正小标宋简体"/>
          <w:sz w:val="44"/>
          <w:szCs w:val="44"/>
          <w:shd w:val="clear" w:color="auto" w:fill="FFFFFF"/>
          <w:lang w:eastAsia="zh-CN"/>
        </w:rPr>
        <w:tab/>
      </w:r>
      <w:r>
        <w:rPr>
          <w:rFonts w:hint="eastAsia" w:ascii="方正小标宋简体" w:hAnsi="方正小标宋简体" w:eastAsia="方正小标宋简体" w:cs="方正小标宋简体"/>
          <w:sz w:val="44"/>
          <w:szCs w:val="44"/>
          <w:shd w:val="clear" w:color="auto" w:fill="FFFFFF"/>
          <w:lang w:val="en-US" w:eastAsia="zh-CN"/>
        </w:rPr>
        <w:t xml:space="preserve"> </w:t>
      </w:r>
      <w:r>
        <w:rPr>
          <w:rFonts w:hint="eastAsia" w:ascii="方正小标宋简体" w:hAnsi="方正小标宋简体" w:eastAsia="方正小标宋简体" w:cs="方正小标宋简体"/>
          <w:sz w:val="44"/>
          <w:szCs w:val="44"/>
          <w:shd w:val="clear" w:color="auto" w:fill="FFFFFF"/>
        </w:rPr>
        <w:t>2023年度决算公开说明</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textAlignment w:val="auto"/>
        <w:rPr>
          <w:rStyle w:val="10"/>
          <w:rFonts w:ascii="黑体" w:hAnsi="黑体" w:eastAsia="黑体" w:cs="黑体"/>
          <w:sz w:val="32"/>
          <w:szCs w:val="32"/>
          <w:shd w:val="clear" w:color="auto" w:fill="FFFFFF"/>
        </w:rPr>
      </w:pP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一、单位基本情况</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firstLine="420"/>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（一）职能职责</w:t>
      </w:r>
    </w:p>
    <w:p>
      <w:pPr>
        <w:keepNext w:val="0"/>
        <w:keepLines w:val="0"/>
        <w:pageBreakBefore w:val="0"/>
        <w:widowControl/>
        <w:kinsoku/>
        <w:wordWrap/>
        <w:overflowPunct/>
        <w:topLinePunct w:val="0"/>
        <w:autoSpaceDE/>
        <w:autoSpaceDN/>
        <w:bidi w:val="0"/>
        <w:adjustRightInd/>
        <w:snapToGrid/>
        <w:spacing w:beforeAutospacing="0" w:afterAutospacing="0" w:line="560" w:lineRule="exact"/>
        <w:ind w:left="0" w:firstLine="645"/>
        <w:textAlignment w:val="auto"/>
        <w:rPr>
          <w:rFonts w:hint="eastAsia" w:ascii="仿宋_GB2312" w:hAnsi="仿宋_GB2312" w:eastAsia="仿宋_GB2312" w:cs="仿宋_GB2312"/>
          <w:b w:val="0"/>
          <w:bCs/>
          <w:color w:val="333333"/>
          <w:kern w:val="0"/>
          <w:sz w:val="32"/>
          <w:szCs w:val="32"/>
        </w:rPr>
      </w:pPr>
      <w:r>
        <w:rPr>
          <w:rFonts w:hint="eastAsia" w:ascii="仿宋_GB2312" w:hAnsi="仿宋_GB2312" w:eastAsia="仿宋_GB2312" w:cs="仿宋_GB2312"/>
          <w:b w:val="0"/>
          <w:bCs/>
          <w:color w:val="333333"/>
          <w:kern w:val="0"/>
          <w:sz w:val="32"/>
          <w:szCs w:val="32"/>
          <w:shd w:val="clear" w:color="auto" w:fill="FFFFFF"/>
        </w:rPr>
        <w:t>1.负责长江大桥的维修保养。主要是制定长江大桥的日常养护、维修、定期检查计划，做好大桥日常养护工作，建立经常性维护档案资料，按时完成检查资料的归档。</w:t>
      </w:r>
    </w:p>
    <w:p>
      <w:pPr>
        <w:keepNext w:val="0"/>
        <w:keepLines w:val="0"/>
        <w:pageBreakBefore w:val="0"/>
        <w:widowControl/>
        <w:kinsoku/>
        <w:wordWrap/>
        <w:overflowPunct/>
        <w:topLinePunct w:val="0"/>
        <w:autoSpaceDE/>
        <w:autoSpaceDN/>
        <w:bidi w:val="0"/>
        <w:adjustRightInd/>
        <w:snapToGrid/>
        <w:spacing w:beforeAutospacing="0" w:afterAutospacing="0" w:line="560" w:lineRule="exact"/>
        <w:ind w:left="0" w:firstLine="645"/>
        <w:textAlignment w:val="auto"/>
        <w:rPr>
          <w:rFonts w:hint="eastAsia" w:ascii="仿宋_GB2312" w:hAnsi="仿宋_GB2312" w:eastAsia="仿宋_GB2312" w:cs="仿宋_GB2312"/>
          <w:b w:val="0"/>
          <w:bCs/>
          <w:color w:val="333333"/>
          <w:kern w:val="0"/>
          <w:sz w:val="32"/>
          <w:szCs w:val="32"/>
        </w:rPr>
      </w:pPr>
      <w:r>
        <w:rPr>
          <w:rFonts w:hint="eastAsia" w:ascii="仿宋_GB2312" w:hAnsi="仿宋_GB2312" w:eastAsia="仿宋_GB2312" w:cs="仿宋_GB2312"/>
          <w:b w:val="0"/>
          <w:bCs/>
          <w:color w:val="333333"/>
          <w:kern w:val="0"/>
          <w:sz w:val="32"/>
          <w:szCs w:val="32"/>
          <w:shd w:val="clear" w:color="auto" w:fill="FFFFFF"/>
        </w:rPr>
        <w:t>2.负责长江大桥的安全保卫。主要是加强安全管理和防范工作，杜绝安全责任事故的发生，落实安全管理目标责任制，负责长江大桥监控的监管.防火.防雷.防盗工作，负责定期对大桥进行检查，做好安全隐患排查工作，维护桥区治安秩序，取缔桥区内乱设的摊点和违章建筑。维护大桥交通秩序，保护并及时更新辖区内的交通标志和设施，发现非法占用损毁情况，及时报相关部门依法处理。</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val="0"/>
          <w:bCs/>
          <w:color w:val="333333"/>
          <w:kern w:val="0"/>
          <w:sz w:val="32"/>
          <w:szCs w:val="32"/>
          <w:shd w:val="clear" w:color="auto" w:fill="FFFFFF"/>
        </w:rPr>
        <w:t>3.负责长江大桥南北桥头区的环境美化和开发利用。主要包括所辖南北桥头区及桥区环境美化，南北桥头广告招商位的开发利用。     </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firstLine="420"/>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（二）机构设置</w:t>
      </w:r>
    </w:p>
    <w:p>
      <w:pPr>
        <w:keepNext w:val="0"/>
        <w:keepLines w:val="0"/>
        <w:pageBreakBefore w:val="0"/>
        <w:widowControl/>
        <w:kinsoku/>
        <w:wordWrap/>
        <w:overflowPunct/>
        <w:topLinePunct w:val="0"/>
        <w:autoSpaceDE/>
        <w:autoSpaceDN/>
        <w:bidi w:val="0"/>
        <w:adjustRightInd/>
        <w:snapToGrid/>
        <w:spacing w:beforeAutospacing="0" w:afterAutospacing="0" w:line="560" w:lineRule="exact"/>
        <w:ind w:left="0" w:firstLine="645"/>
        <w:textAlignment w:val="auto"/>
        <w:rPr>
          <w:rFonts w:hint="eastAsia" w:ascii="仿宋_GB2312" w:hAnsi="仿宋_GB2312" w:eastAsia="仿宋_GB2312" w:cs="仿宋_GB2312"/>
          <w:b w:val="0"/>
          <w:bCs/>
          <w:color w:val="333333"/>
          <w:kern w:val="0"/>
          <w:sz w:val="32"/>
          <w:szCs w:val="32"/>
          <w:lang w:eastAsia="zh-CN"/>
        </w:rPr>
      </w:pPr>
      <w:r>
        <w:rPr>
          <w:rFonts w:hint="eastAsia" w:ascii="仿宋_GB2312" w:hAnsi="仿宋_GB2312" w:eastAsia="仿宋_GB2312" w:cs="仿宋_GB2312"/>
          <w:b w:val="0"/>
          <w:bCs/>
          <w:color w:val="333333"/>
          <w:kern w:val="0"/>
          <w:sz w:val="32"/>
          <w:szCs w:val="32"/>
          <w:shd w:val="clear" w:color="auto" w:fill="FFFFFF"/>
        </w:rPr>
        <w:t>丰都县大桥管</w:t>
      </w:r>
      <w:r>
        <w:rPr>
          <w:rFonts w:hint="eastAsia" w:ascii="仿宋_GB2312" w:hAnsi="仿宋_GB2312" w:eastAsia="仿宋_GB2312" w:cs="仿宋_GB2312"/>
          <w:b w:val="0"/>
          <w:bCs/>
          <w:color w:val="333333"/>
          <w:kern w:val="0"/>
          <w:sz w:val="32"/>
          <w:szCs w:val="32"/>
          <w:shd w:val="clear" w:color="auto" w:fill="FFFFFF"/>
          <w:lang w:eastAsia="zh-CN"/>
        </w:rPr>
        <w:t>理</w:t>
      </w:r>
      <w:r>
        <w:rPr>
          <w:rFonts w:hint="eastAsia" w:ascii="仿宋_GB2312" w:hAnsi="仿宋_GB2312" w:eastAsia="仿宋_GB2312" w:cs="仿宋_GB2312"/>
          <w:b w:val="0"/>
          <w:bCs/>
          <w:color w:val="333333"/>
          <w:kern w:val="0"/>
          <w:sz w:val="32"/>
          <w:szCs w:val="32"/>
          <w:shd w:val="clear" w:color="auto" w:fill="FFFFFF"/>
        </w:rPr>
        <w:t>事务中心</w:t>
      </w:r>
      <w:r>
        <w:rPr>
          <w:rFonts w:hint="eastAsia" w:ascii="仿宋_GB2312" w:hAnsi="仿宋_GB2312" w:eastAsia="仿宋_GB2312" w:cs="仿宋_GB2312"/>
          <w:b w:val="0"/>
          <w:bCs/>
          <w:color w:val="333333"/>
          <w:kern w:val="0"/>
          <w:sz w:val="32"/>
          <w:szCs w:val="32"/>
        </w:rPr>
        <w:t>属财政全额拨款的二级预算事业单位，内设3个职能科室</w:t>
      </w:r>
      <w:r>
        <w:rPr>
          <w:rFonts w:hint="eastAsia" w:ascii="仿宋_GB2312" w:hAnsi="仿宋_GB2312" w:eastAsia="仿宋_GB2312" w:cs="仿宋_GB2312"/>
          <w:b w:val="0"/>
          <w:bCs/>
          <w:color w:val="333333"/>
          <w:kern w:val="0"/>
          <w:sz w:val="32"/>
          <w:szCs w:val="32"/>
          <w:shd w:val="clear" w:color="auto" w:fill="FFFFFF"/>
        </w:rPr>
        <w:t>：办公室、</w:t>
      </w:r>
      <w:r>
        <w:rPr>
          <w:rFonts w:hint="eastAsia" w:ascii="仿宋_GB2312" w:hAnsi="仿宋_GB2312" w:eastAsia="仿宋_GB2312" w:cs="仿宋_GB2312"/>
          <w:b w:val="0"/>
          <w:bCs/>
          <w:color w:val="333333"/>
          <w:kern w:val="0"/>
          <w:sz w:val="32"/>
          <w:szCs w:val="32"/>
          <w:shd w:val="clear" w:color="auto" w:fill="FFFFFF"/>
          <w:lang w:eastAsia="zh-CN"/>
        </w:rPr>
        <w:t>安全维护科</w:t>
      </w:r>
      <w:r>
        <w:rPr>
          <w:rFonts w:hint="eastAsia" w:ascii="仿宋_GB2312" w:hAnsi="仿宋_GB2312" w:eastAsia="仿宋_GB2312" w:cs="仿宋_GB2312"/>
          <w:b w:val="0"/>
          <w:bCs/>
          <w:color w:val="333333"/>
          <w:kern w:val="0"/>
          <w:sz w:val="32"/>
          <w:szCs w:val="32"/>
          <w:shd w:val="clear" w:color="auto" w:fill="FFFFFF"/>
        </w:rPr>
        <w:t>、</w:t>
      </w:r>
      <w:r>
        <w:rPr>
          <w:rFonts w:hint="eastAsia" w:ascii="仿宋_GB2312" w:hAnsi="仿宋_GB2312" w:eastAsia="仿宋_GB2312" w:cs="仿宋_GB2312"/>
          <w:b w:val="0"/>
          <w:bCs/>
          <w:color w:val="333333"/>
          <w:kern w:val="0"/>
          <w:sz w:val="32"/>
          <w:szCs w:val="32"/>
          <w:shd w:val="clear" w:color="auto" w:fill="FFFFFF"/>
          <w:lang w:eastAsia="zh-CN"/>
        </w:rPr>
        <w:t>经营管理科。</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firstLine="420"/>
        <w:textAlignment w:val="auto"/>
        <w:rPr>
          <w:rStyle w:val="10"/>
          <w:rFonts w:hint="eastAsia" w:ascii="仿宋_GB2312" w:hAnsi="仿宋_GB2312" w:eastAsia="仿宋_GB2312" w:cs="仿宋_GB2312"/>
          <w:sz w:val="32"/>
          <w:szCs w:val="32"/>
          <w:shd w:val="clear" w:color="auto" w:fill="FFFFFF"/>
        </w:rPr>
      </w:pP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二、单位决算情况说明</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（一）收入支出决算总体情况说明。</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0" w:afterAutospacing="0" w:line="560" w:lineRule="exact"/>
        <w:ind w:left="0" w:firstLine="643" w:firstLineChars="200"/>
        <w:jc w:val="left"/>
        <w:textAlignment w:val="auto"/>
        <w:rPr>
          <w:rFonts w:hint="eastAsia" w:ascii="仿宋_GB2312" w:hAnsi="仿宋_GB2312" w:eastAsia="仿宋_GB2312" w:cs="仿宋_GB2312"/>
          <w:sz w:val="32"/>
          <w:szCs w:val="32"/>
          <w:lang w:eastAsia="zh-CN"/>
        </w:rPr>
      </w:pPr>
      <w:r>
        <w:rPr>
          <w:rStyle w:val="10"/>
          <w:rFonts w:hint="eastAsia" w:ascii="仿宋_GB2312" w:hAnsi="仿宋_GB2312" w:eastAsia="仿宋_GB2312" w:cs="仿宋_GB2312"/>
          <w:sz w:val="32"/>
          <w:szCs w:val="32"/>
          <w:shd w:val="clear" w:color="auto" w:fill="FFFFFF"/>
        </w:rPr>
        <w:t>1.总体情况。</w:t>
      </w:r>
      <w:r>
        <w:rPr>
          <w:rFonts w:hint="eastAsia" w:ascii="仿宋_GB2312" w:hAnsi="仿宋_GB2312" w:eastAsia="仿宋_GB2312" w:cs="仿宋_GB2312"/>
          <w:sz w:val="32"/>
          <w:szCs w:val="32"/>
          <w:shd w:val="clear" w:color="auto" w:fill="FFFFFF"/>
        </w:rPr>
        <w:t>2023年度收入总计791.78万元，支出总计</w:t>
      </w:r>
      <w:r>
        <w:rPr>
          <w:rFonts w:hint="eastAsia" w:ascii="仿宋_GB2312" w:hAnsi="仿宋_GB2312" w:eastAsia="仿宋_GB2312" w:cs="仿宋_GB2312"/>
          <w:sz w:val="32"/>
          <w:szCs w:val="32"/>
        </w:rPr>
        <w:t>791.78</w:t>
      </w:r>
      <w:r>
        <w:rPr>
          <w:rFonts w:hint="eastAsia" w:ascii="仿宋_GB2312" w:hAnsi="仿宋_GB2312" w:eastAsia="仿宋_GB2312" w:cs="仿宋_GB2312"/>
          <w:sz w:val="32"/>
          <w:szCs w:val="32"/>
          <w:shd w:val="clear" w:color="auto" w:fill="FFFFFF"/>
        </w:rPr>
        <w:t>万元。收支较上年决算数增加386.40万元，增长95.32%，主要原因是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0" w:afterAutospacing="0" w:line="560" w:lineRule="exact"/>
        <w:ind w:left="0" w:firstLine="643" w:firstLineChars="200"/>
        <w:jc w:val="left"/>
        <w:textAlignment w:val="auto"/>
        <w:rPr>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2.收入情况。</w:t>
      </w:r>
      <w:r>
        <w:rPr>
          <w:rFonts w:hint="eastAsia" w:ascii="仿宋_GB2312" w:hAnsi="仿宋_GB2312" w:eastAsia="仿宋_GB2312" w:cs="仿宋_GB2312"/>
          <w:sz w:val="32"/>
          <w:szCs w:val="32"/>
          <w:shd w:val="clear" w:color="auto" w:fill="FFFFFF"/>
        </w:rPr>
        <w:t>2023年度收入合计735.48万元，较上年决算数增加333.80万元，增长83.10%，主要原因是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r>
        <w:rPr>
          <w:rFonts w:hint="eastAsia" w:ascii="仿宋_GB2312" w:hAnsi="仿宋_GB2312" w:eastAsia="仿宋_GB2312" w:cs="仿宋_GB2312"/>
          <w:sz w:val="32"/>
          <w:szCs w:val="32"/>
          <w:shd w:val="clear" w:color="auto" w:fill="FFFFFF"/>
        </w:rPr>
        <w:t>其中：财政拨款收入</w:t>
      </w:r>
      <w:r>
        <w:rPr>
          <w:rFonts w:hint="eastAsia" w:ascii="仿宋_GB2312" w:hAnsi="仿宋_GB2312" w:eastAsia="仿宋_GB2312" w:cs="仿宋_GB2312"/>
          <w:sz w:val="32"/>
          <w:szCs w:val="32"/>
        </w:rPr>
        <w:t>735.48</w:t>
      </w:r>
      <w:r>
        <w:rPr>
          <w:rFonts w:hint="eastAsia" w:ascii="仿宋_GB2312" w:hAnsi="仿宋_GB2312" w:eastAsia="仿宋_GB2312" w:cs="仿宋_GB2312"/>
          <w:sz w:val="32"/>
          <w:szCs w:val="32"/>
          <w:shd w:val="clear" w:color="auto" w:fill="FFFFFF"/>
        </w:rPr>
        <w:t>万元，占</w:t>
      </w:r>
      <w:r>
        <w:rPr>
          <w:rFonts w:hint="eastAsia" w:ascii="仿宋_GB2312" w:hAnsi="仿宋_GB2312" w:eastAsia="仿宋_GB2312" w:cs="仿宋_GB2312"/>
          <w:sz w:val="32"/>
          <w:szCs w:val="32"/>
        </w:rPr>
        <w:t>100.00</w:t>
      </w:r>
      <w:r>
        <w:rPr>
          <w:rFonts w:hint="eastAsia" w:ascii="仿宋_GB2312" w:hAnsi="仿宋_GB2312" w:eastAsia="仿宋_GB2312" w:cs="仿宋_GB2312"/>
          <w:sz w:val="32"/>
          <w:szCs w:val="32"/>
          <w:shd w:val="clear" w:color="auto" w:fill="FFFFFF"/>
        </w:rPr>
        <w:t>%；事业收入</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万元，占0.00%；经营收入</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万元，占0.00%；其他收入</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万元，占0.00%。此外，使用非财政拨款结余和专用结余</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万元，年初结转和结余</w:t>
      </w:r>
      <w:r>
        <w:rPr>
          <w:rFonts w:hint="eastAsia" w:ascii="仿宋_GB2312" w:hAnsi="仿宋_GB2312" w:eastAsia="仿宋_GB2312" w:cs="仿宋_GB2312"/>
          <w:sz w:val="32"/>
          <w:szCs w:val="32"/>
        </w:rPr>
        <w:t>56.31</w:t>
      </w:r>
      <w:r>
        <w:rPr>
          <w:rFonts w:hint="eastAsia" w:ascii="仿宋_GB2312" w:hAnsi="仿宋_GB2312" w:eastAsia="仿宋_GB2312" w:cs="仿宋_GB2312"/>
          <w:sz w:val="32"/>
          <w:szCs w:val="32"/>
          <w:shd w:val="clear" w:color="auto" w:fill="FFFFFF"/>
        </w:rPr>
        <w:t>万元。</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3.支出情况。</w:t>
      </w:r>
      <w:r>
        <w:rPr>
          <w:rFonts w:hint="eastAsia" w:ascii="仿宋_GB2312" w:hAnsi="仿宋_GB2312" w:eastAsia="仿宋_GB2312" w:cs="仿宋_GB2312"/>
          <w:sz w:val="32"/>
          <w:szCs w:val="32"/>
          <w:shd w:val="clear" w:color="auto" w:fill="FFFFFF"/>
        </w:rPr>
        <w:t>2023年度支出合计</w:t>
      </w:r>
      <w:r>
        <w:rPr>
          <w:rFonts w:hint="eastAsia" w:ascii="仿宋_GB2312" w:hAnsi="仿宋_GB2312" w:eastAsia="仿宋_GB2312" w:cs="仿宋_GB2312"/>
          <w:sz w:val="32"/>
          <w:szCs w:val="32"/>
        </w:rPr>
        <w:t>788.09</w:t>
      </w:r>
      <w:r>
        <w:rPr>
          <w:rFonts w:hint="eastAsia" w:ascii="仿宋_GB2312" w:hAnsi="仿宋_GB2312" w:eastAsia="仿宋_GB2312" w:cs="仿宋_GB2312"/>
          <w:sz w:val="32"/>
          <w:szCs w:val="32"/>
          <w:shd w:val="clear" w:color="auto" w:fill="FFFFFF"/>
        </w:rPr>
        <w:t>万元，较上年决算数增加386.41万元，增长96.20%，主要原因是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r>
        <w:rPr>
          <w:rFonts w:hint="eastAsia" w:ascii="仿宋_GB2312" w:hAnsi="仿宋_GB2312" w:eastAsia="仿宋_GB2312" w:cs="仿宋_GB2312"/>
          <w:sz w:val="32"/>
          <w:szCs w:val="32"/>
          <w:shd w:val="clear" w:color="auto" w:fill="FFFFFF"/>
        </w:rPr>
        <w:t>其中：基本支出</w:t>
      </w:r>
      <w:r>
        <w:rPr>
          <w:rFonts w:hint="eastAsia" w:ascii="仿宋_GB2312" w:hAnsi="仿宋_GB2312" w:eastAsia="仿宋_GB2312" w:cs="仿宋_GB2312"/>
          <w:sz w:val="32"/>
          <w:szCs w:val="32"/>
        </w:rPr>
        <w:t>265.30</w:t>
      </w:r>
      <w:r>
        <w:rPr>
          <w:rFonts w:hint="eastAsia" w:ascii="仿宋_GB2312" w:hAnsi="仿宋_GB2312" w:eastAsia="仿宋_GB2312" w:cs="仿宋_GB2312"/>
          <w:sz w:val="32"/>
          <w:szCs w:val="32"/>
          <w:shd w:val="clear" w:color="auto" w:fill="FFFFFF"/>
        </w:rPr>
        <w:t>万元，占33.66%；项目支出</w:t>
      </w:r>
      <w:r>
        <w:rPr>
          <w:rFonts w:hint="eastAsia" w:ascii="仿宋_GB2312" w:hAnsi="仿宋_GB2312" w:eastAsia="仿宋_GB2312" w:cs="仿宋_GB2312"/>
          <w:sz w:val="32"/>
          <w:szCs w:val="32"/>
        </w:rPr>
        <w:t>522.79</w:t>
      </w:r>
      <w:r>
        <w:rPr>
          <w:rFonts w:hint="eastAsia" w:ascii="仿宋_GB2312" w:hAnsi="仿宋_GB2312" w:eastAsia="仿宋_GB2312" w:cs="仿宋_GB2312"/>
          <w:sz w:val="32"/>
          <w:szCs w:val="32"/>
          <w:shd w:val="clear" w:color="auto" w:fill="FFFFFF"/>
        </w:rPr>
        <w:t>万元，占66.34%；经营支出</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万元，占0.00%。此外，结余分配</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lang w:eastAsia="zh-CN"/>
        </w:rPr>
      </w:pPr>
      <w:r>
        <w:rPr>
          <w:rStyle w:val="10"/>
          <w:rFonts w:hint="eastAsia" w:ascii="仿宋_GB2312" w:hAnsi="仿宋_GB2312" w:eastAsia="仿宋_GB2312" w:cs="仿宋_GB2312"/>
          <w:sz w:val="32"/>
          <w:szCs w:val="32"/>
          <w:shd w:val="clear" w:color="auto" w:fill="FFFFFF"/>
        </w:rPr>
        <w:t>4.结转结余情况。</w:t>
      </w:r>
      <w:r>
        <w:rPr>
          <w:rFonts w:hint="eastAsia" w:ascii="仿宋_GB2312" w:hAnsi="仿宋_GB2312" w:eastAsia="仿宋_GB2312" w:cs="仿宋_GB2312"/>
          <w:sz w:val="32"/>
          <w:szCs w:val="32"/>
          <w:shd w:val="clear" w:color="auto" w:fill="FFFFFF"/>
        </w:rPr>
        <w:t>2023年度年末结转和结余</w:t>
      </w:r>
      <w:r>
        <w:rPr>
          <w:rFonts w:hint="eastAsia" w:ascii="仿宋_GB2312" w:hAnsi="仿宋_GB2312" w:eastAsia="仿宋_GB2312" w:cs="仿宋_GB2312"/>
          <w:sz w:val="32"/>
          <w:szCs w:val="32"/>
        </w:rPr>
        <w:t>3.69</w:t>
      </w:r>
      <w:r>
        <w:rPr>
          <w:rFonts w:hint="eastAsia" w:ascii="仿宋_GB2312" w:hAnsi="仿宋_GB2312" w:eastAsia="仿宋_GB2312" w:cs="仿宋_GB2312"/>
          <w:sz w:val="32"/>
          <w:szCs w:val="32"/>
          <w:shd w:val="clear" w:color="auto" w:fill="FFFFFF"/>
        </w:rPr>
        <w:t>万元，较上年决算数无增减</w:t>
      </w:r>
      <w:r>
        <w:rPr>
          <w:rFonts w:hint="eastAsia" w:ascii="仿宋_GB2312" w:hAnsi="仿宋_GB2312" w:eastAsia="仿宋_GB2312" w:cs="仿宋_GB2312"/>
          <w:sz w:val="32"/>
          <w:szCs w:val="32"/>
          <w:shd w:val="clear" w:color="auto" w:fill="FFFFFF"/>
          <w:lang w:eastAsia="zh-CN"/>
        </w:rPr>
        <w:t>。</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（二）财政拨款收入支出决算总体情况说明</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shd w:val="clear" w:color="auto" w:fill="FFFFFF"/>
        </w:rPr>
        <w:t>2023年度财政拨款收、支总计791.78万元。与2022年相比，财政拨款收、支总计各增加386.53万元，增长95.38%。主要原因是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（三）一般公共预算财政拨款收入支出决算情况说明</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1.收入情况。</w:t>
      </w:r>
      <w:r>
        <w:rPr>
          <w:rFonts w:hint="eastAsia" w:ascii="仿宋_GB2312" w:hAnsi="仿宋_GB2312" w:eastAsia="仿宋_GB2312" w:cs="仿宋_GB2312"/>
          <w:sz w:val="32"/>
          <w:szCs w:val="32"/>
          <w:shd w:val="clear" w:color="auto" w:fill="FFFFFF"/>
        </w:rPr>
        <w:t>2023年度一般公共预算财政拨款收入</w:t>
      </w:r>
      <w:r>
        <w:rPr>
          <w:rFonts w:hint="eastAsia" w:ascii="仿宋_GB2312" w:hAnsi="仿宋_GB2312" w:eastAsia="仿宋_GB2312" w:cs="仿宋_GB2312"/>
          <w:sz w:val="32"/>
          <w:szCs w:val="32"/>
        </w:rPr>
        <w:t>735.48</w:t>
      </w:r>
      <w:r>
        <w:rPr>
          <w:rFonts w:hint="eastAsia" w:ascii="仿宋_GB2312" w:hAnsi="仿宋_GB2312" w:eastAsia="仿宋_GB2312" w:cs="仿宋_GB2312"/>
          <w:sz w:val="32"/>
          <w:szCs w:val="32"/>
          <w:shd w:val="clear" w:color="auto" w:fill="FFFFFF"/>
        </w:rPr>
        <w:t>万元，较上年决算数增加333.92万元，增长83.16%。主要原因是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r>
        <w:rPr>
          <w:rFonts w:hint="eastAsia" w:ascii="仿宋_GB2312" w:hAnsi="仿宋_GB2312" w:eastAsia="仿宋_GB2312" w:cs="仿宋_GB2312"/>
          <w:sz w:val="32"/>
          <w:szCs w:val="32"/>
          <w:shd w:val="clear" w:color="auto" w:fill="FFFFFF"/>
        </w:rPr>
        <w:t>较年初预算数增加522.79万元，增长245.80%。主要原因是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r>
        <w:rPr>
          <w:rFonts w:hint="eastAsia" w:ascii="仿宋_GB2312" w:hAnsi="仿宋_GB2312" w:eastAsia="仿宋_GB2312" w:cs="仿宋_GB2312"/>
          <w:sz w:val="32"/>
          <w:szCs w:val="32"/>
          <w:shd w:val="clear" w:color="auto" w:fill="FFFFFF"/>
        </w:rPr>
        <w:t>此外，年初财政拨款结转和结余</w:t>
      </w:r>
      <w:r>
        <w:rPr>
          <w:rFonts w:hint="eastAsia" w:ascii="仿宋_GB2312" w:hAnsi="仿宋_GB2312" w:eastAsia="仿宋_GB2312" w:cs="仿宋_GB2312"/>
          <w:sz w:val="32"/>
          <w:szCs w:val="32"/>
        </w:rPr>
        <w:t>56.31</w:t>
      </w:r>
      <w:r>
        <w:rPr>
          <w:rFonts w:hint="eastAsia" w:ascii="仿宋_GB2312" w:hAnsi="仿宋_GB2312" w:eastAsia="仿宋_GB2312" w:cs="仿宋_GB2312"/>
          <w:sz w:val="32"/>
          <w:szCs w:val="32"/>
          <w:shd w:val="clear" w:color="auto" w:fill="FFFFFF"/>
        </w:rPr>
        <w:t>万元。</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lang w:eastAsia="zh-CN"/>
        </w:rPr>
      </w:pPr>
      <w:r>
        <w:rPr>
          <w:rStyle w:val="10"/>
          <w:rFonts w:hint="eastAsia" w:ascii="仿宋_GB2312" w:hAnsi="仿宋_GB2312" w:eastAsia="仿宋_GB2312" w:cs="仿宋_GB2312"/>
          <w:sz w:val="32"/>
          <w:szCs w:val="32"/>
          <w:shd w:val="clear" w:color="auto" w:fill="FFFFFF"/>
        </w:rPr>
        <w:t>2.支出情况。</w:t>
      </w:r>
      <w:r>
        <w:rPr>
          <w:rFonts w:hint="eastAsia" w:ascii="仿宋_GB2312" w:hAnsi="仿宋_GB2312" w:eastAsia="仿宋_GB2312" w:cs="仿宋_GB2312"/>
          <w:sz w:val="32"/>
          <w:szCs w:val="32"/>
          <w:shd w:val="clear" w:color="auto" w:fill="FFFFFF"/>
        </w:rPr>
        <w:t>2023年度一般公共预算财政拨款支出</w:t>
      </w:r>
      <w:r>
        <w:rPr>
          <w:rFonts w:hint="eastAsia" w:ascii="仿宋_GB2312" w:hAnsi="仿宋_GB2312" w:eastAsia="仿宋_GB2312" w:cs="仿宋_GB2312"/>
          <w:sz w:val="32"/>
          <w:szCs w:val="32"/>
        </w:rPr>
        <w:t>788.09</w:t>
      </w:r>
      <w:r>
        <w:rPr>
          <w:rFonts w:hint="eastAsia" w:ascii="仿宋_GB2312" w:hAnsi="仿宋_GB2312" w:eastAsia="仿宋_GB2312" w:cs="仿宋_GB2312"/>
          <w:sz w:val="32"/>
          <w:szCs w:val="32"/>
          <w:shd w:val="clear" w:color="auto" w:fill="FFFFFF"/>
        </w:rPr>
        <w:t>万元，较上年决算数增加386.53万元，增长96.26%。主要原因是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r>
        <w:rPr>
          <w:rFonts w:hint="eastAsia" w:ascii="仿宋_GB2312" w:hAnsi="仿宋_GB2312" w:eastAsia="仿宋_GB2312" w:cs="仿宋_GB2312"/>
          <w:sz w:val="32"/>
          <w:szCs w:val="32"/>
          <w:shd w:val="clear" w:color="auto" w:fill="FFFFFF"/>
        </w:rPr>
        <w:t>较年初预算数增加575.40万元，增长270.53%。主要原因是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shd w:val="clear" w:color="auto" w:fill="FFFFFF"/>
          <w:lang w:eastAsia="zh-CN"/>
        </w:rPr>
      </w:pPr>
      <w:r>
        <w:rPr>
          <w:rStyle w:val="10"/>
          <w:rFonts w:hint="eastAsia" w:ascii="仿宋_GB2312" w:hAnsi="仿宋_GB2312" w:eastAsia="仿宋_GB2312" w:cs="仿宋_GB2312"/>
          <w:sz w:val="32"/>
          <w:szCs w:val="32"/>
          <w:shd w:val="clear" w:color="auto" w:fill="FFFFFF"/>
        </w:rPr>
        <w:t>3.结转结余情况。</w:t>
      </w:r>
      <w:r>
        <w:rPr>
          <w:rFonts w:hint="eastAsia" w:ascii="仿宋_GB2312" w:hAnsi="仿宋_GB2312" w:eastAsia="仿宋_GB2312" w:cs="仿宋_GB2312"/>
          <w:sz w:val="32"/>
          <w:szCs w:val="32"/>
          <w:shd w:val="clear" w:color="auto" w:fill="FFFFFF"/>
        </w:rPr>
        <w:t>2023年度年末一般公共预算财政拨款结转和结余</w:t>
      </w:r>
      <w:r>
        <w:rPr>
          <w:rFonts w:hint="eastAsia" w:ascii="仿宋_GB2312" w:hAnsi="仿宋_GB2312" w:eastAsia="仿宋_GB2312" w:cs="仿宋_GB2312"/>
          <w:sz w:val="32"/>
          <w:szCs w:val="32"/>
        </w:rPr>
        <w:t>3.69</w:t>
      </w:r>
      <w:r>
        <w:rPr>
          <w:rFonts w:hint="eastAsia" w:ascii="仿宋_GB2312" w:hAnsi="仿宋_GB2312" w:eastAsia="仿宋_GB2312" w:cs="仿宋_GB2312"/>
          <w:sz w:val="32"/>
          <w:szCs w:val="32"/>
          <w:shd w:val="clear" w:color="auto" w:fill="FFFFFF"/>
        </w:rPr>
        <w:t>万元，较上年决算数无增减</w:t>
      </w:r>
      <w:r>
        <w:rPr>
          <w:rFonts w:hint="eastAsia" w:ascii="仿宋_GB2312" w:hAnsi="仿宋_GB2312" w:eastAsia="仿宋_GB2312" w:cs="仿宋_GB2312"/>
          <w:sz w:val="32"/>
          <w:szCs w:val="32"/>
          <w:shd w:val="clear" w:color="auto" w:fill="FFFFFF"/>
          <w:lang w:eastAsia="zh-CN"/>
        </w:rPr>
        <w:t>。</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color w:val="FF0000"/>
          <w:sz w:val="32"/>
          <w:szCs w:val="32"/>
          <w:highlight w:val="cyan"/>
          <w:shd w:val="clear" w:color="auto" w:fill="FFFFFF"/>
        </w:rPr>
      </w:pPr>
      <w:r>
        <w:rPr>
          <w:rStyle w:val="10"/>
          <w:rFonts w:hint="eastAsia" w:ascii="仿宋_GB2312" w:hAnsi="仿宋_GB2312" w:eastAsia="仿宋_GB2312" w:cs="仿宋_GB2312"/>
          <w:sz w:val="32"/>
          <w:szCs w:val="32"/>
          <w:shd w:val="clear" w:color="auto" w:fill="FFFFFF"/>
        </w:rPr>
        <w:t xml:space="preserve"> 4.比较情况。</w:t>
      </w:r>
      <w:r>
        <w:rPr>
          <w:rFonts w:hint="eastAsia" w:ascii="仿宋_GB2312" w:hAnsi="仿宋_GB2312" w:eastAsia="仿宋_GB2312" w:cs="仿宋_GB2312"/>
          <w:sz w:val="32"/>
          <w:szCs w:val="32"/>
          <w:shd w:val="clear" w:color="auto" w:fill="FFFFFF"/>
        </w:rPr>
        <w:t>本单位2023年度一般公共预算财政拨款支出主要用于以下几个方面：</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shd w:val="clear" w:fill="FFFFFF"/>
          <w:lang w:eastAsia="zh-CN"/>
        </w:rPr>
      </w:pPr>
      <w:r>
        <w:rPr>
          <w:rFonts w:hint="eastAsia" w:ascii="仿宋_GB2312" w:hAnsi="仿宋_GB2312" w:eastAsia="仿宋_GB2312" w:cs="仿宋_GB2312"/>
          <w:sz w:val="32"/>
          <w:szCs w:val="32"/>
          <w:shd w:val="clear" w:color="auto" w:fill="FFFFFF"/>
        </w:rPr>
        <w:t>（</w:t>
      </w:r>
      <w:r>
        <w:rPr>
          <w:rFonts w:hint="eastAsia" w:ascii="仿宋_GB2312" w:hAnsi="仿宋_GB2312" w:eastAsia="仿宋_GB2312" w:cs="仿宋_GB2312"/>
          <w:sz w:val="32"/>
          <w:szCs w:val="32"/>
          <w:shd w:val="clear" w:color="auto" w:fill="FFFFFF"/>
          <w:lang w:val="en-US" w:eastAsia="zh-CN"/>
        </w:rPr>
        <w:t>1</w:t>
      </w:r>
      <w:r>
        <w:rPr>
          <w:rFonts w:hint="eastAsia" w:ascii="仿宋_GB2312" w:hAnsi="仿宋_GB2312" w:eastAsia="仿宋_GB2312" w:cs="仿宋_GB2312"/>
          <w:sz w:val="32"/>
          <w:szCs w:val="32"/>
          <w:shd w:val="clear" w:color="auto" w:fill="FFFFFF"/>
        </w:rPr>
        <w:t>）社会保障与就业支出</w:t>
      </w:r>
      <w:r>
        <w:rPr>
          <w:rFonts w:hint="eastAsia" w:ascii="仿宋_GB2312" w:hAnsi="仿宋_GB2312" w:eastAsia="仿宋_GB2312" w:cs="仿宋_GB2312"/>
          <w:sz w:val="32"/>
          <w:szCs w:val="32"/>
        </w:rPr>
        <w:t>31.08</w:t>
      </w:r>
      <w:r>
        <w:rPr>
          <w:rFonts w:hint="eastAsia" w:ascii="仿宋_GB2312" w:hAnsi="仿宋_GB2312" w:eastAsia="仿宋_GB2312" w:cs="仿宋_GB2312"/>
          <w:sz w:val="32"/>
          <w:szCs w:val="32"/>
          <w:shd w:val="clear" w:color="auto" w:fill="FFFFFF"/>
        </w:rPr>
        <w:t>万元，占</w:t>
      </w:r>
      <w:r>
        <w:rPr>
          <w:rFonts w:hint="eastAsia" w:ascii="仿宋_GB2312" w:hAnsi="仿宋_GB2312" w:eastAsia="仿宋_GB2312" w:cs="仿宋_GB2312"/>
          <w:sz w:val="32"/>
          <w:szCs w:val="32"/>
        </w:rPr>
        <w:t>3.94</w:t>
      </w:r>
      <w:r>
        <w:rPr>
          <w:rFonts w:hint="eastAsia" w:ascii="仿宋_GB2312" w:hAnsi="仿宋_GB2312" w:eastAsia="仿宋_GB2312" w:cs="仿宋_GB2312"/>
          <w:sz w:val="32"/>
          <w:szCs w:val="32"/>
          <w:shd w:val="clear" w:color="auto" w:fill="FFFFFF"/>
        </w:rPr>
        <w:t>%，较年初预算数增加15.52万元，增长99.74%，主要原因是</w:t>
      </w:r>
      <w:r>
        <w:rPr>
          <w:rFonts w:hint="eastAsia" w:ascii="仿宋_GB2312" w:hAnsi="仿宋_GB2312" w:eastAsia="仿宋_GB2312" w:cs="仿宋_GB2312"/>
          <w:sz w:val="32"/>
          <w:szCs w:val="32"/>
          <w:lang w:eastAsia="zh-CN"/>
        </w:rPr>
        <w:t>人员经费及</w:t>
      </w:r>
      <w:r>
        <w:rPr>
          <w:rFonts w:hint="eastAsia" w:ascii="仿宋_GB2312" w:hAnsi="仿宋_GB2312" w:eastAsia="仿宋_GB2312" w:cs="仿宋_GB2312"/>
          <w:sz w:val="32"/>
          <w:szCs w:val="32"/>
          <w:shd w:val="clear" w:fill="FFFFFF"/>
          <w:lang w:eastAsia="zh-CN"/>
        </w:rPr>
        <w:t>人员缴费基数增加。</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shd w:val="clear" w:fill="FFFFFF"/>
          <w:lang w:eastAsia="zh-CN"/>
        </w:rPr>
      </w:pPr>
      <w:r>
        <w:rPr>
          <w:rFonts w:hint="eastAsia" w:ascii="仿宋_GB2312" w:hAnsi="仿宋_GB2312" w:eastAsia="仿宋_GB2312" w:cs="仿宋_GB2312"/>
          <w:sz w:val="32"/>
          <w:szCs w:val="32"/>
          <w:shd w:val="clear" w:color="auto" w:fill="FFFFFF"/>
        </w:rPr>
        <w:t>（</w:t>
      </w:r>
      <w:r>
        <w:rPr>
          <w:rFonts w:hint="eastAsia" w:ascii="仿宋_GB2312" w:hAnsi="仿宋_GB2312" w:eastAsia="仿宋_GB2312" w:cs="仿宋_GB2312"/>
          <w:sz w:val="32"/>
          <w:szCs w:val="32"/>
          <w:shd w:val="clear" w:color="auto" w:fill="FFFFFF"/>
          <w:lang w:val="en-US" w:eastAsia="zh-CN"/>
        </w:rPr>
        <w:t>2</w:t>
      </w:r>
      <w:r>
        <w:rPr>
          <w:rFonts w:hint="eastAsia" w:ascii="仿宋_GB2312" w:hAnsi="仿宋_GB2312" w:eastAsia="仿宋_GB2312" w:cs="仿宋_GB2312"/>
          <w:sz w:val="32"/>
          <w:szCs w:val="32"/>
          <w:shd w:val="clear" w:color="auto" w:fill="FFFFFF"/>
        </w:rPr>
        <w:t>）卫生健康支出</w:t>
      </w:r>
      <w:r>
        <w:rPr>
          <w:rFonts w:hint="eastAsia" w:ascii="仿宋_GB2312" w:hAnsi="仿宋_GB2312" w:eastAsia="仿宋_GB2312" w:cs="仿宋_GB2312"/>
          <w:sz w:val="32"/>
          <w:szCs w:val="32"/>
        </w:rPr>
        <w:t>11.67</w:t>
      </w:r>
      <w:r>
        <w:rPr>
          <w:rFonts w:hint="eastAsia" w:ascii="仿宋_GB2312" w:hAnsi="仿宋_GB2312" w:eastAsia="仿宋_GB2312" w:cs="仿宋_GB2312"/>
          <w:sz w:val="32"/>
          <w:szCs w:val="32"/>
          <w:shd w:val="clear" w:color="auto" w:fill="FFFFFF"/>
        </w:rPr>
        <w:t>万元，占</w:t>
      </w:r>
      <w:r>
        <w:rPr>
          <w:rFonts w:hint="eastAsia" w:ascii="仿宋_GB2312" w:hAnsi="仿宋_GB2312" w:eastAsia="仿宋_GB2312" w:cs="仿宋_GB2312"/>
          <w:sz w:val="32"/>
          <w:szCs w:val="32"/>
        </w:rPr>
        <w:t>1.48</w:t>
      </w:r>
      <w:r>
        <w:rPr>
          <w:rFonts w:hint="eastAsia" w:ascii="仿宋_GB2312" w:hAnsi="仿宋_GB2312" w:eastAsia="仿宋_GB2312" w:cs="仿宋_GB2312"/>
          <w:sz w:val="32"/>
          <w:szCs w:val="32"/>
          <w:shd w:val="clear" w:color="auto" w:fill="FFFFFF"/>
        </w:rPr>
        <w:t>%，较年初预算数增加3.51万元，增长43.01%，主要原因是</w:t>
      </w:r>
      <w:r>
        <w:rPr>
          <w:rFonts w:hint="eastAsia" w:ascii="仿宋_GB2312" w:hAnsi="仿宋_GB2312" w:eastAsia="仿宋_GB2312" w:cs="仿宋_GB2312"/>
          <w:sz w:val="32"/>
          <w:szCs w:val="32"/>
          <w:lang w:eastAsia="zh-CN"/>
        </w:rPr>
        <w:t>人员经费及</w:t>
      </w:r>
      <w:r>
        <w:rPr>
          <w:rFonts w:hint="eastAsia" w:ascii="仿宋_GB2312" w:hAnsi="仿宋_GB2312" w:eastAsia="仿宋_GB2312" w:cs="仿宋_GB2312"/>
          <w:sz w:val="32"/>
          <w:szCs w:val="32"/>
          <w:shd w:val="clear" w:fill="FFFFFF"/>
          <w:lang w:eastAsia="zh-CN"/>
        </w:rPr>
        <w:t>人员缴费基数增加。</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shd w:val="clear" w:color="auto" w:fill="FFFFFF"/>
        </w:rPr>
        <w:t>（3）交通运输支出</w:t>
      </w:r>
      <w:r>
        <w:rPr>
          <w:rFonts w:hint="eastAsia" w:ascii="仿宋_GB2312" w:hAnsi="仿宋_GB2312" w:eastAsia="仿宋_GB2312" w:cs="仿宋_GB2312"/>
          <w:sz w:val="32"/>
          <w:szCs w:val="32"/>
        </w:rPr>
        <w:t>733.59</w:t>
      </w:r>
      <w:r>
        <w:rPr>
          <w:rFonts w:hint="eastAsia" w:ascii="仿宋_GB2312" w:hAnsi="仿宋_GB2312" w:eastAsia="仿宋_GB2312" w:cs="仿宋_GB2312"/>
          <w:sz w:val="32"/>
          <w:szCs w:val="32"/>
          <w:shd w:val="clear" w:color="auto" w:fill="FFFFFF"/>
        </w:rPr>
        <w:t>万元，占</w:t>
      </w:r>
      <w:r>
        <w:rPr>
          <w:rFonts w:hint="eastAsia" w:ascii="仿宋_GB2312" w:hAnsi="仿宋_GB2312" w:eastAsia="仿宋_GB2312" w:cs="仿宋_GB2312"/>
          <w:sz w:val="32"/>
          <w:szCs w:val="32"/>
        </w:rPr>
        <w:t>93.08</w:t>
      </w:r>
      <w:r>
        <w:rPr>
          <w:rFonts w:hint="eastAsia" w:ascii="仿宋_GB2312" w:hAnsi="仿宋_GB2312" w:eastAsia="仿宋_GB2312" w:cs="仿宋_GB2312"/>
          <w:sz w:val="32"/>
          <w:szCs w:val="32"/>
          <w:shd w:val="clear" w:color="auto" w:fill="FFFFFF"/>
        </w:rPr>
        <w:t>%，较年初预算数增加552.40万元，增长304.87%，主要原因是</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shd w:val="clear" w:fill="FFFFFF"/>
          <w:lang w:eastAsia="zh-CN"/>
        </w:rPr>
      </w:pPr>
      <w:r>
        <w:rPr>
          <w:rFonts w:hint="eastAsia" w:ascii="仿宋_GB2312" w:hAnsi="仿宋_GB2312" w:eastAsia="仿宋_GB2312" w:cs="仿宋_GB2312"/>
          <w:sz w:val="32"/>
          <w:szCs w:val="32"/>
          <w:shd w:val="clear" w:color="auto" w:fill="FFFFFF"/>
        </w:rPr>
        <w:t>（</w:t>
      </w:r>
      <w:r>
        <w:rPr>
          <w:rFonts w:hint="eastAsia" w:ascii="仿宋_GB2312" w:hAnsi="仿宋_GB2312" w:eastAsia="仿宋_GB2312" w:cs="仿宋_GB2312"/>
          <w:sz w:val="32"/>
          <w:szCs w:val="32"/>
          <w:shd w:val="clear" w:color="auto" w:fill="FFFFFF"/>
          <w:lang w:val="en-US" w:eastAsia="zh-CN"/>
        </w:rPr>
        <w:t>4</w:t>
      </w:r>
      <w:r>
        <w:rPr>
          <w:rFonts w:hint="eastAsia" w:ascii="仿宋_GB2312" w:hAnsi="仿宋_GB2312" w:eastAsia="仿宋_GB2312" w:cs="仿宋_GB2312"/>
          <w:sz w:val="32"/>
          <w:szCs w:val="32"/>
          <w:shd w:val="clear" w:color="auto" w:fill="FFFFFF"/>
        </w:rPr>
        <w:t>）</w:t>
      </w:r>
      <w:r>
        <w:rPr>
          <w:rFonts w:hint="eastAsia" w:ascii="仿宋_GB2312" w:hAnsi="仿宋_GB2312" w:eastAsia="仿宋_GB2312" w:cs="仿宋_GB2312"/>
          <w:sz w:val="32"/>
          <w:szCs w:val="32"/>
        </w:rPr>
        <w:t>住房保障支出11.76</w:t>
      </w:r>
      <w:r>
        <w:rPr>
          <w:rFonts w:hint="eastAsia" w:ascii="仿宋_GB2312" w:hAnsi="仿宋_GB2312" w:eastAsia="仿宋_GB2312" w:cs="仿宋_GB2312"/>
          <w:sz w:val="32"/>
          <w:szCs w:val="32"/>
          <w:shd w:val="clear" w:color="auto" w:fill="FFFFFF"/>
        </w:rPr>
        <w:t>万元，占</w:t>
      </w:r>
      <w:r>
        <w:rPr>
          <w:rFonts w:hint="eastAsia" w:ascii="仿宋_GB2312" w:hAnsi="仿宋_GB2312" w:eastAsia="仿宋_GB2312" w:cs="仿宋_GB2312"/>
          <w:sz w:val="32"/>
          <w:szCs w:val="32"/>
        </w:rPr>
        <w:t>1.49</w:t>
      </w:r>
      <w:r>
        <w:rPr>
          <w:rFonts w:hint="eastAsia" w:ascii="仿宋_GB2312" w:hAnsi="仿宋_GB2312" w:eastAsia="仿宋_GB2312" w:cs="仿宋_GB2312"/>
          <w:sz w:val="32"/>
          <w:szCs w:val="32"/>
          <w:shd w:val="clear" w:color="auto" w:fill="FFFFFF"/>
        </w:rPr>
        <w:t>%，较年初预算数增加3.98万元，增长51.16%，主要原因是</w:t>
      </w:r>
      <w:r>
        <w:rPr>
          <w:rFonts w:hint="eastAsia" w:ascii="仿宋_GB2312" w:hAnsi="仿宋_GB2312" w:eastAsia="仿宋_GB2312" w:cs="仿宋_GB2312"/>
          <w:sz w:val="32"/>
          <w:szCs w:val="32"/>
          <w:lang w:eastAsia="zh-CN"/>
        </w:rPr>
        <w:t>人员经费及</w:t>
      </w:r>
      <w:r>
        <w:rPr>
          <w:rFonts w:hint="eastAsia" w:ascii="仿宋_GB2312" w:hAnsi="仿宋_GB2312" w:eastAsia="仿宋_GB2312" w:cs="仿宋_GB2312"/>
          <w:sz w:val="32"/>
          <w:szCs w:val="32"/>
          <w:shd w:val="clear" w:fill="FFFFFF"/>
          <w:lang w:eastAsia="zh-CN"/>
        </w:rPr>
        <w:t>人员缴费基数增加。</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（四）一般公共预算财政拨款基本支出决算情况说明</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0" w:afterAutospacing="0" w:line="560" w:lineRule="exact"/>
        <w:ind w:left="0" w:firstLine="640" w:firstLineChars="200"/>
        <w:jc w:val="left"/>
        <w:textAlignment w:val="auto"/>
        <w:rPr>
          <w:rFonts w:hint="eastAsia" w:ascii="仿宋_GB2312" w:hAnsi="仿宋_GB2312" w:eastAsia="仿宋_GB2312" w:cs="仿宋_GB2312"/>
          <w:sz w:val="32"/>
          <w:szCs w:val="32"/>
          <w:shd w:val="clear" w:fill="FFFFFF"/>
          <w:lang w:val="en-US" w:eastAsia="zh-CN"/>
        </w:rPr>
      </w:pPr>
      <w:r>
        <w:rPr>
          <w:rFonts w:hint="eastAsia" w:ascii="仿宋_GB2312" w:hAnsi="仿宋_GB2312" w:eastAsia="仿宋_GB2312" w:cs="仿宋_GB2312"/>
          <w:sz w:val="32"/>
          <w:szCs w:val="32"/>
          <w:shd w:val="clear" w:color="auto" w:fill="FFFFFF"/>
        </w:rPr>
        <w:t> 2023年度一般公共财政拨款基本支出</w:t>
      </w:r>
      <w:r>
        <w:rPr>
          <w:rFonts w:hint="eastAsia" w:ascii="仿宋_GB2312" w:hAnsi="仿宋_GB2312" w:eastAsia="仿宋_GB2312" w:cs="仿宋_GB2312"/>
          <w:sz w:val="32"/>
          <w:szCs w:val="32"/>
        </w:rPr>
        <w:t>265.30</w:t>
      </w:r>
      <w:r>
        <w:rPr>
          <w:rFonts w:hint="eastAsia" w:ascii="仿宋_GB2312" w:hAnsi="仿宋_GB2312" w:eastAsia="仿宋_GB2312" w:cs="仿宋_GB2312"/>
          <w:sz w:val="32"/>
          <w:szCs w:val="32"/>
          <w:shd w:val="clear" w:color="auto" w:fill="FFFFFF"/>
        </w:rPr>
        <w:t>万元。其中：人员经费</w:t>
      </w:r>
      <w:r>
        <w:rPr>
          <w:rFonts w:hint="eastAsia" w:ascii="仿宋_GB2312" w:hAnsi="仿宋_GB2312" w:eastAsia="仿宋_GB2312" w:cs="仿宋_GB2312"/>
          <w:sz w:val="32"/>
          <w:szCs w:val="32"/>
        </w:rPr>
        <w:t>234.63</w:t>
      </w:r>
      <w:r>
        <w:rPr>
          <w:rFonts w:hint="eastAsia" w:ascii="仿宋_GB2312" w:hAnsi="仿宋_GB2312" w:eastAsia="仿宋_GB2312" w:cs="仿宋_GB2312"/>
          <w:sz w:val="32"/>
          <w:szCs w:val="32"/>
          <w:shd w:val="clear" w:color="auto" w:fill="FFFFFF"/>
        </w:rPr>
        <w:t>万元，较上年决算数增加85.66万元，增长57.50%，主要原因是</w:t>
      </w:r>
      <w:r>
        <w:rPr>
          <w:rFonts w:hint="eastAsia" w:ascii="仿宋_GB2312" w:hAnsi="仿宋_GB2312" w:eastAsia="仿宋_GB2312" w:cs="仿宋_GB2312"/>
          <w:color w:val="auto"/>
          <w:sz w:val="32"/>
          <w:szCs w:val="32"/>
          <w:lang w:eastAsia="zh-CN"/>
        </w:rPr>
        <w:t>人员经费增加。</w:t>
      </w:r>
      <w:r>
        <w:rPr>
          <w:rFonts w:hint="eastAsia" w:ascii="仿宋_GB2312" w:hAnsi="仿宋_GB2312" w:eastAsia="仿宋_GB2312" w:cs="仿宋_GB2312"/>
          <w:sz w:val="32"/>
          <w:szCs w:val="32"/>
          <w:shd w:val="clear" w:color="auto" w:fill="FFFFFF"/>
        </w:rPr>
        <w:t>人员经费用途主要包括</w:t>
      </w:r>
      <w:r>
        <w:rPr>
          <w:rFonts w:hint="eastAsia" w:ascii="仿宋_GB2312" w:hAnsi="仿宋_GB2312" w:eastAsia="仿宋_GB2312" w:cs="仿宋_GB2312"/>
          <w:sz w:val="32"/>
          <w:szCs w:val="32"/>
          <w:highlight w:val="none"/>
          <w:shd w:val="clear" w:fill="FFFFFF"/>
          <w:lang w:eastAsia="zh-CN"/>
        </w:rPr>
        <w:t>人员工资，</w:t>
      </w:r>
      <w:r>
        <w:rPr>
          <w:rFonts w:hint="eastAsia" w:ascii="仿宋_GB2312" w:hAnsi="仿宋_GB2312" w:eastAsia="仿宋_GB2312" w:cs="仿宋_GB2312"/>
          <w:sz w:val="32"/>
          <w:szCs w:val="32"/>
          <w:highlight w:val="none"/>
          <w:shd w:val="clear" w:fill="FFFFFF"/>
          <w:lang w:val="en-US" w:eastAsia="zh-CN"/>
        </w:rPr>
        <w:t>绩效.医疗，住房公积金，工会经费</w:t>
      </w:r>
      <w:r>
        <w:rPr>
          <w:rFonts w:hint="eastAsia" w:ascii="仿宋_GB2312" w:hAnsi="仿宋_GB2312" w:eastAsia="仿宋_GB2312" w:cs="仿宋_GB2312"/>
          <w:sz w:val="32"/>
          <w:szCs w:val="32"/>
          <w:shd w:val="clear" w:color="auto" w:fill="FFFFFF"/>
        </w:rPr>
        <w:t>公用经费</w:t>
      </w:r>
      <w:r>
        <w:rPr>
          <w:rFonts w:hint="eastAsia" w:ascii="仿宋_GB2312" w:hAnsi="仿宋_GB2312" w:eastAsia="仿宋_GB2312" w:cs="仿宋_GB2312"/>
          <w:sz w:val="32"/>
          <w:szCs w:val="32"/>
        </w:rPr>
        <w:t>30.67</w:t>
      </w:r>
      <w:r>
        <w:rPr>
          <w:rFonts w:hint="eastAsia" w:ascii="仿宋_GB2312" w:hAnsi="仿宋_GB2312" w:eastAsia="仿宋_GB2312" w:cs="仿宋_GB2312"/>
          <w:sz w:val="32"/>
          <w:szCs w:val="32"/>
          <w:shd w:val="clear" w:color="auto" w:fill="FFFFFF"/>
        </w:rPr>
        <w:t>万元，较上年决算数增加10.29万元，增长50.49%，主要原因是</w:t>
      </w:r>
      <w:r>
        <w:rPr>
          <w:rFonts w:hint="eastAsia" w:ascii="仿宋_GB2312" w:hAnsi="仿宋_GB2312" w:eastAsia="仿宋_GB2312" w:cs="仿宋_GB2312"/>
          <w:sz w:val="32"/>
          <w:szCs w:val="32"/>
          <w:lang w:eastAsia="zh-CN"/>
        </w:rPr>
        <w:t>人员经费日常开支。</w:t>
      </w:r>
      <w:r>
        <w:rPr>
          <w:rFonts w:hint="eastAsia" w:ascii="仿宋_GB2312" w:hAnsi="仿宋_GB2312" w:eastAsia="仿宋_GB2312" w:cs="仿宋_GB2312"/>
          <w:sz w:val="32"/>
          <w:szCs w:val="32"/>
          <w:shd w:val="clear" w:color="auto" w:fill="FFFFFF"/>
        </w:rPr>
        <w:t>公用经费用途主要包括</w:t>
      </w:r>
      <w:r>
        <w:rPr>
          <w:rFonts w:hint="eastAsia" w:ascii="仿宋_GB2312" w:hAnsi="仿宋_GB2312" w:eastAsia="仿宋_GB2312" w:cs="仿宋_GB2312"/>
          <w:sz w:val="32"/>
          <w:szCs w:val="32"/>
          <w:shd w:val="clear" w:fill="FFFFFF"/>
          <w:lang w:eastAsia="zh-CN"/>
        </w:rPr>
        <w:t>长江大桥日常事务支出及办公费</w:t>
      </w:r>
      <w:r>
        <w:rPr>
          <w:rFonts w:hint="eastAsia" w:ascii="仿宋_GB2312" w:hAnsi="仿宋_GB2312" w:eastAsia="仿宋_GB2312" w:cs="仿宋_GB2312"/>
          <w:sz w:val="32"/>
          <w:szCs w:val="32"/>
          <w:shd w:val="clear" w:fill="FFFFFF"/>
          <w:lang w:val="en-US" w:eastAsia="zh-CN"/>
        </w:rPr>
        <w:t>.水电费等。</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leftChars="0" w:firstLine="643" w:firstLineChars="200"/>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（五）政府性基金预算收支决算情况说明</w:t>
      </w:r>
    </w:p>
    <w:p>
      <w:pPr>
        <w:keepNext w:val="0"/>
        <w:keepLines w:val="0"/>
        <w:pageBreakBefore w:val="0"/>
        <w:widowControl/>
        <w:kinsoku/>
        <w:wordWrap/>
        <w:overflowPunct/>
        <w:topLinePunct w:val="0"/>
        <w:autoSpaceDE/>
        <w:autoSpaceDN/>
        <w:bidi w:val="0"/>
        <w:adjustRightInd/>
        <w:snapToGrid/>
        <w:spacing w:beforeAutospacing="0" w:afterAutospacing="0" w:line="560" w:lineRule="exact"/>
        <w:ind w:left="0" w:firstLine="645"/>
        <w:textAlignment w:val="auto"/>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color w:val="333333"/>
          <w:kern w:val="0"/>
          <w:sz w:val="32"/>
          <w:szCs w:val="32"/>
          <w:shd w:val="clear" w:color="auto" w:fill="FFFFFF"/>
        </w:rPr>
        <w:t>本</w:t>
      </w:r>
      <w:r>
        <w:rPr>
          <w:rFonts w:hint="eastAsia" w:ascii="仿宋_GB2312" w:hAnsi="仿宋_GB2312" w:eastAsia="仿宋_GB2312" w:cs="仿宋_GB2312"/>
          <w:b w:val="0"/>
          <w:bCs w:val="0"/>
          <w:color w:val="333333"/>
          <w:kern w:val="0"/>
          <w:sz w:val="32"/>
          <w:szCs w:val="32"/>
          <w:shd w:val="clear" w:color="auto" w:fill="FFFFFF"/>
          <w:lang w:eastAsia="zh-CN"/>
        </w:rPr>
        <w:t>单位</w:t>
      </w:r>
      <w:r>
        <w:rPr>
          <w:rFonts w:hint="eastAsia" w:ascii="仿宋_GB2312" w:hAnsi="仿宋_GB2312" w:eastAsia="仿宋_GB2312" w:cs="仿宋_GB2312"/>
          <w:b w:val="0"/>
          <w:bCs w:val="0"/>
          <w:color w:val="333333"/>
          <w:kern w:val="0"/>
          <w:sz w:val="32"/>
          <w:szCs w:val="32"/>
          <w:shd w:val="clear" w:color="auto" w:fill="FFFFFF"/>
        </w:rPr>
        <w:t>202</w:t>
      </w:r>
      <w:r>
        <w:rPr>
          <w:rFonts w:hint="eastAsia" w:ascii="仿宋_GB2312" w:hAnsi="仿宋_GB2312" w:eastAsia="仿宋_GB2312" w:cs="仿宋_GB2312"/>
          <w:b w:val="0"/>
          <w:bCs w:val="0"/>
          <w:color w:val="333333"/>
          <w:kern w:val="0"/>
          <w:sz w:val="32"/>
          <w:szCs w:val="32"/>
          <w:shd w:val="clear" w:color="auto" w:fill="FFFFFF"/>
          <w:lang w:val="en-US" w:eastAsia="zh-CN"/>
        </w:rPr>
        <w:t>3</w:t>
      </w:r>
      <w:r>
        <w:rPr>
          <w:rFonts w:hint="eastAsia" w:ascii="仿宋_GB2312" w:hAnsi="仿宋_GB2312" w:eastAsia="仿宋_GB2312" w:cs="仿宋_GB2312"/>
          <w:b w:val="0"/>
          <w:bCs w:val="0"/>
          <w:color w:val="333333"/>
          <w:kern w:val="0"/>
          <w:sz w:val="32"/>
          <w:szCs w:val="32"/>
          <w:shd w:val="clear" w:color="auto" w:fill="FFFFFF"/>
        </w:rPr>
        <w:t>年度无政府性基金预算财政拨款收支。</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leftChars="0" w:firstLine="643" w:firstLineChars="200"/>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（六）国有资本经营预算财政拨款支出决算情况说明</w:t>
      </w:r>
    </w:p>
    <w:p>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jc w:val="left"/>
        <w:textAlignment w:val="auto"/>
        <w:rPr>
          <w:rStyle w:val="10"/>
          <w:rFonts w:hint="eastAsia" w:ascii="仿宋_GB2312" w:hAnsi="仿宋_GB2312" w:eastAsia="仿宋_GB2312" w:cs="仿宋_GB2312"/>
          <w:b w:val="0"/>
          <w:bCs w:val="0"/>
          <w:sz w:val="32"/>
          <w:szCs w:val="32"/>
          <w:shd w:val="clear" w:fill="FFFFFF"/>
        </w:rPr>
      </w:pPr>
      <w:r>
        <w:rPr>
          <w:rFonts w:hint="eastAsia" w:ascii="仿宋_GB2312" w:hAnsi="仿宋_GB2312" w:eastAsia="仿宋_GB2312" w:cs="仿宋_GB2312"/>
          <w:b w:val="0"/>
          <w:bCs w:val="0"/>
          <w:color w:val="333333"/>
          <w:kern w:val="0"/>
          <w:sz w:val="32"/>
          <w:szCs w:val="32"/>
          <w:shd w:val="clear" w:color="auto" w:fill="FFFFFF"/>
        </w:rPr>
        <w:t>本</w:t>
      </w:r>
      <w:r>
        <w:rPr>
          <w:rFonts w:hint="eastAsia" w:ascii="仿宋_GB2312" w:hAnsi="仿宋_GB2312" w:eastAsia="仿宋_GB2312" w:cs="仿宋_GB2312"/>
          <w:b w:val="0"/>
          <w:bCs w:val="0"/>
          <w:color w:val="333333"/>
          <w:kern w:val="0"/>
          <w:sz w:val="32"/>
          <w:szCs w:val="32"/>
          <w:shd w:val="clear" w:color="auto" w:fill="FFFFFF"/>
          <w:lang w:eastAsia="zh-CN"/>
        </w:rPr>
        <w:t>单位</w:t>
      </w:r>
      <w:r>
        <w:rPr>
          <w:rFonts w:hint="eastAsia" w:ascii="仿宋_GB2312" w:hAnsi="仿宋_GB2312" w:eastAsia="仿宋_GB2312" w:cs="仿宋_GB2312"/>
          <w:b w:val="0"/>
          <w:bCs w:val="0"/>
          <w:color w:val="333333"/>
          <w:kern w:val="0"/>
          <w:sz w:val="32"/>
          <w:szCs w:val="32"/>
          <w:shd w:val="clear" w:color="auto" w:fill="FFFFFF"/>
        </w:rPr>
        <w:t>202</w:t>
      </w:r>
      <w:r>
        <w:rPr>
          <w:rFonts w:hint="eastAsia" w:ascii="仿宋_GB2312" w:hAnsi="仿宋_GB2312" w:eastAsia="仿宋_GB2312" w:cs="仿宋_GB2312"/>
          <w:b w:val="0"/>
          <w:bCs w:val="0"/>
          <w:color w:val="333333"/>
          <w:kern w:val="0"/>
          <w:sz w:val="32"/>
          <w:szCs w:val="32"/>
          <w:shd w:val="clear" w:color="auto" w:fill="FFFFFF"/>
          <w:lang w:val="en-US" w:eastAsia="zh-CN"/>
        </w:rPr>
        <w:t>3</w:t>
      </w:r>
      <w:r>
        <w:rPr>
          <w:rFonts w:hint="eastAsia" w:ascii="仿宋_GB2312" w:hAnsi="仿宋_GB2312" w:eastAsia="仿宋_GB2312" w:cs="仿宋_GB2312"/>
          <w:b w:val="0"/>
          <w:bCs w:val="0"/>
          <w:color w:val="333333"/>
          <w:kern w:val="0"/>
          <w:sz w:val="32"/>
          <w:szCs w:val="32"/>
          <w:shd w:val="clear" w:color="auto" w:fill="FFFFFF"/>
        </w:rPr>
        <w:t>年度无国有资本经营预算财政拨款支出。</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三、“三公”经费情况说明</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 xml:space="preserve"> （一）“三公”经费支出总体情况说明</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sz w:val="32"/>
          <w:szCs w:val="32"/>
          <w:shd w:val="clear" w:color="auto" w:fill="FFFFFF"/>
        </w:rPr>
        <w:t>2023年度“三公”经费支出共计</w:t>
      </w:r>
      <w:r>
        <w:rPr>
          <w:rFonts w:hint="eastAsia" w:ascii="仿宋_GB2312" w:hAnsi="仿宋_GB2312" w:eastAsia="仿宋_GB2312" w:cs="仿宋_GB2312"/>
          <w:sz w:val="32"/>
          <w:szCs w:val="32"/>
        </w:rPr>
        <w:t>1.85</w:t>
      </w:r>
      <w:r>
        <w:rPr>
          <w:rFonts w:hint="eastAsia" w:ascii="仿宋_GB2312" w:hAnsi="仿宋_GB2312" w:eastAsia="仿宋_GB2312" w:cs="仿宋_GB2312"/>
          <w:sz w:val="32"/>
          <w:szCs w:val="32"/>
          <w:shd w:val="clear" w:color="auto" w:fill="FFFFFF"/>
        </w:rPr>
        <w:t>万元，较年初预算数减少1.65万元，下降47.14%，主要原因是</w:t>
      </w:r>
      <w:r>
        <w:rPr>
          <w:rFonts w:hint="eastAsia" w:ascii="仿宋_GB2312" w:hAnsi="仿宋_GB2312" w:eastAsia="仿宋_GB2312" w:cs="仿宋_GB2312"/>
          <w:color w:val="auto"/>
          <w:sz w:val="32"/>
          <w:szCs w:val="32"/>
          <w:shd w:val="clear" w:color="auto" w:fill="FFFFFF"/>
          <w:lang w:eastAsia="zh-CN"/>
        </w:rPr>
        <w:t>节约日常开支。</w:t>
      </w:r>
      <w:r>
        <w:rPr>
          <w:rFonts w:hint="eastAsia" w:ascii="仿宋_GB2312" w:hAnsi="仿宋_GB2312" w:eastAsia="仿宋_GB2312" w:cs="仿宋_GB2312"/>
          <w:sz w:val="32"/>
          <w:szCs w:val="32"/>
          <w:shd w:val="clear" w:color="auto" w:fill="FFFFFF"/>
        </w:rPr>
        <w:t>较上年支出数增加1.85万元，增长100.00%，主要原因是</w:t>
      </w:r>
      <w:r>
        <w:rPr>
          <w:rFonts w:hint="eastAsia" w:ascii="仿宋_GB2312" w:hAnsi="仿宋_GB2312" w:eastAsia="仿宋_GB2312" w:cs="仿宋_GB2312"/>
          <w:color w:val="auto"/>
          <w:sz w:val="32"/>
          <w:szCs w:val="32"/>
          <w:shd w:val="clear" w:color="auto" w:fill="FFFFFF"/>
          <w:lang w:eastAsia="zh-CN"/>
        </w:rPr>
        <w:t>公务用车运行维护费增加。</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（二）“三公”经费分项支出情况</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shd w:val="clear" w:color="auto" w:fill="FFFFFF"/>
          <w:lang w:eastAsia="zh-CN"/>
        </w:rPr>
      </w:pPr>
      <w:r>
        <w:rPr>
          <w:rFonts w:hint="eastAsia" w:ascii="仿宋_GB2312" w:hAnsi="仿宋_GB2312" w:eastAsia="仿宋_GB2312" w:cs="仿宋_GB2312"/>
          <w:sz w:val="32"/>
          <w:szCs w:val="32"/>
          <w:shd w:val="clear" w:color="auto" w:fill="FFFFFF"/>
        </w:rPr>
        <w:t>2023年度本单位因公出国（境）费用</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w:t>
      </w:r>
      <w:r>
        <w:rPr>
          <w:rFonts w:hint="eastAsia" w:ascii="仿宋_GB2312" w:hAnsi="仿宋_GB2312" w:eastAsia="仿宋_GB2312" w:cs="仿宋_GB2312"/>
          <w:sz w:val="32"/>
          <w:szCs w:val="32"/>
          <w:shd w:val="clear" w:fill="FFFFFF"/>
          <w:lang w:eastAsia="zh-CN"/>
        </w:rPr>
        <w:t>本单位</w:t>
      </w:r>
      <w:r>
        <w:rPr>
          <w:rFonts w:hint="eastAsia" w:ascii="仿宋_GB2312" w:hAnsi="仿宋_GB2312" w:eastAsia="仿宋_GB2312" w:cs="仿宋_GB2312"/>
          <w:sz w:val="32"/>
          <w:szCs w:val="32"/>
          <w:shd w:val="clear" w:fill="FFFFFF"/>
          <w:lang w:val="en-US" w:eastAsia="zh-CN"/>
        </w:rPr>
        <w:t>2023年度未发生出国费用支出。</w:t>
      </w:r>
      <w:r>
        <w:rPr>
          <w:rFonts w:hint="eastAsia" w:ascii="仿宋_GB2312" w:hAnsi="仿宋_GB2312" w:eastAsia="仿宋_GB2312" w:cs="仿宋_GB2312"/>
          <w:sz w:val="32"/>
          <w:szCs w:val="32"/>
          <w:shd w:val="clear" w:color="auto" w:fill="FFFFFF"/>
        </w:rPr>
        <w:t>费用支出较年初预算数无增减，较上年支出数无增减</w:t>
      </w:r>
      <w:r>
        <w:rPr>
          <w:rFonts w:hint="eastAsia" w:ascii="仿宋_GB2312" w:hAnsi="仿宋_GB2312" w:eastAsia="仿宋_GB2312" w:cs="仿宋_GB2312"/>
          <w:sz w:val="32"/>
          <w:szCs w:val="32"/>
          <w:shd w:val="clear" w:color="auto" w:fill="FFFFFF"/>
          <w:lang w:eastAsia="zh-CN"/>
        </w:rPr>
        <w:t>。</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shd w:val="clear" w:color="auto" w:fill="FFFFFF"/>
        </w:rPr>
        <w:t> 公务车购置费</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w:t>
      </w:r>
      <w:r>
        <w:rPr>
          <w:rFonts w:hint="eastAsia" w:ascii="仿宋_GB2312" w:hAnsi="仿宋_GB2312" w:eastAsia="仿宋_GB2312" w:cs="仿宋_GB2312"/>
          <w:sz w:val="32"/>
          <w:szCs w:val="32"/>
          <w:shd w:val="clear" w:fill="FFFFFF"/>
          <w:lang w:eastAsia="zh-CN"/>
        </w:rPr>
        <w:t>本单位</w:t>
      </w:r>
      <w:r>
        <w:rPr>
          <w:rFonts w:hint="eastAsia" w:ascii="仿宋_GB2312" w:hAnsi="仿宋_GB2312" w:eastAsia="仿宋_GB2312" w:cs="仿宋_GB2312"/>
          <w:sz w:val="32"/>
          <w:szCs w:val="32"/>
          <w:shd w:val="clear" w:fill="FFFFFF"/>
          <w:lang w:val="en-US" w:eastAsia="zh-CN"/>
        </w:rPr>
        <w:t>2023年度未发生公务车购置费支出。</w:t>
      </w:r>
      <w:r>
        <w:rPr>
          <w:rFonts w:hint="eastAsia" w:ascii="仿宋_GB2312" w:hAnsi="仿宋_GB2312" w:eastAsia="仿宋_GB2312" w:cs="仿宋_GB2312"/>
          <w:sz w:val="32"/>
          <w:szCs w:val="32"/>
          <w:shd w:val="clear" w:color="auto" w:fill="FFFFFF"/>
        </w:rPr>
        <w:t>费用支出较年初预算数无增减。较上年支出数无增减。</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color w:val="auto"/>
          <w:sz w:val="32"/>
          <w:szCs w:val="32"/>
          <w:shd w:val="clear" w:color="auto" w:fill="FFFFFF"/>
          <w:lang w:eastAsia="zh-CN"/>
        </w:rPr>
      </w:pPr>
      <w:r>
        <w:rPr>
          <w:rFonts w:hint="eastAsia" w:ascii="仿宋_GB2312" w:hAnsi="仿宋_GB2312" w:eastAsia="仿宋_GB2312" w:cs="仿宋_GB2312"/>
          <w:sz w:val="32"/>
          <w:szCs w:val="32"/>
          <w:shd w:val="clear" w:color="auto" w:fill="FFFFFF"/>
        </w:rPr>
        <w:t> 公务车运行维护费</w:t>
      </w:r>
      <w:r>
        <w:rPr>
          <w:rFonts w:hint="eastAsia" w:ascii="仿宋_GB2312" w:hAnsi="仿宋_GB2312" w:eastAsia="仿宋_GB2312" w:cs="仿宋_GB2312"/>
          <w:sz w:val="32"/>
          <w:szCs w:val="32"/>
        </w:rPr>
        <w:t>1.85</w:t>
      </w:r>
      <w:r>
        <w:rPr>
          <w:rFonts w:hint="eastAsia" w:ascii="仿宋_GB2312" w:hAnsi="仿宋_GB2312" w:eastAsia="仿宋_GB2312" w:cs="仿宋_GB2312"/>
          <w:sz w:val="32"/>
          <w:szCs w:val="32"/>
          <w:shd w:val="clear" w:color="auto" w:fill="FFFFFF"/>
        </w:rPr>
        <w:t>万元，主要用于</w:t>
      </w:r>
      <w:r>
        <w:rPr>
          <w:rFonts w:hint="eastAsia" w:ascii="仿宋_GB2312" w:hAnsi="仿宋_GB2312" w:eastAsia="仿宋_GB2312" w:cs="仿宋_GB2312"/>
          <w:sz w:val="32"/>
          <w:szCs w:val="32"/>
          <w:shd w:val="clear" w:color="auto" w:fill="FFFFFF"/>
          <w:lang w:eastAsia="zh-CN"/>
        </w:rPr>
        <w:t>检查长江大桥及长江二桥维护费及燃料费等。</w:t>
      </w:r>
      <w:r>
        <w:rPr>
          <w:rFonts w:hint="eastAsia" w:ascii="仿宋_GB2312" w:hAnsi="仿宋_GB2312" w:eastAsia="仿宋_GB2312" w:cs="仿宋_GB2312"/>
          <w:sz w:val="32"/>
          <w:szCs w:val="32"/>
          <w:shd w:val="clear" w:color="auto" w:fill="FFFFFF"/>
        </w:rPr>
        <w:t>费用支出较年初预算数减少1.15万元，下降38.33%，主要原因是</w:t>
      </w:r>
      <w:r>
        <w:rPr>
          <w:rFonts w:hint="eastAsia" w:ascii="仿宋_GB2312" w:hAnsi="仿宋_GB2312" w:eastAsia="仿宋_GB2312" w:cs="仿宋_GB2312"/>
          <w:color w:val="auto"/>
          <w:sz w:val="32"/>
          <w:szCs w:val="32"/>
          <w:shd w:val="clear" w:color="auto" w:fill="FFFFFF"/>
          <w:lang w:eastAsia="zh-CN"/>
        </w:rPr>
        <w:t>节约公务用车日常开支。</w:t>
      </w:r>
      <w:r>
        <w:rPr>
          <w:rFonts w:hint="eastAsia" w:ascii="仿宋_GB2312" w:hAnsi="仿宋_GB2312" w:eastAsia="仿宋_GB2312" w:cs="仿宋_GB2312"/>
          <w:sz w:val="32"/>
          <w:szCs w:val="32"/>
          <w:shd w:val="clear" w:color="auto" w:fill="FFFFFF"/>
        </w:rPr>
        <w:t>较上年支出数增加1.85万元，增长100.00%，主要原因是</w:t>
      </w:r>
      <w:r>
        <w:rPr>
          <w:rFonts w:hint="eastAsia" w:ascii="仿宋_GB2312" w:hAnsi="仿宋_GB2312" w:eastAsia="仿宋_GB2312" w:cs="仿宋_GB2312"/>
          <w:color w:val="auto"/>
          <w:sz w:val="32"/>
          <w:szCs w:val="32"/>
          <w:shd w:val="clear" w:color="auto" w:fill="FFFFFF"/>
          <w:lang w:eastAsia="zh-CN"/>
        </w:rPr>
        <w:t>公务用车运行维护费增加。</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shd w:val="clear" w:color="auto" w:fill="FFFFFF"/>
        </w:rPr>
        <w:t> 公务接待费</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w:t>
      </w:r>
      <w:r>
        <w:rPr>
          <w:rFonts w:hint="eastAsia" w:ascii="仿宋_GB2312" w:hAnsi="仿宋_GB2312" w:eastAsia="仿宋_GB2312" w:cs="仿宋_GB2312"/>
          <w:sz w:val="32"/>
          <w:szCs w:val="32"/>
          <w:shd w:val="clear" w:fill="FFFFFF"/>
          <w:lang w:eastAsia="zh-CN"/>
        </w:rPr>
        <w:t>本单位</w:t>
      </w:r>
      <w:r>
        <w:rPr>
          <w:rFonts w:hint="eastAsia" w:ascii="仿宋_GB2312" w:hAnsi="仿宋_GB2312" w:eastAsia="仿宋_GB2312" w:cs="仿宋_GB2312"/>
          <w:sz w:val="32"/>
          <w:szCs w:val="32"/>
          <w:shd w:val="clear" w:fill="FFFFFF"/>
          <w:lang w:val="en-US" w:eastAsia="zh-CN"/>
        </w:rPr>
        <w:t>2023年度未发生接待费支出。</w:t>
      </w:r>
      <w:r>
        <w:rPr>
          <w:rFonts w:hint="eastAsia" w:ascii="仿宋_GB2312" w:hAnsi="仿宋_GB2312" w:eastAsia="仿宋_GB2312" w:cs="仿宋_GB2312"/>
          <w:sz w:val="32"/>
          <w:szCs w:val="32"/>
          <w:shd w:val="clear" w:color="auto" w:fill="FFFFFF"/>
        </w:rPr>
        <w:t>费用支出较年初预算数减少0.50万元，下降100.00%</w:t>
      </w:r>
      <w:r>
        <w:rPr>
          <w:rFonts w:hint="eastAsia" w:ascii="仿宋_GB2312" w:hAnsi="仿宋_GB2312" w:eastAsia="仿宋_GB2312" w:cs="仿宋_GB2312"/>
          <w:sz w:val="32"/>
          <w:szCs w:val="32"/>
          <w:shd w:val="clear" w:color="auto" w:fill="FFFFFF"/>
          <w:lang w:eastAsia="zh-CN"/>
        </w:rPr>
        <w:t>。</w:t>
      </w:r>
      <w:r>
        <w:rPr>
          <w:rFonts w:hint="eastAsia" w:ascii="仿宋_GB2312" w:hAnsi="仿宋_GB2312" w:eastAsia="仿宋_GB2312" w:cs="仿宋_GB2312"/>
          <w:sz w:val="32"/>
          <w:szCs w:val="32"/>
          <w:shd w:val="clear" w:color="auto" w:fill="FFFFFF"/>
        </w:rPr>
        <w:t>较上年支出数无增减</w:t>
      </w:r>
      <w:r>
        <w:rPr>
          <w:rFonts w:hint="eastAsia" w:ascii="仿宋_GB2312" w:hAnsi="仿宋_GB2312" w:eastAsia="仿宋_GB2312" w:cs="仿宋_GB2312"/>
          <w:sz w:val="32"/>
          <w:szCs w:val="32"/>
          <w:shd w:val="clear" w:color="auto" w:fill="FFFFFF"/>
          <w:lang w:eastAsia="zh-CN"/>
        </w:rPr>
        <w:t>。</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（三）“三公”经费实物量情况</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shd w:val="clear" w:color="auto" w:fill="FFFFFF"/>
        </w:rPr>
        <w:t>  2023年度本单位因公出国（境）共计</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个团组，</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人；公务用车购置</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辆，公务车保有量为</w:t>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shd w:val="clear" w:color="auto" w:fill="FFFFFF"/>
        </w:rPr>
        <w:t>辆；国内公务接待</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批次</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人，其中：国内外事接待</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批次，</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人；国（境）外公务接待</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批次，</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人。2023年本单位人均接待费</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元，车均购置费</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万元，车均维护费</w:t>
      </w:r>
      <w:r>
        <w:rPr>
          <w:rFonts w:hint="eastAsia" w:ascii="仿宋_GB2312" w:hAnsi="仿宋_GB2312" w:eastAsia="仿宋_GB2312" w:cs="仿宋_GB2312"/>
          <w:sz w:val="32"/>
          <w:szCs w:val="32"/>
        </w:rPr>
        <w:t>1.85</w:t>
      </w:r>
      <w:r>
        <w:rPr>
          <w:rFonts w:hint="eastAsia" w:ascii="仿宋_GB2312" w:hAnsi="仿宋_GB2312" w:eastAsia="仿宋_GB2312" w:cs="仿宋_GB2312"/>
          <w:sz w:val="32"/>
          <w:szCs w:val="32"/>
          <w:shd w:val="clear" w:color="auto" w:fill="FFFFFF"/>
        </w:rPr>
        <w:t>万元。</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四、其他需要说明的事项</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leftChars="0" w:firstLine="643" w:firstLineChars="200"/>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（一）财政拨款会议费和培训费情况说明</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shd w:val="clear" w:color="auto" w:fill="FFFFFF"/>
        </w:rPr>
        <w:t>  本年度会议费支出</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万元，较上年决算数无增减，本年度培训费支出</w:t>
      </w:r>
      <w:r>
        <w:rPr>
          <w:rFonts w:hint="eastAsia" w:ascii="仿宋_GB2312" w:hAnsi="仿宋_GB2312" w:eastAsia="仿宋_GB2312" w:cs="仿宋_GB2312"/>
          <w:sz w:val="32"/>
          <w:szCs w:val="32"/>
        </w:rPr>
        <w:t>0.50</w:t>
      </w:r>
      <w:r>
        <w:rPr>
          <w:rFonts w:hint="eastAsia" w:ascii="仿宋_GB2312" w:hAnsi="仿宋_GB2312" w:eastAsia="仿宋_GB2312" w:cs="仿宋_GB2312"/>
          <w:sz w:val="32"/>
          <w:szCs w:val="32"/>
          <w:shd w:val="clear" w:color="auto" w:fill="FFFFFF"/>
        </w:rPr>
        <w:t>万元，较上年决算数减少0.99万元，下降66.44%，主要原因是</w:t>
      </w:r>
      <w:r>
        <w:rPr>
          <w:rFonts w:hint="eastAsia" w:ascii="仿宋_GB2312" w:hAnsi="仿宋_GB2312" w:eastAsia="仿宋_GB2312" w:cs="仿宋_GB2312"/>
          <w:sz w:val="32"/>
          <w:szCs w:val="32"/>
          <w:shd w:val="clear" w:color="auto" w:fill="FFFFFF"/>
          <w:lang w:eastAsia="zh-CN"/>
        </w:rPr>
        <w:t>减少人员培训次数。</w:t>
      </w:r>
    </w:p>
    <w:p>
      <w:pPr>
        <w:pStyle w:val="17"/>
        <w:keepNext w:val="0"/>
        <w:keepLines w:val="0"/>
        <w:pageBreakBefore w:val="0"/>
        <w:widowControl/>
        <w:numPr>
          <w:ilvl w:val="0"/>
          <w:numId w:val="1"/>
        </w:numPr>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机关运行经费情况说明</w:t>
      </w:r>
    </w:p>
    <w:p>
      <w:pPr>
        <w:pStyle w:val="7"/>
        <w:keepNext w:val="0"/>
        <w:keepLines w:val="0"/>
        <w:pageBreakBefore w:val="0"/>
        <w:widowControl/>
        <w:suppressLineNumbers w:val="0"/>
        <w:kinsoku/>
        <w:wordWrap/>
        <w:overflowPunct/>
        <w:topLinePunct w:val="0"/>
        <w:autoSpaceDE/>
        <w:autoSpaceDN/>
        <w:bidi w:val="0"/>
        <w:adjustRightInd/>
        <w:snapToGrid/>
        <w:spacing w:beforeAutospacing="0" w:after="0" w:afterAutospacing="0" w:line="560" w:lineRule="exact"/>
        <w:ind w:left="0" w:firstLine="640" w:firstLineChars="200"/>
        <w:jc w:val="left"/>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按照部门</w:t>
      </w:r>
      <w:r>
        <w:rPr>
          <w:rFonts w:hint="eastAsia" w:ascii="仿宋_GB2312" w:hAnsi="仿宋_GB2312" w:eastAsia="仿宋_GB2312" w:cs="仿宋_GB2312"/>
          <w:sz w:val="32"/>
          <w:szCs w:val="32"/>
          <w:lang w:val="en-US" w:eastAsia="zh-CN"/>
        </w:rPr>
        <w:t>决算列报</w:t>
      </w:r>
      <w:r>
        <w:rPr>
          <w:rFonts w:hint="eastAsia" w:ascii="仿宋_GB2312" w:hAnsi="仿宋_GB2312" w:eastAsia="仿宋_GB2312" w:cs="仿宋_GB2312"/>
          <w:sz w:val="32"/>
          <w:szCs w:val="32"/>
          <w:lang w:eastAsia="zh-CN"/>
        </w:rPr>
        <w:t>口径，我单位不在机关运行经费统计范围之内。</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leftChars="0" w:firstLine="643" w:firstLineChars="200"/>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（三）国有资产占用情况说明</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shd w:val="clear" w:color="auto" w:fill="FFFFFF"/>
        </w:rPr>
        <w:t>  截至2023年12月31日，本单位共有车辆</w:t>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shd w:val="clear" w:color="auto" w:fill="FFFFFF"/>
        </w:rPr>
        <w:t>辆，其中，副部（省）级及以上领导用车</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辆、主要</w:t>
      </w:r>
      <w:r>
        <w:rPr>
          <w:rFonts w:hint="eastAsia" w:ascii="仿宋_GB2312" w:hAnsi="仿宋_GB2312" w:eastAsia="仿宋_GB2312" w:cs="仿宋_GB2312"/>
          <w:sz w:val="32"/>
          <w:szCs w:val="32"/>
          <w:highlight w:val="none"/>
          <w:shd w:val="clear" w:color="auto" w:fill="FFFFFF"/>
          <w:lang w:val="en-US" w:eastAsia="zh-CN"/>
        </w:rPr>
        <w:t>领导干部</w:t>
      </w:r>
      <w:r>
        <w:rPr>
          <w:rFonts w:hint="eastAsia" w:ascii="仿宋_GB2312" w:hAnsi="仿宋_GB2312" w:eastAsia="仿宋_GB2312" w:cs="仿宋_GB2312"/>
          <w:sz w:val="32"/>
          <w:szCs w:val="32"/>
          <w:shd w:val="clear" w:color="auto" w:fill="FFFFFF"/>
        </w:rPr>
        <w:t>用车</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辆、机要通信用车</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辆、应急保障用车</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辆、执法执勤用车</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辆，特种专业技术用车</w:t>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shd w:val="clear" w:color="auto" w:fill="FFFFFF"/>
        </w:rPr>
        <w:t>辆，离退休干部用车</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辆。单价100万元（含）以上设备</w:t>
      </w:r>
      <w:r>
        <w:rPr>
          <w:rFonts w:hint="eastAsia" w:ascii="仿宋_GB2312" w:hAnsi="仿宋_GB2312" w:eastAsia="仿宋_GB2312" w:cs="仿宋_GB2312"/>
          <w:sz w:val="32"/>
          <w:szCs w:val="32"/>
          <w:shd w:val="clear" w:color="auto" w:fill="FFFFFF"/>
          <w:lang w:eastAsia="zh-CN"/>
        </w:rPr>
        <w:t>（</w:t>
      </w:r>
      <w:r>
        <w:rPr>
          <w:rFonts w:hint="eastAsia" w:ascii="仿宋_GB2312" w:hAnsi="仿宋_GB2312" w:eastAsia="仿宋_GB2312" w:cs="仿宋_GB2312"/>
          <w:sz w:val="32"/>
          <w:szCs w:val="32"/>
          <w:shd w:val="clear" w:color="auto" w:fill="FFFFFF"/>
          <w:lang w:val="en-US" w:eastAsia="zh-CN"/>
        </w:rPr>
        <w:t>不含车辆</w:t>
      </w:r>
      <w:r>
        <w:rPr>
          <w:rFonts w:hint="eastAsia" w:ascii="仿宋_GB2312" w:hAnsi="仿宋_GB2312" w:eastAsia="仿宋_GB2312" w:cs="仿宋_GB2312"/>
          <w:sz w:val="32"/>
          <w:szCs w:val="32"/>
          <w:shd w:val="clear" w:color="auto" w:fill="FFFFFF"/>
          <w:lang w:eastAsia="zh-CN"/>
        </w:rPr>
        <w:t>）</w:t>
      </w:r>
      <w:r>
        <w:rPr>
          <w:rFonts w:hint="eastAsia" w:ascii="仿宋_GB2312" w:hAnsi="仿宋_GB2312" w:eastAsia="仿宋_GB2312" w:cs="仿宋_GB2312"/>
          <w:sz w:val="32"/>
          <w:szCs w:val="32"/>
        </w:rPr>
        <w:t>0</w:t>
      </w:r>
      <w:r>
        <w:rPr>
          <w:rFonts w:hint="eastAsia" w:ascii="仿宋_GB2312" w:hAnsi="仿宋_GB2312" w:eastAsia="仿宋_GB2312" w:cs="仿宋_GB2312"/>
          <w:sz w:val="32"/>
          <w:szCs w:val="32"/>
          <w:shd w:val="clear" w:color="auto" w:fill="FFFFFF"/>
        </w:rPr>
        <w:t>台（套）。</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（四）政府采购支出情况说明</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0" w:firstLineChars="200"/>
        <w:jc w:val="both"/>
        <w:textAlignment w:val="auto"/>
        <w:rPr>
          <w:rFonts w:hint="eastAsia" w:ascii="仿宋_GB2312" w:hAnsi="仿宋_GB2312" w:eastAsia="仿宋_GB2312" w:cs="仿宋_GB2312"/>
          <w:color w:val="FF0000"/>
          <w:sz w:val="32"/>
          <w:szCs w:val="32"/>
          <w:shd w:val="clear" w:color="auto" w:fill="FFFFFF"/>
        </w:rPr>
      </w:pPr>
      <w:r>
        <w:rPr>
          <w:rFonts w:hint="eastAsia" w:ascii="仿宋_GB2312" w:hAnsi="仿宋_GB2312" w:eastAsia="仿宋_GB2312" w:cs="仿宋_GB2312"/>
          <w:sz w:val="32"/>
          <w:szCs w:val="32"/>
          <w:shd w:val="clear" w:color="auto" w:fill="FFFFFF"/>
        </w:rPr>
        <w:t>  2023年度本单位政府采购支出总额</w:t>
      </w:r>
      <w:r>
        <w:rPr>
          <w:rFonts w:hint="eastAsia" w:ascii="仿宋_GB2312" w:hAnsi="仿宋_GB2312" w:eastAsia="仿宋_GB2312" w:cs="仿宋_GB2312"/>
          <w:sz w:val="32"/>
          <w:szCs w:val="32"/>
        </w:rPr>
        <w:t>423.76</w:t>
      </w:r>
      <w:r>
        <w:rPr>
          <w:rFonts w:hint="eastAsia" w:ascii="仿宋_GB2312" w:hAnsi="仿宋_GB2312" w:eastAsia="仿宋_GB2312" w:cs="仿宋_GB2312"/>
          <w:sz w:val="32"/>
          <w:szCs w:val="32"/>
          <w:shd w:val="clear" w:color="auto" w:fill="FFFFFF"/>
        </w:rPr>
        <w:t>万元，其中：政府采购货物支出</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万元、政府采购工程支出</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万元、政府采购服务支出</w:t>
      </w:r>
      <w:r>
        <w:rPr>
          <w:rFonts w:hint="eastAsia" w:ascii="仿宋_GB2312" w:hAnsi="仿宋_GB2312" w:eastAsia="仿宋_GB2312" w:cs="仿宋_GB2312"/>
          <w:sz w:val="32"/>
          <w:szCs w:val="32"/>
        </w:rPr>
        <w:t>423.76</w:t>
      </w:r>
      <w:r>
        <w:rPr>
          <w:rFonts w:hint="eastAsia" w:ascii="仿宋_GB2312" w:hAnsi="仿宋_GB2312" w:eastAsia="仿宋_GB2312" w:cs="仿宋_GB2312"/>
          <w:sz w:val="32"/>
          <w:szCs w:val="32"/>
          <w:shd w:val="clear" w:color="auto" w:fill="FFFFFF"/>
        </w:rPr>
        <w:t>万元。授予中小企业合同金额</w:t>
      </w:r>
      <w:r>
        <w:rPr>
          <w:rFonts w:hint="eastAsia" w:ascii="仿宋_GB2312" w:hAnsi="仿宋_GB2312" w:eastAsia="仿宋_GB2312" w:cs="仿宋_GB2312"/>
          <w:sz w:val="32"/>
          <w:szCs w:val="32"/>
        </w:rPr>
        <w:t>423.76万</w:t>
      </w:r>
      <w:r>
        <w:rPr>
          <w:rFonts w:hint="eastAsia" w:ascii="仿宋_GB2312" w:hAnsi="仿宋_GB2312" w:eastAsia="仿宋_GB2312" w:cs="仿宋_GB2312"/>
          <w:sz w:val="32"/>
          <w:szCs w:val="32"/>
          <w:shd w:val="clear" w:color="auto" w:fill="FFFFFF"/>
        </w:rPr>
        <w:t>元，占政府采购支出总额的</w:t>
      </w:r>
      <w:r>
        <w:rPr>
          <w:rFonts w:hint="eastAsia" w:ascii="仿宋_GB2312" w:hAnsi="仿宋_GB2312" w:eastAsia="仿宋_GB2312" w:cs="仿宋_GB2312"/>
          <w:sz w:val="32"/>
          <w:szCs w:val="32"/>
        </w:rPr>
        <w:t>100.00</w:t>
      </w:r>
      <w:r>
        <w:rPr>
          <w:rFonts w:hint="eastAsia" w:ascii="仿宋_GB2312" w:hAnsi="仿宋_GB2312" w:eastAsia="仿宋_GB2312" w:cs="仿宋_GB2312"/>
          <w:sz w:val="32"/>
          <w:szCs w:val="32"/>
          <w:shd w:val="clear" w:color="auto" w:fill="FFFFFF"/>
        </w:rPr>
        <w:t>%，其中：授予小微企业合同金额</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万元，占政府采购支出总额的</w:t>
      </w:r>
      <w:r>
        <w:rPr>
          <w:rFonts w:hint="eastAsia" w:ascii="仿宋_GB2312" w:hAnsi="仿宋_GB2312" w:eastAsia="仿宋_GB2312" w:cs="仿宋_GB2312"/>
          <w:sz w:val="32"/>
          <w:szCs w:val="32"/>
        </w:rPr>
        <w:t>0.00</w:t>
      </w:r>
      <w:r>
        <w:rPr>
          <w:rFonts w:hint="eastAsia" w:ascii="仿宋_GB2312" w:hAnsi="仿宋_GB2312" w:eastAsia="仿宋_GB2312" w:cs="仿宋_GB2312"/>
          <w:sz w:val="32"/>
          <w:szCs w:val="32"/>
          <w:shd w:val="clear" w:color="auto" w:fill="FFFFFF"/>
        </w:rPr>
        <w:t xml:space="preserve"> %。主要用于采购</w:t>
      </w:r>
      <w:r>
        <w:rPr>
          <w:rFonts w:hint="eastAsia" w:ascii="仿宋_GB2312" w:hAnsi="仿宋_GB2312" w:eastAsia="仿宋_GB2312" w:cs="仿宋_GB2312"/>
          <w:sz w:val="32"/>
          <w:szCs w:val="32"/>
          <w:lang w:eastAsia="zh-CN"/>
        </w:rPr>
        <w:t>长江大桥危旧桥改造工程项目，</w:t>
      </w:r>
      <w:r>
        <w:rPr>
          <w:rFonts w:hint="eastAsia" w:ascii="仿宋_GB2312" w:hAnsi="仿宋_GB2312" w:eastAsia="仿宋_GB2312" w:cs="仿宋_GB2312"/>
          <w:sz w:val="32"/>
          <w:szCs w:val="32"/>
          <w:lang w:val="en-US" w:eastAsia="zh-CN"/>
        </w:rPr>
        <w:t>长江大桥防雷工程以</w:t>
      </w:r>
      <w:r>
        <w:rPr>
          <w:rFonts w:hint="eastAsia" w:ascii="仿宋_GB2312" w:hAnsi="仿宋_GB2312" w:eastAsia="仿宋_GB2312" w:cs="仿宋_GB2312"/>
          <w:sz w:val="32"/>
          <w:szCs w:val="32"/>
          <w:lang w:eastAsia="zh-CN"/>
        </w:rPr>
        <w:t>及长江大桥健康系统安装工程项目经费增加。</w:t>
      </w:r>
    </w:p>
    <w:p>
      <w:pPr>
        <w:pStyle w:val="7"/>
        <w:keepNext w:val="0"/>
        <w:keepLines w:val="0"/>
        <w:pageBreakBefore w:val="0"/>
        <w:widowControl/>
        <w:numPr>
          <w:ilvl w:val="0"/>
          <w:numId w:val="2"/>
        </w:numPr>
        <w:shd w:val="clear" w:color="auto" w:fill="FFFFFF"/>
        <w:kinsoku/>
        <w:wordWrap/>
        <w:overflowPunct/>
        <w:topLinePunct w:val="0"/>
        <w:autoSpaceDN/>
        <w:bidi w:val="0"/>
        <w:adjustRightInd/>
        <w:spacing w:beforeAutospacing="0" w:after="0" w:afterAutospacing="0" w:line="560" w:lineRule="exact"/>
        <w:ind w:left="0"/>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预算绩效管理情况说明</w:t>
      </w:r>
    </w:p>
    <w:p>
      <w:pPr>
        <w:pStyle w:val="17"/>
        <w:keepNext w:val="0"/>
        <w:keepLines w:val="0"/>
        <w:pageBreakBefore w:val="0"/>
        <w:widowControl/>
        <w:numPr>
          <w:ilvl w:val="0"/>
          <w:numId w:val="3"/>
        </w:numPr>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单位自评情况</w:t>
      </w:r>
    </w:p>
    <w:p>
      <w:pPr>
        <w:pStyle w:val="18"/>
        <w:keepNext w:val="0"/>
        <w:keepLines w:val="0"/>
        <w:pageBreakBefore w:val="0"/>
        <w:widowControl/>
        <w:suppressLineNumbers w:val="0"/>
        <w:kinsoku/>
        <w:wordWrap/>
        <w:overflowPunct/>
        <w:topLinePunct w:val="0"/>
        <w:autoSpaceDN/>
        <w:bidi w:val="0"/>
        <w:adjustRightInd/>
        <w:spacing w:before="0" w:beforeAutospacing="0" w:after="0" w:afterAutospacing="0" w:line="560" w:lineRule="exact"/>
        <w:ind w:left="0" w:firstLine="640" w:firstLineChars="200"/>
        <w:jc w:val="left"/>
        <w:textAlignment w:val="auto"/>
        <w:rPr>
          <w:rFonts w:hint="eastAsia" w:ascii="仿宋_GB2312" w:hAnsi="仿宋_GB2312" w:eastAsia="仿宋_GB2312" w:cs="仿宋_GB2312"/>
          <w:kern w:val="0"/>
          <w:sz w:val="32"/>
          <w:szCs w:val="32"/>
          <w:shd w:val="clear" w:fill="FFFFFF"/>
        </w:rPr>
      </w:pPr>
      <w:r>
        <w:rPr>
          <w:rFonts w:hint="eastAsia" w:ascii="仿宋_GB2312" w:hAnsi="仿宋_GB2312" w:eastAsia="仿宋_GB2312" w:cs="仿宋_GB2312"/>
          <w:kern w:val="0"/>
          <w:sz w:val="32"/>
          <w:szCs w:val="32"/>
          <w:shd w:val="clear" w:fill="FFFFFF"/>
        </w:rPr>
        <w:t>根据预算绩效管理要求，</w:t>
      </w:r>
      <w:r>
        <w:rPr>
          <w:rFonts w:hint="eastAsia" w:ascii="仿宋_GB2312" w:hAnsi="仿宋_GB2312" w:eastAsia="仿宋_GB2312" w:cs="仿宋_GB2312"/>
          <w:kern w:val="0"/>
          <w:sz w:val="32"/>
          <w:szCs w:val="32"/>
          <w:shd w:val="clear" w:fill="FFFFFF"/>
          <w:lang w:eastAsia="zh-CN"/>
        </w:rPr>
        <w:t>我单位</w:t>
      </w:r>
      <w:r>
        <w:rPr>
          <w:rFonts w:hint="eastAsia" w:ascii="仿宋_GB2312" w:hAnsi="仿宋_GB2312" w:eastAsia="仿宋_GB2312" w:cs="仿宋_GB2312"/>
          <w:kern w:val="0"/>
          <w:sz w:val="32"/>
          <w:szCs w:val="32"/>
          <w:shd w:val="clear" w:fill="FFFFFF"/>
        </w:rPr>
        <w:t>对</w:t>
      </w:r>
      <w:r>
        <w:rPr>
          <w:rFonts w:hint="eastAsia" w:ascii="仿宋_GB2312" w:hAnsi="仿宋_GB2312" w:eastAsia="仿宋_GB2312" w:cs="仿宋_GB2312"/>
          <w:kern w:val="0"/>
          <w:sz w:val="32"/>
          <w:szCs w:val="32"/>
          <w:shd w:val="clear" w:fill="FFFFFF"/>
          <w:lang w:val="en-US" w:eastAsia="zh-CN"/>
        </w:rPr>
        <w:t>7个项目开展了绩效自评。</w:t>
      </w:r>
      <w:r>
        <w:rPr>
          <w:rFonts w:hint="eastAsia" w:ascii="仿宋_GB2312" w:hAnsi="仿宋_GB2312" w:eastAsia="仿宋_GB2312" w:cs="仿宋_GB2312"/>
          <w:kern w:val="0"/>
          <w:sz w:val="32"/>
          <w:szCs w:val="32"/>
          <w:shd w:val="clear" w:fill="FFFFFF"/>
        </w:rPr>
        <w:t>其中，以填报目标自评表形式开展自评</w:t>
      </w:r>
      <w:r>
        <w:rPr>
          <w:rFonts w:hint="eastAsia" w:ascii="仿宋_GB2312" w:hAnsi="仿宋_GB2312" w:eastAsia="仿宋_GB2312" w:cs="仿宋_GB2312"/>
          <w:kern w:val="0"/>
          <w:sz w:val="32"/>
          <w:szCs w:val="32"/>
          <w:shd w:val="clear" w:fill="FFFFFF"/>
          <w:lang w:val="en-US" w:eastAsia="zh-CN"/>
        </w:rPr>
        <w:t>7</w:t>
      </w:r>
      <w:r>
        <w:rPr>
          <w:rFonts w:hint="eastAsia" w:ascii="仿宋_GB2312" w:hAnsi="仿宋_GB2312" w:eastAsia="仿宋_GB2312" w:cs="仿宋_GB2312"/>
          <w:kern w:val="0"/>
          <w:sz w:val="32"/>
          <w:szCs w:val="32"/>
          <w:shd w:val="clear" w:fill="FFFFFF"/>
        </w:rPr>
        <w:t>项，涉及资金</w:t>
      </w:r>
      <w:r>
        <w:rPr>
          <w:rFonts w:hint="eastAsia" w:ascii="仿宋_GB2312" w:hAnsi="仿宋_GB2312" w:eastAsia="仿宋_GB2312" w:cs="仿宋_GB2312"/>
          <w:color w:val="auto"/>
          <w:kern w:val="0"/>
          <w:sz w:val="32"/>
          <w:szCs w:val="32"/>
          <w:shd w:val="clear" w:fill="FFFFFF"/>
          <w:lang w:val="en-US" w:eastAsia="zh-CN"/>
        </w:rPr>
        <w:t>717.99</w:t>
      </w:r>
      <w:r>
        <w:rPr>
          <w:rFonts w:hint="eastAsia" w:ascii="仿宋_GB2312" w:hAnsi="仿宋_GB2312" w:eastAsia="仿宋_GB2312" w:cs="仿宋_GB2312"/>
          <w:kern w:val="0"/>
          <w:sz w:val="32"/>
          <w:szCs w:val="32"/>
          <w:shd w:val="clear" w:fill="FFFFFF"/>
        </w:rPr>
        <w:t>万元；从评价情况来看，对长江大桥桥面坑洼.锚室积水.伸缩缝.护栏等11处隐患整治，隐患整改率达到100%。并对附属设施人行道护栏.车行道护栏以及钢桁架进行除锈刷漆，对桥面坑洼进行了修补，防护栏进行了修复，配置更新消防器材，畅通应急通道，灭火装置完好。让长江大桥南北两岸交通便利，改善居民环境，提供人民生活质量，促进社会和谐。让社会公众满意。达到预期绩效目标。</w:t>
      </w:r>
    </w:p>
    <w:p>
      <w:pPr>
        <w:keepNext w:val="0"/>
        <w:keepLines w:val="0"/>
        <w:pageBreakBefore w:val="0"/>
        <w:widowControl/>
        <w:kinsoku/>
        <w:wordWrap/>
        <w:overflowPunct/>
        <w:topLinePunct w:val="0"/>
        <w:autoSpaceDN/>
        <w:bidi w:val="0"/>
        <w:adjustRightInd/>
        <w:spacing w:beforeAutospacing="0" w:afterAutospacing="0" w:line="560" w:lineRule="exact"/>
        <w:ind w:left="0" w:firstLine="640" w:firstLineChars="200"/>
        <w:jc w:val="left"/>
        <w:textAlignment w:val="auto"/>
        <w:rPr>
          <w:rFonts w:hint="eastAsia" w:ascii="仿宋_GB2312" w:hAnsi="仿宋_GB2312" w:eastAsia="仿宋_GB2312" w:cs="仿宋_GB2312"/>
          <w:b/>
          <w:bCs/>
          <w:sz w:val="32"/>
          <w:szCs w:val="32"/>
          <w:highlight w:val="none"/>
          <w:shd w:val="clear" w:color="auto" w:fill="FFFFFF"/>
        </w:rPr>
      </w:pPr>
      <w:r>
        <w:rPr>
          <w:rFonts w:hint="eastAsia" w:ascii="仿宋_GB2312" w:hAnsi="仿宋_GB2312" w:eastAsia="仿宋_GB2312" w:cs="仿宋_GB2312"/>
          <w:sz w:val="32"/>
          <w:szCs w:val="32"/>
          <w:highlight w:val="none"/>
          <w:shd w:val="clear" w:color="auto" w:fill="FFFFFF"/>
        </w:rPr>
        <w:t>2023年度项目支出绩效评价自评情况表见附件。</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leftChars="0" w:firstLine="643" w:firstLineChars="200"/>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（二）单位绩效评价情况</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val="0"/>
          <w:bCs w:val="0"/>
          <w:color w:val="auto"/>
          <w:sz w:val="32"/>
          <w:szCs w:val="32"/>
          <w:highlight w:val="none"/>
          <w:shd w:val="clear" w:color="auto" w:fill="FFFFFF"/>
        </w:rPr>
      </w:pPr>
      <w:r>
        <w:rPr>
          <w:rFonts w:hint="eastAsia" w:ascii="仿宋_GB2312" w:hAnsi="仿宋_GB2312" w:eastAsia="仿宋_GB2312" w:cs="仿宋_GB2312"/>
          <w:b w:val="0"/>
          <w:bCs w:val="0"/>
          <w:color w:val="auto"/>
          <w:sz w:val="32"/>
          <w:szCs w:val="32"/>
          <w:highlight w:val="none"/>
          <w:shd w:val="clear" w:color="auto" w:fill="FFFFFF"/>
        </w:rPr>
        <w:t>我单位未组织开展绩效评价。</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bCs/>
          <w:sz w:val="32"/>
          <w:szCs w:val="32"/>
          <w:shd w:val="clear" w:color="auto" w:fill="FFFFFF"/>
        </w:rPr>
      </w:pPr>
      <w:r>
        <w:rPr>
          <w:rFonts w:hint="eastAsia" w:ascii="仿宋_GB2312" w:hAnsi="仿宋_GB2312" w:eastAsia="仿宋_GB2312" w:cs="仿宋_GB2312"/>
          <w:b/>
          <w:bCs/>
          <w:sz w:val="32"/>
          <w:szCs w:val="32"/>
          <w:shd w:val="clear" w:color="auto" w:fill="FFFFFF"/>
        </w:rPr>
        <w:t>（三）财政绩效评价情况</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3"/>
        <w:textAlignment w:val="auto"/>
        <w:rPr>
          <w:rFonts w:hint="eastAsia" w:ascii="仿宋_GB2312" w:hAnsi="仿宋_GB2312" w:eastAsia="仿宋_GB2312" w:cs="仿宋_GB2312"/>
          <w:b w:val="0"/>
          <w:bCs w:val="0"/>
          <w:color w:val="auto"/>
          <w:sz w:val="32"/>
          <w:szCs w:val="32"/>
          <w:highlight w:val="none"/>
          <w:shd w:val="clear" w:color="auto" w:fill="FFFFFF"/>
        </w:rPr>
      </w:pPr>
      <w:r>
        <w:rPr>
          <w:rFonts w:hint="eastAsia" w:ascii="仿宋_GB2312" w:hAnsi="仿宋_GB2312" w:eastAsia="仿宋_GB2312" w:cs="仿宋_GB2312"/>
          <w:b w:val="0"/>
          <w:bCs w:val="0"/>
          <w:color w:val="auto"/>
          <w:sz w:val="32"/>
          <w:szCs w:val="32"/>
          <w:highlight w:val="none"/>
          <w:shd w:val="clear" w:color="auto" w:fill="FFFFFF"/>
          <w:lang w:val="en-US" w:eastAsia="zh-CN"/>
        </w:rPr>
        <w:t>县</w:t>
      </w:r>
      <w:r>
        <w:rPr>
          <w:rFonts w:hint="eastAsia" w:ascii="仿宋_GB2312" w:hAnsi="仿宋_GB2312" w:eastAsia="仿宋_GB2312" w:cs="仿宋_GB2312"/>
          <w:b w:val="0"/>
          <w:bCs w:val="0"/>
          <w:color w:val="auto"/>
          <w:sz w:val="32"/>
          <w:szCs w:val="32"/>
          <w:highlight w:val="none"/>
          <w:shd w:val="clear" w:color="auto" w:fill="FFFFFF"/>
        </w:rPr>
        <w:t>财政局未委托第三方对我单位开展绩效评价。</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  六、专业名词解释</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shd w:val="clear" w:color="auto" w:fill="FFFFFF"/>
        </w:rPr>
        <w:t> （一）财政拨款收入：</w:t>
      </w:r>
      <w:r>
        <w:rPr>
          <w:rFonts w:hint="eastAsia" w:ascii="仿宋_GB2312" w:hAnsi="仿宋_GB2312" w:eastAsia="仿宋_GB2312" w:cs="仿宋_GB2312"/>
          <w:sz w:val="32"/>
          <w:szCs w:val="32"/>
          <w:shd w:val="clear" w:color="auto" w:fill="FFFFFF"/>
        </w:rPr>
        <w:t>指本年度从本级财政部门取得的财政拨款，包括一般公共预算财政拨款和政府性基金预算财政拨款。</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（二）事业收入</w:t>
      </w:r>
      <w:r>
        <w:rPr>
          <w:rFonts w:hint="eastAsia" w:ascii="仿宋_GB2312" w:hAnsi="仿宋_GB2312" w:eastAsia="仿宋_GB2312" w:cs="仿宋_GB2312"/>
          <w:sz w:val="32"/>
          <w:szCs w:val="32"/>
          <w:shd w:val="clear" w:color="auto" w:fill="FFFFFF"/>
        </w:rPr>
        <w:t>：指事业单位开展专业业务活动及其辅助活动取得的现金流入；事业单位收到的财政专户实际核拨的教育收费等资金在此反映。</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（三）经营收入</w:t>
      </w:r>
      <w:r>
        <w:rPr>
          <w:rFonts w:hint="eastAsia" w:ascii="仿宋_GB2312" w:hAnsi="仿宋_GB2312" w:eastAsia="仿宋_GB2312" w:cs="仿宋_GB2312"/>
          <w:sz w:val="32"/>
          <w:szCs w:val="32"/>
          <w:shd w:val="clear" w:color="auto" w:fill="FFFFFF"/>
        </w:rPr>
        <w:t>：指事业单位在专业业务活动及其辅助活动之外开展非独立核算经营活动取得的现金流入。</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（四）其他收入</w:t>
      </w:r>
      <w:r>
        <w:rPr>
          <w:rFonts w:hint="eastAsia" w:ascii="仿宋_GB2312" w:hAnsi="仿宋_GB2312" w:eastAsia="仿宋_GB2312" w:cs="仿宋_GB2312"/>
          <w:sz w:val="32"/>
          <w:szCs w:val="32"/>
          <w:shd w:val="clear" w:color="auto" w:fill="FFFFFF"/>
        </w:rPr>
        <w:t>：指单位取得的除“财政拨款收入”、“事业收入”、“经营收入”等以外的收入，包括未纳入财政预算或财政专户管理的投资收益、银行存款利息收入、租金收入、捐赠收入，现金盘盈收入、存货盘盈收入、收回已核销的应收及预付款项、无法偿付的应付及预收款项等。各单位从本级财政部门以外的同级单位取得的经费、从非本级财政部门取得的经费，以及行政单位收到的财政专户管理资金反映在本项内。</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（五）使用非财政拨款结余</w:t>
      </w:r>
      <w:r>
        <w:rPr>
          <w:rFonts w:hint="eastAsia" w:ascii="仿宋_GB2312" w:hAnsi="仿宋_GB2312" w:eastAsia="仿宋_GB2312" w:cs="仿宋_GB2312"/>
          <w:sz w:val="32"/>
          <w:szCs w:val="32"/>
          <w:shd w:val="clear" w:color="auto" w:fill="FFFFFF"/>
        </w:rPr>
        <w:t>：指单位在当年的“财政拨款收入”、“事业收入”、“经营收入”、“其他收入”等不足以安排当年支出的情况下，使用以前年度积累的非财政拨款结余弥补本年度收支缺口的资金。</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（六）年初结转和结余</w:t>
      </w:r>
      <w:r>
        <w:rPr>
          <w:rFonts w:hint="eastAsia" w:ascii="仿宋_GB2312" w:hAnsi="仿宋_GB2312" w:eastAsia="仿宋_GB2312" w:cs="仿宋_GB2312"/>
          <w:sz w:val="32"/>
          <w:szCs w:val="32"/>
          <w:shd w:val="clear" w:color="auto" w:fill="FFFFFF"/>
        </w:rPr>
        <w:t>：指单位上年结转本年使用的基本支出结转、项目支出结转和结余、经营结余。</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（七）结余分配</w:t>
      </w:r>
      <w:r>
        <w:rPr>
          <w:rFonts w:hint="eastAsia" w:ascii="仿宋_GB2312" w:hAnsi="仿宋_GB2312" w:eastAsia="仿宋_GB2312" w:cs="仿宋_GB2312"/>
          <w:sz w:val="32"/>
          <w:szCs w:val="32"/>
          <w:shd w:val="clear" w:color="auto" w:fill="FFFFFF"/>
        </w:rPr>
        <w:t>：指单位按照国家有关规定，缴纳所得税、提取专用基金、转入非财政拨款结余等当年结余的分配情况。</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（八）年末结转和结余</w:t>
      </w:r>
      <w:r>
        <w:rPr>
          <w:rFonts w:hint="eastAsia" w:ascii="仿宋_GB2312" w:hAnsi="仿宋_GB2312" w:eastAsia="仿宋_GB2312" w:cs="仿宋_GB2312"/>
          <w:sz w:val="32"/>
          <w:szCs w:val="32"/>
          <w:shd w:val="clear" w:color="auto" w:fill="FFFFFF"/>
        </w:rPr>
        <w:t>：指单位结转下年的基本支出结转、项目支出结转和结余、经营结余。</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（九）基本支出</w:t>
      </w:r>
      <w:r>
        <w:rPr>
          <w:rFonts w:hint="eastAsia" w:ascii="仿宋_GB2312" w:hAnsi="仿宋_GB2312" w:eastAsia="仿宋_GB2312" w:cs="仿宋_GB2312"/>
          <w:sz w:val="32"/>
          <w:szCs w:val="32"/>
          <w:shd w:val="clear" w:color="auto" w:fill="FFFFFF"/>
        </w:rPr>
        <w:t>：指为保障机构正常运转、完成日常工作任务而发生的人员经费和公用经费。其中：人员经费指政府收支分类经济科目中的“工资福利支出”和“对个人和家庭的补助”；公用经费指政府收支分类经济科目中除“工资福利支出”和“对个人和家庭的补助”外的其他支出。</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（十）项目支出</w:t>
      </w:r>
      <w:r>
        <w:rPr>
          <w:rFonts w:hint="eastAsia" w:ascii="仿宋_GB2312" w:hAnsi="仿宋_GB2312" w:eastAsia="仿宋_GB2312" w:cs="仿宋_GB2312"/>
          <w:sz w:val="32"/>
          <w:szCs w:val="32"/>
          <w:shd w:val="clear" w:color="auto" w:fill="FFFFFF"/>
        </w:rPr>
        <w:t>：指在基本支出之外为完成特定行政任务和事业发展目标所发生的支出。</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（十一）经营支出</w:t>
      </w:r>
      <w:r>
        <w:rPr>
          <w:rFonts w:hint="eastAsia" w:ascii="仿宋_GB2312" w:hAnsi="仿宋_GB2312" w:eastAsia="仿宋_GB2312" w:cs="仿宋_GB2312"/>
          <w:sz w:val="32"/>
          <w:szCs w:val="32"/>
          <w:shd w:val="clear" w:color="auto" w:fill="FFFFFF"/>
        </w:rPr>
        <w:t>：指事业单位在专业业务活动及其辅助活动之外开展非独立核算经营活动发生的支出。</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（十二）“三公”经费</w:t>
      </w:r>
      <w:r>
        <w:rPr>
          <w:rFonts w:hint="eastAsia" w:ascii="仿宋_GB2312" w:hAnsi="仿宋_GB2312" w:eastAsia="仿宋_GB2312" w:cs="仿宋_GB2312"/>
          <w:sz w:val="32"/>
          <w:szCs w:val="32"/>
          <w:shd w:val="clear" w:color="auto" w:fill="FFFFFF"/>
        </w:rPr>
        <w:t>：指用一般公共预算财政拨款安排的因公出国（境）费、公务用车购置及运行维护费、公务接待费。其中，因公出国（境）费反映单位公务出国（境）的国际旅费、国外城市间交通费、住宿费、伙食费、培训费、公杂费等支出；公务用车购置费反映单位公务用车购置支出（含车辆购置税）；公务用车运行维护费反映单位按规定保留的公务用车燃料费、维修费、过路过桥费、保险费、安全奖励费用等支出；公务接待费反映单位按规定开支的各类公务接待（含外宾接待）支出。</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（十三）机关运行经费</w:t>
      </w:r>
      <w:r>
        <w:rPr>
          <w:rFonts w:hint="eastAsia" w:ascii="仿宋_GB2312" w:hAnsi="仿宋_GB2312" w:eastAsia="仿宋_GB2312" w:cs="仿宋_GB2312"/>
          <w:sz w:val="32"/>
          <w:szCs w:val="32"/>
          <w:shd w:val="clear" w:color="auto" w:fill="FFFFFF"/>
        </w:rPr>
        <w:t>：为保障行政单位（含参照公务员法管理的事业单位）运行用于购买货物和服务等的各项公用经费，包括办公及印刷费、邮电费、差旅费、会议费、福利费、日常维护费、专用材料及一般设备购置费、办公用房水电费、办公用房取暖费、办公用房物业管理费、公务用车运行维护费以及其他费用。</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（十四）工资福利支出（支出经济分类科目类级）</w:t>
      </w:r>
      <w:r>
        <w:rPr>
          <w:rFonts w:hint="eastAsia" w:ascii="仿宋_GB2312" w:hAnsi="仿宋_GB2312" w:eastAsia="仿宋_GB2312" w:cs="仿宋_GB2312"/>
          <w:sz w:val="32"/>
          <w:szCs w:val="32"/>
          <w:shd w:val="clear" w:color="auto" w:fill="FFFFFF"/>
        </w:rPr>
        <w:t>：反映单位开支的在职职工和编制外长期聘用人员的各类劳动报酬，以及为上述人员缴纳的各项社会保险费等。</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（十五）商品和服务支出（支出经济分类科目类级）</w:t>
      </w:r>
      <w:r>
        <w:rPr>
          <w:rFonts w:hint="eastAsia" w:ascii="仿宋_GB2312" w:hAnsi="仿宋_GB2312" w:eastAsia="仿宋_GB2312" w:cs="仿宋_GB2312"/>
          <w:sz w:val="32"/>
          <w:szCs w:val="32"/>
          <w:shd w:val="clear" w:color="auto" w:fill="FFFFFF"/>
        </w:rPr>
        <w:t>：反映单位购买商品和服务的支出（不包括用于购置固定资产的支出、战略性和应急储备支出）。</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（十六）对个人和家庭的补助（支出经济分类科目类级）</w:t>
      </w:r>
      <w:r>
        <w:rPr>
          <w:rFonts w:hint="eastAsia" w:ascii="仿宋_GB2312" w:hAnsi="仿宋_GB2312" w:eastAsia="仿宋_GB2312" w:cs="仿宋_GB2312"/>
          <w:sz w:val="32"/>
          <w:szCs w:val="32"/>
          <w:shd w:val="clear" w:color="auto" w:fill="FFFFFF"/>
        </w:rPr>
        <w:t>：反映用于对个人和家庭的补助支出。</w:t>
      </w:r>
    </w:p>
    <w:p>
      <w:pPr>
        <w:pStyle w:val="7"/>
        <w:keepNext w:val="0"/>
        <w:keepLines w:val="0"/>
        <w:pageBreakBefore w:val="0"/>
        <w:widowControl/>
        <w:kinsoku/>
        <w:wordWrap/>
        <w:overflowPunct/>
        <w:topLinePunct w:val="0"/>
        <w:autoSpaceDN/>
        <w:bidi w:val="0"/>
        <w:adjustRightInd/>
        <w:snapToGrid w:val="0"/>
        <w:spacing w:before="0" w:beforeAutospacing="0" w:after="0" w:afterAutospacing="0" w:line="560" w:lineRule="exact"/>
        <w:ind w:left="0" w:firstLine="643" w:firstLineChars="200"/>
        <w:jc w:val="both"/>
        <w:textAlignment w:val="auto"/>
        <w:rPr>
          <w:rFonts w:hint="eastAsia" w:ascii="仿宋_GB2312" w:hAnsi="仿宋_GB2312" w:eastAsia="仿宋_GB2312" w:cs="仿宋_GB2312"/>
          <w:sz w:val="32"/>
          <w:szCs w:val="32"/>
        </w:rPr>
      </w:pPr>
      <w:r>
        <w:rPr>
          <w:rStyle w:val="10"/>
          <w:rFonts w:hint="eastAsia" w:ascii="仿宋_GB2312" w:hAnsi="仿宋_GB2312" w:eastAsia="仿宋_GB2312" w:cs="仿宋_GB2312"/>
          <w:sz w:val="32"/>
          <w:szCs w:val="32"/>
          <w:shd w:val="clear" w:color="auto" w:fill="FFFFFF"/>
        </w:rPr>
        <w:t> （十七）其他资本性支出（支出经济分类科目类级）</w:t>
      </w:r>
      <w:r>
        <w:rPr>
          <w:rFonts w:hint="eastAsia" w:ascii="仿宋_GB2312" w:hAnsi="仿宋_GB2312" w:eastAsia="仿宋_GB2312" w:cs="仿宋_GB2312"/>
          <w:sz w:val="32"/>
          <w:szCs w:val="32"/>
          <w:shd w:val="clear" w:color="auto" w:fill="FFFFFF"/>
        </w:rPr>
        <w:t>：反映非各级发展与改革部门集中安排的用于购置固定资产、战略性和应急性储备、土地和无形资产，以及构建基础设施、大型修缮和财政支持企业更新改造所发生的支出。</w:t>
      </w:r>
    </w:p>
    <w:p>
      <w:pPr>
        <w:pStyle w:val="7"/>
        <w:keepNext w:val="0"/>
        <w:keepLines w:val="0"/>
        <w:pageBreakBefore w:val="0"/>
        <w:widowControl/>
        <w:shd w:val="clear" w:color="auto" w:fill="FFFFFF"/>
        <w:kinsoku/>
        <w:wordWrap/>
        <w:overflowPunct/>
        <w:topLinePunct w:val="0"/>
        <w:autoSpaceDN/>
        <w:bidi w:val="0"/>
        <w:adjustRightInd/>
        <w:spacing w:beforeAutospacing="0" w:after="0" w:afterAutospacing="0" w:line="560" w:lineRule="exact"/>
        <w:ind w:left="0"/>
        <w:textAlignment w:val="auto"/>
        <w:rPr>
          <w:rStyle w:val="10"/>
          <w:rFonts w:hint="eastAsia" w:ascii="仿宋_GB2312" w:hAnsi="仿宋_GB2312" w:eastAsia="仿宋_GB2312" w:cs="仿宋_GB2312"/>
          <w:sz w:val="32"/>
          <w:szCs w:val="32"/>
          <w:shd w:val="clear" w:color="auto" w:fill="FFFFFF"/>
        </w:rPr>
      </w:pPr>
      <w:r>
        <w:rPr>
          <w:rStyle w:val="10"/>
          <w:rFonts w:hint="eastAsia" w:ascii="仿宋_GB2312" w:hAnsi="仿宋_GB2312" w:eastAsia="仿宋_GB2312" w:cs="仿宋_GB2312"/>
          <w:sz w:val="32"/>
          <w:szCs w:val="32"/>
          <w:shd w:val="clear" w:color="auto" w:fill="FFFFFF"/>
        </w:rPr>
        <w:t> 七、决算公开联系方式及信息反馈渠道</w:t>
      </w:r>
    </w:p>
    <w:p>
      <w:pPr>
        <w:pStyle w:val="17"/>
        <w:keepNext w:val="0"/>
        <w:keepLines w:val="0"/>
        <w:pageBreakBefore w:val="0"/>
        <w:widowControl/>
        <w:kinsoku/>
        <w:wordWrap/>
        <w:overflowPunct/>
        <w:topLinePunct w:val="0"/>
        <w:autoSpaceDE w:val="0"/>
        <w:autoSpaceDN/>
        <w:bidi w:val="0"/>
        <w:adjustRightInd/>
        <w:spacing w:beforeAutospacing="0" w:afterAutospacing="0" w:line="560" w:lineRule="exact"/>
        <w:ind w:left="0" w:firstLine="640" w:firstLineChars="200"/>
        <w:textAlignment w:val="auto"/>
        <w:rPr>
          <w:rStyle w:val="10"/>
          <w:rFonts w:hint="eastAsia" w:ascii="仿宋_GB2312" w:hAnsi="仿宋_GB2312" w:eastAsia="仿宋_GB2312" w:cs="仿宋_GB2312"/>
          <w:color w:val="auto"/>
          <w:sz w:val="32"/>
          <w:szCs w:val="32"/>
          <w:shd w:val="clear" w:color="auto" w:fill="FFFF00"/>
          <w:lang w:val="en-US" w:eastAsia="zh-CN"/>
        </w:rPr>
        <w:sectPr>
          <w:footerReference r:id="rId3" w:type="default"/>
          <w:pgSz w:w="11915" w:h="16840"/>
          <w:pgMar w:top="1440" w:right="1800" w:bottom="1440" w:left="1800" w:header="851" w:footer="992" w:gutter="0"/>
          <w:pgNumType w:fmt="numberInDash"/>
          <w:cols w:space="720" w:num="1"/>
          <w:docGrid w:type="lines" w:linePitch="312" w:charSpace="0"/>
        </w:sectPr>
      </w:pPr>
      <w:r>
        <w:rPr>
          <w:rFonts w:hint="eastAsia" w:ascii="仿宋_GB2312" w:hAnsi="仿宋_GB2312" w:eastAsia="仿宋_GB2312" w:cs="仿宋_GB2312"/>
          <w:sz w:val="32"/>
          <w:szCs w:val="32"/>
          <w:shd w:val="clear" w:color="auto" w:fill="FFFFFF"/>
        </w:rPr>
        <w:t>本单位决算公开信息反馈和联系方式：</w:t>
      </w:r>
      <w:r>
        <w:rPr>
          <w:rFonts w:hint="eastAsia" w:ascii="仿宋_GB2312" w:hAnsi="仿宋_GB2312" w:eastAsia="仿宋_GB2312" w:cs="仿宋_GB2312"/>
          <w:sz w:val="32"/>
          <w:szCs w:val="32"/>
          <w:lang w:eastAsia="zh-CN"/>
        </w:rPr>
        <w:t>张文琴</w:t>
      </w:r>
      <w:r>
        <w:rPr>
          <w:rFonts w:hint="eastAsia" w:ascii="仿宋_GB2312" w:hAnsi="仿宋_GB2312" w:eastAsia="仿宋_GB2312" w:cs="仿宋_GB2312"/>
          <w:sz w:val="32"/>
          <w:szCs w:val="32"/>
          <w:lang w:val="en-US" w:eastAsia="zh-CN"/>
        </w:rPr>
        <w:t xml:space="preserve">  023-7060932</w:t>
      </w:r>
    </w:p>
    <w:p>
      <w:pPr>
        <w:rPr>
          <w:rFonts w:hint="default" w:cs="宋体"/>
          <w:sz w:val="21"/>
          <w:szCs w:val="21"/>
        </w:rPr>
      </w:pPr>
    </w:p>
    <w:tbl>
      <w:tblPr>
        <w:tblStyle w:val="8"/>
        <w:tblW w:w="5005" w:type="pct"/>
        <w:tblInd w:w="0" w:type="dxa"/>
        <w:tblLayout w:type="autofit"/>
        <w:tblCellMar>
          <w:top w:w="0" w:type="dxa"/>
          <w:left w:w="0" w:type="dxa"/>
          <w:bottom w:w="0" w:type="dxa"/>
          <w:right w:w="0" w:type="dxa"/>
        </w:tblCellMar>
      </w:tblPr>
      <w:tblGrid>
        <w:gridCol w:w="3230"/>
        <w:gridCol w:w="1003"/>
        <w:gridCol w:w="3030"/>
        <w:gridCol w:w="1846"/>
      </w:tblGrid>
      <w:tr>
        <w:tblPrEx>
          <w:tblCellMar>
            <w:top w:w="0" w:type="dxa"/>
            <w:left w:w="0" w:type="dxa"/>
            <w:bottom w:w="0" w:type="dxa"/>
            <w:right w:w="0" w:type="dxa"/>
          </w:tblCellMar>
        </w:tblPrEx>
        <w:trPr>
          <w:trHeight w:val="232" w:hRule="atLeast"/>
        </w:trPr>
        <w:tc>
          <w:tcPr>
            <w:tcW w:w="5000" w:type="pct"/>
            <w:gridSpan w:val="4"/>
            <w:tcBorders>
              <w:top w:val="nil"/>
              <w:left w:val="nil"/>
              <w:bottom w:val="nil"/>
              <w:right w:val="nil"/>
            </w:tcBorders>
            <w:shd w:val="clear" w:color="auto" w:fill="auto"/>
            <w:noWrap/>
            <w:tcMar>
              <w:top w:w="15" w:type="dxa"/>
              <w:left w:w="15" w:type="dxa"/>
              <w:right w:w="15" w:type="dxa"/>
            </w:tcMar>
            <w:vAlign w:val="bottom"/>
          </w:tcPr>
          <w:p>
            <w:pPr>
              <w:spacing w:line="400" w:lineRule="exact"/>
              <w:jc w:val="center"/>
              <w:textAlignment w:val="bottom"/>
              <w:rPr>
                <w:rFonts w:hint="default" w:cs="宋体"/>
                <w:b/>
                <w:color w:val="000000"/>
                <w:sz w:val="32"/>
                <w:szCs w:val="32"/>
              </w:rPr>
            </w:pPr>
            <w:r>
              <w:rPr>
                <w:rFonts w:cs="宋体"/>
                <w:b/>
                <w:color w:val="000000"/>
                <w:sz w:val="32"/>
                <w:szCs w:val="32"/>
              </w:rPr>
              <w:t>收入支出决算总表</w:t>
            </w:r>
          </w:p>
        </w:tc>
      </w:tr>
      <w:tr>
        <w:tblPrEx>
          <w:tblCellMar>
            <w:top w:w="0" w:type="dxa"/>
            <w:left w:w="0" w:type="dxa"/>
            <w:bottom w:w="0" w:type="dxa"/>
            <w:right w:w="0" w:type="dxa"/>
          </w:tblCellMar>
        </w:tblPrEx>
        <w:trPr>
          <w:trHeight w:val="232" w:hRule="atLeast"/>
        </w:trPr>
        <w:tc>
          <w:tcPr>
            <w:tcW w:w="1664"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ascii="Arial" w:hAnsi="Arial" w:cs="Arial"/>
                <w:color w:val="000000"/>
                <w:sz w:val="20"/>
                <w:szCs w:val="20"/>
              </w:rPr>
            </w:pPr>
          </w:p>
        </w:tc>
        <w:tc>
          <w:tcPr>
            <w:tcW w:w="656" w:type="pct"/>
            <w:tcBorders>
              <w:top w:val="nil"/>
              <w:left w:val="nil"/>
              <w:bottom w:val="nil"/>
              <w:right w:val="nil"/>
            </w:tcBorders>
            <w:shd w:val="clear" w:color="auto" w:fill="auto"/>
            <w:noWrap/>
            <w:tcMar>
              <w:top w:w="15" w:type="dxa"/>
              <w:left w:w="15" w:type="dxa"/>
              <w:right w:w="15" w:type="dxa"/>
            </w:tcMar>
            <w:vAlign w:val="bottom"/>
          </w:tcPr>
          <w:p>
            <w:pPr>
              <w:spacing w:line="200" w:lineRule="exact"/>
              <w:jc w:val="right"/>
              <w:rPr>
                <w:rFonts w:hint="default" w:ascii="Arial" w:hAnsi="Arial" w:cs="Arial"/>
                <w:color w:val="000000"/>
                <w:sz w:val="20"/>
                <w:szCs w:val="20"/>
              </w:rPr>
            </w:pPr>
          </w:p>
        </w:tc>
        <w:tc>
          <w:tcPr>
            <w:tcW w:w="1562"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ascii="Arial" w:hAnsi="Arial" w:cs="Arial"/>
                <w:color w:val="000000"/>
                <w:sz w:val="20"/>
                <w:szCs w:val="20"/>
              </w:rPr>
            </w:pPr>
          </w:p>
        </w:tc>
        <w:tc>
          <w:tcPr>
            <w:tcW w:w="1118"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right"/>
              <w:textAlignment w:val="bottom"/>
              <w:rPr>
                <w:rFonts w:hint="default" w:cs="宋体"/>
                <w:color w:val="000000"/>
                <w:sz w:val="20"/>
                <w:szCs w:val="20"/>
              </w:rPr>
            </w:pPr>
            <w:r>
              <w:rPr>
                <w:rFonts w:cs="宋体"/>
                <w:color w:val="000000"/>
                <w:sz w:val="20"/>
                <w:szCs w:val="20"/>
              </w:rPr>
              <w:t>公开01表</w:t>
            </w:r>
          </w:p>
        </w:tc>
      </w:tr>
      <w:tr>
        <w:tblPrEx>
          <w:tblCellMar>
            <w:top w:w="0" w:type="dxa"/>
            <w:left w:w="0" w:type="dxa"/>
            <w:bottom w:w="0" w:type="dxa"/>
            <w:right w:w="0" w:type="dxa"/>
          </w:tblCellMar>
        </w:tblPrEx>
        <w:trPr>
          <w:trHeight w:val="232" w:hRule="atLeast"/>
        </w:trPr>
        <w:tc>
          <w:tcPr>
            <w:tcW w:w="2320" w:type="pct"/>
            <w:gridSpan w:val="2"/>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ascii="Arial" w:hAnsi="Arial" w:cs="Arial"/>
                <w:color w:val="000000"/>
                <w:sz w:val="22"/>
                <w:szCs w:val="22"/>
              </w:rPr>
            </w:pPr>
            <w:r>
              <w:rPr>
                <w:rFonts w:cs="宋体"/>
                <w:sz w:val="20"/>
                <w:szCs w:val="20"/>
              </w:rPr>
              <w:t>公开单位：</w:t>
            </w:r>
            <w:r>
              <w:rPr>
                <w:sz w:val="20"/>
                <w:u w:color="auto"/>
              </w:rPr>
              <w:t>重庆市丰都县大桥管理事务中心</w:t>
            </w:r>
          </w:p>
        </w:tc>
        <w:tc>
          <w:tcPr>
            <w:tcW w:w="1562"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ascii="Arial" w:hAnsi="Arial" w:cs="Arial"/>
                <w:color w:val="000000"/>
                <w:sz w:val="22"/>
                <w:szCs w:val="22"/>
              </w:rPr>
            </w:pPr>
          </w:p>
        </w:tc>
        <w:tc>
          <w:tcPr>
            <w:tcW w:w="1118"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243" w:hRule="atLeast"/>
        </w:trPr>
        <w:tc>
          <w:tcPr>
            <w:tcW w:w="2320" w:type="pct"/>
            <w:gridSpan w:val="2"/>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收入</w:t>
            </w:r>
          </w:p>
        </w:tc>
        <w:tc>
          <w:tcPr>
            <w:tcW w:w="2680" w:type="pct"/>
            <w:gridSpan w:val="2"/>
            <w:tcBorders>
              <w:top w:val="single" w:color="000000" w:sz="4" w:space="0"/>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支出</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项目</w:t>
            </w:r>
          </w:p>
        </w:tc>
        <w:tc>
          <w:tcPr>
            <w:tcW w:w="656"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决算数</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功能分类科目</w:t>
            </w:r>
          </w:p>
        </w:tc>
        <w:tc>
          <w:tcPr>
            <w:tcW w:w="1118"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决算数</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一、一般公共预算财政拨款收入</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735.48</w:t>
            </w: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一、一般公共服务支出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二、政府性基金预算财政拨款收入</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二、外交支出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三、国有资本经营预算财政拨款收入</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三、国防支出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四、上级补助收入</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四、公共安全支出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五、事业收入</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五、教育支出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六、经营收入</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六、科学技术支出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七、附属单位上缴收入</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七、文化旅游体育与传媒支出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八、其他收入</w:t>
            </w:r>
          </w:p>
        </w:tc>
        <w:tc>
          <w:tcPr>
            <w:tcW w:w="656" w:type="pct"/>
            <w:tcBorders>
              <w:top w:val="nil"/>
              <w:left w:val="nil"/>
              <w:bottom w:val="nil"/>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八、社会保障和就业支出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31.08</w:t>
            </w: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40" w:lineRule="exact"/>
              <w:jc w:val="right"/>
              <w:rPr>
                <w:rFonts w:hint="default" w:ascii="Arial" w:hAnsi="Arial" w:cs="Arial"/>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九、卫生健康支出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11.67</w:t>
            </w: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40" w:lineRule="exact"/>
              <w:jc w:val="right"/>
              <w:rPr>
                <w:rFonts w:hint="default" w:ascii="Arial" w:hAnsi="Arial" w:cs="Arial"/>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十、节能环保支出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40" w:lineRule="exact"/>
              <w:jc w:val="right"/>
              <w:rPr>
                <w:rFonts w:hint="default" w:ascii="Arial" w:hAnsi="Arial" w:cs="Arial"/>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十一、城乡社区支出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40" w:lineRule="exact"/>
              <w:jc w:val="right"/>
              <w:rPr>
                <w:rFonts w:hint="default" w:ascii="Arial" w:hAnsi="Arial" w:cs="Arial"/>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十二、农林水支出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十三、交通运输支出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733.59</w:t>
            </w: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十四、资源勘探工业信息等支出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十五、商业服务业等支出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十六、金融支出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十七、援助其他地区支出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十八、自然资源海洋气象等支出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十九、住房保障支出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11.76</w:t>
            </w: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二十、粮油物资储备支出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二十一、国有资本经营预算支出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二十二、灾害防治及应急管理支出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二十三、其他支出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rPr>
                <w:rFonts w:hint="default" w:cs="宋体"/>
                <w:b/>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二十四、债务还本支出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二十五、债务付息支出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rPr>
                <w:rFonts w:hint="default" w:cs="宋体"/>
                <w:color w:val="000000"/>
                <w:sz w:val="20"/>
                <w:szCs w:val="20"/>
              </w:rPr>
            </w:pP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rPr>
                <w:rFonts w:hint="default" w:cs="宋体"/>
                <w:color w:val="000000"/>
                <w:sz w:val="20"/>
                <w:szCs w:val="20"/>
              </w:rPr>
            </w:pP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二十六、抗疫特别国债安排的支出</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本年收入合计</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735.48</w:t>
            </w: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本年支出合计</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788.09</w:t>
            </w: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使用非财政拨款结余和专用结余</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结余分配</w:t>
            </w:r>
          </w:p>
        </w:tc>
        <w:tc>
          <w:tcPr>
            <w:tcW w:w="111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24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年初结转和结余</w:t>
            </w:r>
          </w:p>
        </w:tc>
        <w:tc>
          <w:tcPr>
            <w:tcW w:w="65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56.31</w:t>
            </w:r>
            <w:r>
              <w:rPr>
                <w:color w:val="000000"/>
                <w:sz w:val="20"/>
                <w:u w:color="auto"/>
              </w:rPr>
              <w:t xml:space="preserve"> </w:t>
            </w:r>
          </w:p>
        </w:tc>
        <w:tc>
          <w:tcPr>
            <w:tcW w:w="1562" w:type="pct"/>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textAlignment w:val="center"/>
              <w:rPr>
                <w:rFonts w:hint="default" w:cs="宋体"/>
                <w:color w:val="000000"/>
                <w:sz w:val="20"/>
                <w:szCs w:val="20"/>
              </w:rPr>
            </w:pPr>
            <w:r>
              <w:rPr>
                <w:rFonts w:cs="宋体"/>
                <w:color w:val="000000"/>
                <w:sz w:val="20"/>
                <w:szCs w:val="20"/>
              </w:rPr>
              <w:t>年末结转和结余</w:t>
            </w:r>
          </w:p>
        </w:tc>
        <w:tc>
          <w:tcPr>
            <w:tcW w:w="1118" w:type="pct"/>
            <w:tcBorders>
              <w:top w:val="nil"/>
              <w:left w:val="nil"/>
              <w:bottom w:val="single" w:color="auto"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3.69</w:t>
            </w:r>
            <w:r>
              <w:rPr>
                <w:color w:val="000000"/>
                <w:sz w:val="20"/>
                <w:u w:color="auto"/>
              </w:rPr>
              <w:t xml:space="preserve"> </w:t>
            </w:r>
          </w:p>
        </w:tc>
      </w:tr>
      <w:tr>
        <w:tblPrEx>
          <w:tblCellMar>
            <w:top w:w="0" w:type="dxa"/>
            <w:left w:w="0" w:type="dxa"/>
            <w:bottom w:w="0" w:type="dxa"/>
            <w:right w:w="0" w:type="dxa"/>
          </w:tblCellMar>
        </w:tblPrEx>
        <w:trPr>
          <w:trHeight w:val="253" w:hRule="atLeast"/>
        </w:trPr>
        <w:tc>
          <w:tcPr>
            <w:tcW w:w="1664" w:type="pc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总计</w:t>
            </w:r>
          </w:p>
        </w:tc>
        <w:tc>
          <w:tcPr>
            <w:tcW w:w="6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791.78</w:t>
            </w:r>
            <w:r>
              <w:rPr>
                <w:color w:val="000000"/>
                <w:sz w:val="20"/>
                <w:u w:color="auto"/>
              </w:rPr>
              <w:t xml:space="preserve"> </w:t>
            </w:r>
          </w:p>
        </w:tc>
        <w:tc>
          <w:tcPr>
            <w:tcW w:w="1562" w:type="pct"/>
            <w:tcBorders>
              <w:top w:val="nil"/>
              <w:left w:val="nil"/>
              <w:bottom w:val="single" w:color="000000" w:sz="4" w:space="0"/>
              <w:right w:val="single" w:color="auto" w:sz="4" w:space="0"/>
            </w:tcBorders>
            <w:shd w:val="clear" w:color="FFFFFF" w:fill="C0C0C0"/>
            <w:noWrap/>
            <w:tcMar>
              <w:top w:w="15" w:type="dxa"/>
              <w:left w:w="15" w:type="dxa"/>
              <w:right w:w="15" w:type="dxa"/>
            </w:tcMar>
            <w:vAlign w:val="center"/>
          </w:tcPr>
          <w:p>
            <w:pPr>
              <w:spacing w:line="240" w:lineRule="exact"/>
              <w:jc w:val="center"/>
              <w:textAlignment w:val="center"/>
              <w:rPr>
                <w:rFonts w:hint="default" w:cs="宋体"/>
                <w:b/>
                <w:color w:val="000000"/>
                <w:sz w:val="20"/>
                <w:szCs w:val="20"/>
              </w:rPr>
            </w:pPr>
            <w:r>
              <w:rPr>
                <w:rFonts w:cs="宋体"/>
                <w:b/>
                <w:color w:val="000000"/>
                <w:sz w:val="20"/>
                <w:szCs w:val="20"/>
              </w:rPr>
              <w:t>总计</w:t>
            </w:r>
          </w:p>
        </w:tc>
        <w:tc>
          <w:tcPr>
            <w:tcW w:w="11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40" w:lineRule="exact"/>
              <w:jc w:val="right"/>
              <w:textAlignment w:val="center"/>
              <w:rPr>
                <w:rFonts w:hint="default" w:cs="宋体"/>
                <w:color w:val="000000"/>
                <w:sz w:val="20"/>
                <w:szCs w:val="20"/>
              </w:rPr>
            </w:pPr>
            <w:r>
              <w:rPr>
                <w:rFonts w:cs="宋体"/>
                <w:color w:val="000000"/>
                <w:sz w:val="20"/>
                <w:szCs w:val="20"/>
              </w:rPr>
              <w:t>791.78</w:t>
            </w:r>
            <w:r>
              <w:rPr>
                <w:color w:val="000000"/>
                <w:sz w:val="20"/>
                <w:u w:color="auto"/>
              </w:rPr>
              <w:t xml:space="preserve"> </w:t>
            </w:r>
          </w:p>
        </w:tc>
      </w:tr>
    </w:tbl>
    <w:p>
      <w:pPr>
        <w:spacing w:line="240" w:lineRule="exact"/>
        <w:rPr>
          <w:rFonts w:hint="default" w:cs="宋体"/>
          <w:sz w:val="20"/>
          <w:szCs w:val="20"/>
        </w:rPr>
      </w:pPr>
      <w:r>
        <w:rPr>
          <w:rFonts w:cs="宋体"/>
          <w:sz w:val="20"/>
          <w:szCs w:val="20"/>
        </w:rPr>
        <w:t>备注：1.本表反映单位本年度的总收支和年末结转结余情况。</w:t>
      </w:r>
      <w:r>
        <w:rPr>
          <w:rFonts w:cs="宋体"/>
          <w:sz w:val="20"/>
          <w:szCs w:val="20"/>
        </w:rPr>
        <w:br w:type="textWrapping"/>
      </w:r>
      <w:r>
        <w:rPr>
          <w:rFonts w:cs="宋体"/>
          <w:sz w:val="20"/>
          <w:szCs w:val="20"/>
        </w:rPr>
        <w:t xml:space="preserve">      2.本套报表金额单位转换时可能存在尾数误差。</w:t>
      </w:r>
      <w:r>
        <w:rPr>
          <w:rFonts w:cs="宋体"/>
          <w:sz w:val="20"/>
          <w:szCs w:val="20"/>
        </w:rPr>
        <w:br w:type="textWrapping"/>
      </w:r>
      <w:r>
        <w:rPr>
          <w:rFonts w:cs="宋体"/>
          <w:sz w:val="20"/>
          <w:szCs w:val="20"/>
        </w:rPr>
        <w:br w:type="textWrapping"/>
      </w:r>
    </w:p>
    <w:tbl>
      <w:tblPr>
        <w:tblStyle w:val="8"/>
        <w:tblW w:w="5000" w:type="pct"/>
        <w:tblInd w:w="0" w:type="dxa"/>
        <w:tblLayout w:type="fixed"/>
        <w:tblCellMar>
          <w:top w:w="0" w:type="dxa"/>
          <w:left w:w="0" w:type="dxa"/>
          <w:bottom w:w="0" w:type="dxa"/>
          <w:right w:w="0" w:type="dxa"/>
        </w:tblCellMar>
      </w:tblPr>
      <w:tblGrid>
        <w:gridCol w:w="1007"/>
        <w:gridCol w:w="1876"/>
        <w:gridCol w:w="730"/>
        <w:gridCol w:w="730"/>
        <w:gridCol w:w="730"/>
        <w:gridCol w:w="730"/>
        <w:gridCol w:w="808"/>
        <w:gridCol w:w="773"/>
        <w:gridCol w:w="852"/>
        <w:gridCol w:w="865"/>
      </w:tblGrid>
      <w:tr>
        <w:tblPrEx>
          <w:tblCellMar>
            <w:top w:w="0" w:type="dxa"/>
            <w:left w:w="0" w:type="dxa"/>
            <w:bottom w:w="0" w:type="dxa"/>
            <w:right w:w="0" w:type="dxa"/>
          </w:tblCellMar>
        </w:tblPrEx>
        <w:trPr>
          <w:trHeight w:val="641" w:hRule="atLeast"/>
        </w:trPr>
        <w:tc>
          <w:tcPr>
            <w:tcW w:w="5000" w:type="pct"/>
            <w:gridSpan w:val="10"/>
            <w:tcBorders>
              <w:top w:val="nil"/>
              <w:left w:val="nil"/>
              <w:bottom w:val="nil"/>
              <w:right w:val="nil"/>
            </w:tcBorders>
            <w:shd w:val="clear" w:color="auto" w:fill="auto"/>
            <w:noWrap/>
            <w:tcMar>
              <w:top w:w="15" w:type="dxa"/>
              <w:left w:w="15" w:type="dxa"/>
              <w:right w:w="15" w:type="dxa"/>
            </w:tcMar>
            <w:vAlign w:val="bottom"/>
          </w:tcPr>
          <w:p>
            <w:pPr>
              <w:jc w:val="center"/>
              <w:textAlignment w:val="bottom"/>
              <w:rPr>
                <w:rFonts w:hint="default" w:cs="宋体"/>
                <w:b/>
                <w:color w:val="000000"/>
                <w:sz w:val="32"/>
                <w:szCs w:val="32"/>
              </w:rPr>
            </w:pPr>
            <w:r>
              <w:rPr>
                <w:rFonts w:cs="宋体"/>
                <w:b/>
                <w:color w:val="000000"/>
                <w:sz w:val="32"/>
                <w:szCs w:val="32"/>
              </w:rPr>
              <w:t>收入决算表</w:t>
            </w:r>
          </w:p>
        </w:tc>
      </w:tr>
      <w:tr>
        <w:tblPrEx>
          <w:tblCellMar>
            <w:top w:w="0" w:type="dxa"/>
            <w:left w:w="0" w:type="dxa"/>
            <w:bottom w:w="0" w:type="dxa"/>
            <w:right w:w="0" w:type="dxa"/>
          </w:tblCellMar>
        </w:tblPrEx>
        <w:trPr>
          <w:trHeight w:val="328" w:hRule="atLeast"/>
        </w:trPr>
        <w:tc>
          <w:tcPr>
            <w:tcW w:w="1985" w:type="pct"/>
            <w:gridSpan w:val="3"/>
            <w:vMerge w:val="restart"/>
            <w:tcBorders>
              <w:top w:val="nil"/>
              <w:left w:val="nil"/>
              <w:right w:val="nil"/>
            </w:tcBorders>
            <w:shd w:val="clear" w:color="auto" w:fill="auto"/>
            <w:noWrap/>
            <w:tcMar>
              <w:top w:w="15" w:type="dxa"/>
              <w:left w:w="15" w:type="dxa"/>
              <w:right w:w="15" w:type="dxa"/>
            </w:tcMar>
            <w:vAlign w:val="bottom"/>
          </w:tcPr>
          <w:p>
            <w:pPr>
              <w:rPr>
                <w:rFonts w:hint="default" w:cs="宋体"/>
                <w:color w:val="000000"/>
                <w:sz w:val="20"/>
                <w:szCs w:val="20"/>
              </w:rPr>
            </w:pPr>
            <w:r>
              <w:rPr>
                <w:rFonts w:cs="宋体"/>
                <w:sz w:val="20"/>
                <w:szCs w:val="20"/>
              </w:rPr>
              <w:t>公开单位：</w:t>
            </w:r>
            <w:r>
              <w:rPr>
                <w:sz w:val="20"/>
                <w:u w:color="auto"/>
              </w:rPr>
              <w:t>重庆市丰都县大桥管理事务中心</w:t>
            </w:r>
          </w:p>
        </w:tc>
        <w:tc>
          <w:tcPr>
            <w:tcW w:w="401"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01"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01"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44"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2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68"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75"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公开02表</w:t>
            </w:r>
          </w:p>
        </w:tc>
      </w:tr>
      <w:tr>
        <w:tblPrEx>
          <w:tblCellMar>
            <w:top w:w="0" w:type="dxa"/>
            <w:left w:w="0" w:type="dxa"/>
            <w:bottom w:w="0" w:type="dxa"/>
            <w:right w:w="0" w:type="dxa"/>
          </w:tblCellMar>
        </w:tblPrEx>
        <w:trPr>
          <w:trHeight w:val="328" w:hRule="atLeast"/>
        </w:trPr>
        <w:tc>
          <w:tcPr>
            <w:tcW w:w="1985" w:type="pct"/>
            <w:gridSpan w:val="3"/>
            <w:vMerge w:val="continue"/>
            <w:tcBorders>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01"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01"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01"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44"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2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68"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475"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431" w:hRule="atLeast"/>
        </w:trPr>
        <w:tc>
          <w:tcPr>
            <w:tcW w:w="1584" w:type="pct"/>
            <w:gridSpan w:val="2"/>
            <w:tcBorders>
              <w:top w:val="single" w:color="000000" w:sz="4" w:space="0"/>
              <w:left w:val="single" w:color="000000" w:sz="4" w:space="0"/>
              <w:bottom w:val="single" w:color="000000" w:sz="4" w:space="0"/>
              <w:right w:val="nil"/>
            </w:tcBorders>
            <w:shd w:val="clear" w:color="auto" w:fill="D0CECE"/>
            <w:noWrap/>
            <w:tcMar>
              <w:top w:w="15" w:type="dxa"/>
              <w:left w:w="15" w:type="dxa"/>
              <w:right w:w="15" w:type="dxa"/>
            </w:tcMar>
            <w:vAlign w:val="bottom"/>
          </w:tcPr>
          <w:p>
            <w:pPr>
              <w:jc w:val="center"/>
              <w:textAlignment w:val="bottom"/>
              <w:rPr>
                <w:rFonts w:hint="default" w:cs="宋体"/>
                <w:b/>
                <w:color w:val="000000"/>
                <w:sz w:val="20"/>
                <w:szCs w:val="20"/>
              </w:rPr>
            </w:pPr>
            <w:r>
              <w:rPr>
                <w:rFonts w:cs="宋体"/>
                <w:b/>
                <w:color w:val="000000"/>
                <w:sz w:val="20"/>
                <w:szCs w:val="20"/>
              </w:rPr>
              <w:t>项目</w:t>
            </w:r>
          </w:p>
        </w:tc>
        <w:tc>
          <w:tcPr>
            <w:tcW w:w="401"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本年收入合计</w:t>
            </w:r>
          </w:p>
        </w:tc>
        <w:tc>
          <w:tcPr>
            <w:tcW w:w="401"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财政拨款收入</w:t>
            </w:r>
          </w:p>
        </w:tc>
        <w:tc>
          <w:tcPr>
            <w:tcW w:w="401"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上级补助收入</w:t>
            </w:r>
          </w:p>
        </w:tc>
        <w:tc>
          <w:tcPr>
            <w:tcW w:w="845" w:type="pct"/>
            <w:gridSpan w:val="2"/>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jc w:val="center"/>
              <w:textAlignment w:val="bottom"/>
              <w:rPr>
                <w:rFonts w:hint="default" w:cs="宋体"/>
                <w:b/>
                <w:color w:val="000000"/>
                <w:sz w:val="20"/>
                <w:szCs w:val="20"/>
              </w:rPr>
            </w:pPr>
            <w:r>
              <w:rPr>
                <w:rFonts w:cs="宋体"/>
                <w:b/>
                <w:color w:val="000000"/>
                <w:sz w:val="20"/>
                <w:szCs w:val="20"/>
              </w:rPr>
              <w:t>事业收入</w:t>
            </w:r>
          </w:p>
        </w:tc>
        <w:tc>
          <w:tcPr>
            <w:tcW w:w="425"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经营收入</w:t>
            </w:r>
          </w:p>
        </w:tc>
        <w:tc>
          <w:tcPr>
            <w:tcW w:w="468"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附属单位上缴收入</w:t>
            </w:r>
          </w:p>
        </w:tc>
        <w:tc>
          <w:tcPr>
            <w:tcW w:w="475"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其他收入</w:t>
            </w:r>
          </w:p>
        </w:tc>
      </w:tr>
      <w:tr>
        <w:tblPrEx>
          <w:tblCellMar>
            <w:top w:w="0" w:type="dxa"/>
            <w:left w:w="0" w:type="dxa"/>
            <w:bottom w:w="0" w:type="dxa"/>
            <w:right w:w="0" w:type="dxa"/>
          </w:tblCellMar>
        </w:tblPrEx>
        <w:trPr>
          <w:trHeight w:val="334" w:hRule="atLeast"/>
        </w:trPr>
        <w:tc>
          <w:tcPr>
            <w:tcW w:w="553" w:type="pct"/>
            <w:vMerge w:val="restar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功能分类科目编码</w:t>
            </w:r>
          </w:p>
        </w:tc>
        <w:tc>
          <w:tcPr>
            <w:tcW w:w="1031" w:type="pct"/>
            <w:vMerge w:val="restart"/>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项目（按“项”级功能分类科目）</w:t>
            </w: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小计</w:t>
            </w:r>
          </w:p>
        </w:tc>
        <w:tc>
          <w:tcPr>
            <w:tcW w:w="444"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其中：教育收费</w:t>
            </w:r>
          </w:p>
        </w:tc>
        <w:tc>
          <w:tcPr>
            <w:tcW w:w="42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68"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7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4" w:hRule="atLeast"/>
        </w:trPr>
        <w:tc>
          <w:tcPr>
            <w:tcW w:w="553" w:type="pct"/>
            <w:vMerge w:val="continue"/>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1031" w:type="pct"/>
            <w:vMerge w:val="continue"/>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44"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2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68"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7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4" w:hRule="atLeast"/>
        </w:trPr>
        <w:tc>
          <w:tcPr>
            <w:tcW w:w="553" w:type="pct"/>
            <w:vMerge w:val="continue"/>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1031" w:type="pct"/>
            <w:vMerge w:val="continue"/>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44"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2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68"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7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4" w:hRule="atLeast"/>
        </w:trPr>
        <w:tc>
          <w:tcPr>
            <w:tcW w:w="553" w:type="pct"/>
            <w:vMerge w:val="continue"/>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1031" w:type="pct"/>
            <w:vMerge w:val="continue"/>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0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44"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2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68"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47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8" w:hRule="atLeast"/>
        </w:trPr>
        <w:tc>
          <w:tcPr>
            <w:tcW w:w="1584" w:type="pct"/>
            <w:gridSpan w:val="2"/>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40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735.48</w:t>
            </w:r>
            <w:r>
              <w:rPr>
                <w:b/>
                <w:color w:val="000000"/>
                <w:sz w:val="20"/>
                <w:u w:color="auto"/>
              </w:rPr>
              <w:t xml:space="preserve"> </w:t>
            </w:r>
          </w:p>
        </w:tc>
        <w:tc>
          <w:tcPr>
            <w:tcW w:w="40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735.48</w:t>
            </w:r>
            <w:r>
              <w:rPr>
                <w:b/>
                <w:color w:val="000000"/>
                <w:sz w:val="20"/>
                <w:u w:color="auto"/>
              </w:rPr>
              <w:t xml:space="preserve"> </w:t>
            </w:r>
          </w:p>
        </w:tc>
        <w:tc>
          <w:tcPr>
            <w:tcW w:w="40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40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44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42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468"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47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208</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社会保障和就业支出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20805</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行政事业单位养老支出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2080505</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机关事业单位基本养老保险缴费支出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15.67</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15.67</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2080506</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机关事业单位职业年金缴费支出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12.71</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12.71</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2080599</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其他行政事业单位养老支出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2.69</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2.69</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210</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卫生健康支出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21011</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行政事业单位医疗</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2101102</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事业单位医疗</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7.84</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7.84</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2101199</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其他行政事业单位医疗支出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3.83</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3.83</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交通运输支出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680.97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680.97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21401</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公路水路运输</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680.97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680.97</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2140106</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公路养护</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485.64</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485.64</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2140111</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公路还贷专项</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195.33</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195.33</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221</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住房保障支出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22102</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住房改革支出</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48" w:hRule="atLeast"/>
        </w:trPr>
        <w:tc>
          <w:tcPr>
            <w:tcW w:w="553"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2210201</w:t>
            </w:r>
          </w:p>
        </w:tc>
        <w:tc>
          <w:tcPr>
            <w:tcW w:w="1031"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住房公积金</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11.76</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11.76</w:t>
            </w: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4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bl>
    <w:p>
      <w:pPr>
        <w:rPr>
          <w:rFonts w:hint="default" w:cs="宋体"/>
          <w:sz w:val="20"/>
          <w:szCs w:val="20"/>
        </w:rPr>
      </w:pPr>
      <w:r>
        <w:rPr>
          <w:rFonts w:cs="宋体"/>
          <w:sz w:val="20"/>
          <w:szCs w:val="20"/>
        </w:rPr>
        <w:t>备注：1.本表反映单位本年度取得的各项收入情况。</w:t>
      </w:r>
      <w:r>
        <w:rPr>
          <w:rFonts w:cs="宋体"/>
          <w:sz w:val="20"/>
          <w:szCs w:val="20"/>
        </w:rPr>
        <w:br w:type="textWrapping"/>
      </w:r>
      <w:r>
        <w:rPr>
          <w:rFonts w:cs="宋体"/>
          <w:sz w:val="20"/>
          <w:szCs w:val="20"/>
        </w:rPr>
        <w:t>2.本套报表金额单位转换时可能存在尾数误差。</w:t>
      </w:r>
      <w:r>
        <w:rPr>
          <w:rFonts w:cs="宋体"/>
          <w:sz w:val="20"/>
          <w:szCs w:val="20"/>
        </w:rPr>
        <w:br w:type="textWrapping"/>
      </w:r>
      <w:r>
        <w:rPr>
          <w:rFonts w:cs="宋体"/>
          <w:sz w:val="20"/>
          <w:szCs w:val="20"/>
        </w:rPr>
        <w:br w:type="textWrapping"/>
      </w:r>
    </w:p>
    <w:tbl>
      <w:tblPr>
        <w:tblStyle w:val="8"/>
        <w:tblW w:w="5000" w:type="pct"/>
        <w:tblInd w:w="0" w:type="dxa"/>
        <w:tblLayout w:type="autofit"/>
        <w:tblCellMar>
          <w:top w:w="0" w:type="dxa"/>
          <w:left w:w="0" w:type="dxa"/>
          <w:bottom w:w="0" w:type="dxa"/>
          <w:right w:w="0" w:type="dxa"/>
        </w:tblCellMar>
      </w:tblPr>
      <w:tblGrid>
        <w:gridCol w:w="1637"/>
        <w:gridCol w:w="3630"/>
        <w:gridCol w:w="591"/>
        <w:gridCol w:w="591"/>
        <w:gridCol w:w="591"/>
        <w:gridCol w:w="474"/>
        <w:gridCol w:w="555"/>
        <w:gridCol w:w="1031"/>
      </w:tblGrid>
      <w:tr>
        <w:tblPrEx>
          <w:tblCellMar>
            <w:top w:w="0" w:type="dxa"/>
            <w:left w:w="0" w:type="dxa"/>
            <w:bottom w:w="0" w:type="dxa"/>
            <w:right w:w="0" w:type="dxa"/>
          </w:tblCellMar>
        </w:tblPrEx>
        <w:trPr>
          <w:trHeight w:val="654" w:hRule="atLeast"/>
        </w:trPr>
        <w:tc>
          <w:tcPr>
            <w:tcW w:w="5000" w:type="pct"/>
            <w:gridSpan w:val="8"/>
            <w:tcBorders>
              <w:top w:val="nil"/>
              <w:left w:val="nil"/>
              <w:bottom w:val="nil"/>
              <w:right w:val="nil"/>
            </w:tcBorders>
            <w:shd w:val="clear" w:color="auto" w:fill="auto"/>
            <w:noWrap/>
            <w:tcMar>
              <w:top w:w="15" w:type="dxa"/>
              <w:left w:w="15" w:type="dxa"/>
              <w:right w:w="15" w:type="dxa"/>
            </w:tcMar>
            <w:vAlign w:val="bottom"/>
          </w:tcPr>
          <w:p>
            <w:pPr>
              <w:jc w:val="center"/>
              <w:textAlignment w:val="bottom"/>
              <w:rPr>
                <w:rFonts w:hint="default" w:cs="宋体"/>
                <w:b/>
                <w:color w:val="000000"/>
                <w:sz w:val="32"/>
                <w:szCs w:val="32"/>
              </w:rPr>
            </w:pPr>
            <w:r>
              <w:rPr>
                <w:rFonts w:cs="宋体"/>
                <w:b/>
                <w:color w:val="000000"/>
                <w:sz w:val="32"/>
                <w:szCs w:val="32"/>
              </w:rPr>
              <w:t>支出决算表</w:t>
            </w:r>
          </w:p>
        </w:tc>
      </w:tr>
      <w:tr>
        <w:tblPrEx>
          <w:tblCellMar>
            <w:top w:w="0" w:type="dxa"/>
            <w:left w:w="0" w:type="dxa"/>
            <w:bottom w:w="0" w:type="dxa"/>
            <w:right w:w="0" w:type="dxa"/>
          </w:tblCellMar>
        </w:tblPrEx>
        <w:trPr>
          <w:trHeight w:val="342" w:hRule="atLeast"/>
        </w:trPr>
        <w:tc>
          <w:tcPr>
            <w:tcW w:w="2293" w:type="pct"/>
            <w:gridSpan w:val="3"/>
            <w:vMerge w:val="restart"/>
            <w:tcBorders>
              <w:top w:val="nil"/>
              <w:left w:val="nil"/>
              <w:right w:val="nil"/>
            </w:tcBorders>
            <w:shd w:val="clear" w:color="auto" w:fill="auto"/>
            <w:noWrap/>
            <w:tcMar>
              <w:top w:w="15" w:type="dxa"/>
              <w:left w:w="15" w:type="dxa"/>
              <w:right w:w="15" w:type="dxa"/>
            </w:tcMar>
            <w:vAlign w:val="bottom"/>
          </w:tcPr>
          <w:p>
            <w:pPr>
              <w:rPr>
                <w:rFonts w:hint="default" w:cs="宋体"/>
                <w:color w:val="000000"/>
                <w:sz w:val="20"/>
                <w:szCs w:val="20"/>
              </w:rPr>
            </w:pPr>
            <w:r>
              <w:rPr>
                <w:rFonts w:cs="宋体"/>
                <w:sz w:val="20"/>
                <w:szCs w:val="20"/>
              </w:rPr>
              <w:t>公开单位</w:t>
            </w:r>
            <w:r>
              <w:rPr>
                <w:rFonts w:cs="宋体"/>
                <w:color w:val="000000"/>
                <w:sz w:val="20"/>
                <w:szCs w:val="20"/>
              </w:rPr>
              <w:t xml:space="preserve">： </w:t>
            </w:r>
            <w:r>
              <w:rPr>
                <w:color w:val="000000"/>
                <w:sz w:val="20"/>
                <w:u w:color="auto"/>
              </w:rPr>
              <w:t xml:space="preserve">重庆市丰都县大桥管理事务中心 </w:t>
            </w:r>
          </w:p>
        </w:tc>
        <w:tc>
          <w:tcPr>
            <w:tcW w:w="540"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40"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3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3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55"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公开03表</w:t>
            </w:r>
          </w:p>
        </w:tc>
      </w:tr>
      <w:tr>
        <w:tblPrEx>
          <w:tblCellMar>
            <w:top w:w="0" w:type="dxa"/>
            <w:left w:w="0" w:type="dxa"/>
            <w:bottom w:w="0" w:type="dxa"/>
            <w:right w:w="0" w:type="dxa"/>
          </w:tblCellMar>
        </w:tblPrEx>
        <w:trPr>
          <w:trHeight w:val="342" w:hRule="atLeast"/>
        </w:trPr>
        <w:tc>
          <w:tcPr>
            <w:tcW w:w="2293" w:type="pct"/>
            <w:gridSpan w:val="3"/>
            <w:vMerge w:val="continue"/>
            <w:tcBorders>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40"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40"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3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3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55"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362" w:hRule="atLeast"/>
        </w:trPr>
        <w:tc>
          <w:tcPr>
            <w:tcW w:w="1753" w:type="pct"/>
            <w:gridSpan w:val="2"/>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jc w:val="center"/>
              <w:textAlignment w:val="bottom"/>
              <w:rPr>
                <w:rFonts w:hint="default" w:cs="宋体"/>
                <w:b/>
                <w:color w:val="000000"/>
                <w:sz w:val="20"/>
                <w:szCs w:val="20"/>
              </w:rPr>
            </w:pPr>
            <w:r>
              <w:rPr>
                <w:rFonts w:cs="宋体"/>
                <w:b/>
                <w:color w:val="000000"/>
                <w:sz w:val="20"/>
                <w:szCs w:val="20"/>
              </w:rPr>
              <w:t>项目</w:t>
            </w:r>
          </w:p>
        </w:tc>
        <w:tc>
          <w:tcPr>
            <w:tcW w:w="540"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本年支出合计</w:t>
            </w:r>
          </w:p>
        </w:tc>
        <w:tc>
          <w:tcPr>
            <w:tcW w:w="540"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基本支出</w:t>
            </w:r>
          </w:p>
        </w:tc>
        <w:tc>
          <w:tcPr>
            <w:tcW w:w="540"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项目支出</w:t>
            </w:r>
          </w:p>
        </w:tc>
        <w:tc>
          <w:tcPr>
            <w:tcW w:w="535"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上缴上级支出</w:t>
            </w:r>
          </w:p>
        </w:tc>
        <w:tc>
          <w:tcPr>
            <w:tcW w:w="535"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经营支出</w:t>
            </w:r>
          </w:p>
        </w:tc>
        <w:tc>
          <w:tcPr>
            <w:tcW w:w="555"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对附属单位补助支出</w:t>
            </w:r>
          </w:p>
        </w:tc>
      </w:tr>
      <w:tr>
        <w:tblPrEx>
          <w:tblCellMar>
            <w:top w:w="0" w:type="dxa"/>
            <w:left w:w="0" w:type="dxa"/>
            <w:bottom w:w="0" w:type="dxa"/>
            <w:right w:w="0" w:type="dxa"/>
          </w:tblCellMar>
        </w:tblPrEx>
        <w:trPr>
          <w:trHeight w:val="338" w:hRule="atLeast"/>
        </w:trPr>
        <w:tc>
          <w:tcPr>
            <w:tcW w:w="572" w:type="pct"/>
            <w:vMerge w:val="restart"/>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功能分类科目编码</w:t>
            </w:r>
          </w:p>
        </w:tc>
        <w:tc>
          <w:tcPr>
            <w:tcW w:w="1180" w:type="pct"/>
            <w:vMerge w:val="restart"/>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项目（按“项”级功能分类科目）</w:t>
            </w: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8" w:hRule="atLeast"/>
        </w:trPr>
        <w:tc>
          <w:tcPr>
            <w:tcW w:w="572" w:type="pct"/>
            <w:vMerge w:val="continue"/>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1180" w:type="pct"/>
            <w:vMerge w:val="continue"/>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8" w:hRule="atLeast"/>
        </w:trPr>
        <w:tc>
          <w:tcPr>
            <w:tcW w:w="572" w:type="pct"/>
            <w:vMerge w:val="continue"/>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1180" w:type="pct"/>
            <w:vMerge w:val="continue"/>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8" w:hRule="atLeast"/>
        </w:trPr>
        <w:tc>
          <w:tcPr>
            <w:tcW w:w="572" w:type="pct"/>
            <w:vMerge w:val="continue"/>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1180" w:type="pct"/>
            <w:vMerge w:val="continue"/>
            <w:tcBorders>
              <w:top w:val="nil"/>
              <w:left w:val="nil"/>
              <w:bottom w:val="single" w:color="000000" w:sz="4" w:space="0"/>
              <w:right w:val="nil"/>
            </w:tcBorders>
            <w:shd w:val="clear" w:color="FFFFFF" w:fill="C0C0C0"/>
            <w:noWrap/>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40"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3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62" w:hRule="atLeast"/>
        </w:trPr>
        <w:tc>
          <w:tcPr>
            <w:tcW w:w="1753" w:type="pct"/>
            <w:gridSpan w:val="2"/>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54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788.09</w:t>
            </w:r>
            <w:r>
              <w:rPr>
                <w:b/>
                <w:color w:val="000000"/>
                <w:sz w:val="20"/>
                <w:u w:color="auto"/>
              </w:rPr>
              <w:t xml:space="preserve"> </w:t>
            </w:r>
          </w:p>
        </w:tc>
        <w:tc>
          <w:tcPr>
            <w:tcW w:w="54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265.30</w:t>
            </w:r>
            <w:r>
              <w:rPr>
                <w:b/>
                <w:color w:val="000000"/>
                <w:sz w:val="20"/>
                <w:u w:color="auto"/>
              </w:rPr>
              <w:t xml:space="preserve"> </w:t>
            </w:r>
          </w:p>
        </w:tc>
        <w:tc>
          <w:tcPr>
            <w:tcW w:w="54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522.79</w:t>
            </w:r>
            <w:r>
              <w:rPr>
                <w:b/>
                <w:color w:val="000000"/>
                <w:sz w:val="20"/>
                <w:u w:color="auto"/>
              </w:rPr>
              <w:t xml:space="preserve"> </w:t>
            </w:r>
          </w:p>
        </w:tc>
        <w:tc>
          <w:tcPr>
            <w:tcW w:w="53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53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55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208</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社会保障和就业支出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20805</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行政事业单位养老支出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31.08</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2080505</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机关事业单位基本养老保险缴费支出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15.67</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15.67</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2080506</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机关事业单位职业年金缴费支出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12.71</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12.71</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2080599</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其他行政事业单位养老支出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2.69</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2.69</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210</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卫生健康支出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21011</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行政事业单位医疗</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11.67</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2101102</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事业单位医疗</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7.84</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7.84</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2101199</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其他行政事业单位医疗支出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3.83</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3.83</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交通运输支出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733.59</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210.80</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522.79</w:t>
            </w:r>
            <w:r>
              <w:rPr>
                <w:b/>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21401</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公路水路运输</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713.61</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210.80</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502.81</w:t>
            </w:r>
            <w:r>
              <w:rPr>
                <w:b/>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2140106</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公路养护</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518.28</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210.80</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307.48</w:t>
            </w: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2140111</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公路还贷专项</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195.33</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195.33</w:t>
            </w: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21406</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车辆购置税支出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19.98</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19.98</w:t>
            </w:r>
            <w:r>
              <w:rPr>
                <w:b/>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2140601</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车辆购置税用于公路等基础设施建设支出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19.98</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19.98</w:t>
            </w: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221</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住房保障支出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22102</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住房改革支出</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b/>
                <w:color w:val="000000"/>
                <w:sz w:val="20"/>
                <w:szCs w:val="20"/>
              </w:rPr>
              <w:t>11.76</w:t>
            </w:r>
            <w:r>
              <w:rPr>
                <w:b/>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82" w:hRule="atLeast"/>
        </w:trPr>
        <w:tc>
          <w:tcPr>
            <w:tcW w:w="572"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2210201</w:t>
            </w:r>
          </w:p>
        </w:tc>
        <w:tc>
          <w:tcPr>
            <w:tcW w:w="118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住房公积金</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11.76</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rFonts w:cs="宋体"/>
                <w:color w:val="000000"/>
                <w:sz w:val="20"/>
                <w:szCs w:val="20"/>
              </w:rPr>
              <w:t>11.76</w:t>
            </w:r>
            <w:r>
              <w:rPr>
                <w:color w:val="000000"/>
                <w:sz w:val="20"/>
                <w:u w:color="auto"/>
              </w:rPr>
              <w:t xml:space="preserve"> </w:t>
            </w:r>
          </w:p>
        </w:tc>
        <w:tc>
          <w:tcPr>
            <w:tcW w:w="5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color w:val="000000"/>
                <w:sz w:val="20"/>
                <w:szCs w:val="20"/>
              </w:rPr>
            </w:pPr>
            <w:r>
              <w:rPr>
                <w:color w:val="000000"/>
                <w:sz w:val="20"/>
                <w:u w:color="auto"/>
              </w:rPr>
              <w:t xml:space="preserve"> </w:t>
            </w:r>
          </w:p>
        </w:tc>
      </w:tr>
    </w:tbl>
    <w:p>
      <w:pPr>
        <w:rPr>
          <w:rFonts w:hint="default" w:cs="宋体"/>
          <w:sz w:val="20"/>
          <w:szCs w:val="20"/>
        </w:rPr>
      </w:pPr>
      <w:r>
        <w:rPr>
          <w:rFonts w:cs="宋体"/>
          <w:sz w:val="20"/>
          <w:szCs w:val="20"/>
        </w:rPr>
        <w:t>备注：1.本表反映单位本年度各项支出情况。</w:t>
      </w:r>
      <w:r>
        <w:rPr>
          <w:rFonts w:cs="宋体"/>
          <w:sz w:val="20"/>
          <w:szCs w:val="20"/>
        </w:rPr>
        <w:br w:type="textWrapping"/>
      </w:r>
      <w:r>
        <w:rPr>
          <w:rFonts w:cs="宋体"/>
          <w:sz w:val="20"/>
          <w:szCs w:val="20"/>
        </w:rPr>
        <w:t xml:space="preserve">      2.本套报表金额单位转换时可能存在尾数误差。</w:t>
      </w:r>
      <w:r>
        <w:rPr>
          <w:rFonts w:cs="宋体"/>
          <w:sz w:val="20"/>
          <w:szCs w:val="20"/>
        </w:rPr>
        <w:br w:type="textWrapping"/>
      </w:r>
      <w:r>
        <w:rPr>
          <w:rFonts w:cs="宋体"/>
          <w:sz w:val="20"/>
          <w:szCs w:val="20"/>
        </w:rPr>
        <w:br w:type="textWrapping"/>
      </w:r>
    </w:p>
    <w:p>
      <w:pPr>
        <w:rPr>
          <w:rFonts w:hint="default" w:cs="宋体"/>
          <w:sz w:val="21"/>
          <w:szCs w:val="21"/>
        </w:rPr>
      </w:pPr>
      <w:r>
        <w:rPr>
          <w:rFonts w:cs="宋体"/>
          <w:sz w:val="21"/>
          <w:szCs w:val="21"/>
        </w:rPr>
        <w:br w:type="page"/>
      </w:r>
    </w:p>
    <w:p>
      <w:pPr>
        <w:rPr>
          <w:rFonts w:hint="default" w:cs="宋体"/>
          <w:sz w:val="21"/>
          <w:szCs w:val="21"/>
        </w:rPr>
      </w:pPr>
    </w:p>
    <w:tbl>
      <w:tblPr>
        <w:tblStyle w:val="8"/>
        <w:tblW w:w="4790" w:type="pct"/>
        <w:tblInd w:w="0" w:type="dxa"/>
        <w:tblLayout w:type="autofit"/>
        <w:tblCellMar>
          <w:top w:w="0" w:type="dxa"/>
          <w:left w:w="0" w:type="dxa"/>
          <w:bottom w:w="0" w:type="dxa"/>
          <w:right w:w="0" w:type="dxa"/>
        </w:tblCellMar>
      </w:tblPr>
      <w:tblGrid>
        <w:gridCol w:w="2550"/>
        <w:gridCol w:w="532"/>
        <w:gridCol w:w="2730"/>
        <w:gridCol w:w="619"/>
        <w:gridCol w:w="628"/>
        <w:gridCol w:w="628"/>
        <w:gridCol w:w="1031"/>
      </w:tblGrid>
      <w:tr>
        <w:tblPrEx>
          <w:tblCellMar>
            <w:top w:w="0" w:type="dxa"/>
            <w:left w:w="0" w:type="dxa"/>
            <w:bottom w:w="0" w:type="dxa"/>
            <w:right w:w="0" w:type="dxa"/>
          </w:tblCellMar>
        </w:tblPrEx>
        <w:trPr>
          <w:trHeight w:val="90" w:hRule="atLeast"/>
        </w:trPr>
        <w:tc>
          <w:tcPr>
            <w:tcW w:w="5000" w:type="pct"/>
            <w:gridSpan w:val="7"/>
            <w:tcBorders>
              <w:top w:val="nil"/>
              <w:left w:val="nil"/>
              <w:bottom w:val="nil"/>
              <w:right w:val="nil"/>
            </w:tcBorders>
            <w:shd w:val="clear" w:color="auto" w:fill="auto"/>
            <w:noWrap/>
            <w:tcMar>
              <w:top w:w="15" w:type="dxa"/>
              <w:left w:w="15" w:type="dxa"/>
              <w:right w:w="15" w:type="dxa"/>
            </w:tcMar>
            <w:vAlign w:val="bottom"/>
          </w:tcPr>
          <w:p>
            <w:pPr>
              <w:spacing w:line="400" w:lineRule="exact"/>
              <w:jc w:val="center"/>
              <w:textAlignment w:val="bottom"/>
              <w:rPr>
                <w:rFonts w:hint="default" w:cs="宋体"/>
                <w:b/>
                <w:color w:val="000000"/>
                <w:sz w:val="32"/>
                <w:szCs w:val="32"/>
              </w:rPr>
            </w:pPr>
            <w:r>
              <w:rPr>
                <w:rFonts w:cs="宋体"/>
                <w:b/>
                <w:color w:val="000000"/>
                <w:sz w:val="32"/>
                <w:szCs w:val="32"/>
              </w:rPr>
              <w:t>财政拨款收入支出决算总表</w:t>
            </w:r>
          </w:p>
        </w:tc>
      </w:tr>
      <w:tr>
        <w:tblPrEx>
          <w:tblCellMar>
            <w:top w:w="0" w:type="dxa"/>
            <w:left w:w="0" w:type="dxa"/>
            <w:bottom w:w="0" w:type="dxa"/>
            <w:right w:w="0" w:type="dxa"/>
          </w:tblCellMar>
        </w:tblPrEx>
        <w:trPr>
          <w:trHeight w:val="90" w:hRule="atLeast"/>
        </w:trPr>
        <w:tc>
          <w:tcPr>
            <w:tcW w:w="2612" w:type="pct"/>
            <w:gridSpan w:val="3"/>
            <w:vMerge w:val="restart"/>
            <w:tcBorders>
              <w:top w:val="nil"/>
              <w:left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r>
              <w:rPr>
                <w:rFonts w:cs="宋体"/>
                <w:sz w:val="20"/>
                <w:szCs w:val="20"/>
              </w:rPr>
              <w:t>公开单位</w:t>
            </w:r>
            <w:r>
              <w:rPr>
                <w:rFonts w:cs="宋体"/>
                <w:color w:val="000000"/>
                <w:sz w:val="20"/>
                <w:szCs w:val="20"/>
              </w:rPr>
              <w:t xml:space="preserve">： </w:t>
            </w:r>
            <w:r>
              <w:rPr>
                <w:color w:val="000000"/>
                <w:sz w:val="20"/>
                <w:u w:color="auto"/>
              </w:rPr>
              <w:t>重庆市丰都县大桥管理事务中心</w:t>
            </w:r>
          </w:p>
        </w:tc>
        <w:tc>
          <w:tcPr>
            <w:tcW w:w="577"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657" w:type="pct"/>
            <w:tcBorders>
              <w:top w:val="nil"/>
              <w:left w:val="nil"/>
              <w:bottom w:val="nil"/>
              <w:right w:val="nil"/>
            </w:tcBorders>
            <w:shd w:val="clear" w:color="auto" w:fill="auto"/>
            <w:noWrap/>
            <w:tcMar>
              <w:top w:w="15" w:type="dxa"/>
              <w:left w:w="15" w:type="dxa"/>
              <w:right w:w="15" w:type="dxa"/>
            </w:tcMar>
            <w:vAlign w:val="bottom"/>
          </w:tcPr>
          <w:p>
            <w:pPr>
              <w:spacing w:line="240" w:lineRule="exact"/>
              <w:jc w:val="right"/>
              <w:textAlignment w:val="bottom"/>
              <w:rPr>
                <w:rFonts w:hint="default" w:cs="宋体"/>
                <w:color w:val="000000"/>
                <w:sz w:val="20"/>
                <w:szCs w:val="20"/>
              </w:rPr>
            </w:pPr>
            <w:r>
              <w:rPr>
                <w:rFonts w:cs="宋体"/>
                <w:color w:val="000000"/>
                <w:sz w:val="20"/>
                <w:szCs w:val="20"/>
              </w:rPr>
              <w:t>公开04表</w:t>
            </w:r>
          </w:p>
        </w:tc>
      </w:tr>
      <w:tr>
        <w:tblPrEx>
          <w:tblCellMar>
            <w:top w:w="0" w:type="dxa"/>
            <w:left w:w="0" w:type="dxa"/>
            <w:bottom w:w="0" w:type="dxa"/>
            <w:right w:w="0" w:type="dxa"/>
          </w:tblCellMar>
        </w:tblPrEx>
        <w:trPr>
          <w:trHeight w:val="90" w:hRule="atLeast"/>
        </w:trPr>
        <w:tc>
          <w:tcPr>
            <w:tcW w:w="2612" w:type="pct"/>
            <w:gridSpan w:val="3"/>
            <w:vMerge w:val="continue"/>
            <w:tcBorders>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657"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90" w:hRule="atLeast"/>
        </w:trPr>
        <w:tc>
          <w:tcPr>
            <w:tcW w:w="1529" w:type="pct"/>
            <w:gridSpan w:val="2"/>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收     入</w:t>
            </w:r>
          </w:p>
        </w:tc>
        <w:tc>
          <w:tcPr>
            <w:tcW w:w="3471" w:type="pct"/>
            <w:gridSpan w:val="5"/>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支     出</w:t>
            </w:r>
          </w:p>
        </w:tc>
      </w:tr>
      <w:tr>
        <w:tblPrEx>
          <w:tblCellMar>
            <w:top w:w="0" w:type="dxa"/>
            <w:left w:w="0" w:type="dxa"/>
            <w:bottom w:w="0" w:type="dxa"/>
            <w:right w:w="0" w:type="dxa"/>
          </w:tblCellMar>
        </w:tblPrEx>
        <w:trPr>
          <w:trHeight w:val="90" w:hRule="atLeast"/>
        </w:trPr>
        <w:tc>
          <w:tcPr>
            <w:tcW w:w="1011"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项目</w:t>
            </w:r>
          </w:p>
        </w:tc>
        <w:tc>
          <w:tcPr>
            <w:tcW w:w="518"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决算数</w:t>
            </w:r>
          </w:p>
        </w:tc>
        <w:tc>
          <w:tcPr>
            <w:tcW w:w="1083"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功能分类科目</w:t>
            </w:r>
          </w:p>
        </w:tc>
        <w:tc>
          <w:tcPr>
            <w:tcW w:w="2388" w:type="pct"/>
            <w:gridSpan w:val="4"/>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决算数</w:t>
            </w:r>
          </w:p>
        </w:tc>
      </w:tr>
      <w:tr>
        <w:tblPrEx>
          <w:tblCellMar>
            <w:top w:w="0" w:type="dxa"/>
            <w:left w:w="0" w:type="dxa"/>
            <w:bottom w:w="0" w:type="dxa"/>
            <w:right w:w="0" w:type="dxa"/>
          </w:tblCellMar>
        </w:tblPrEx>
        <w:trPr>
          <w:trHeight w:val="90" w:hRule="atLeast"/>
        </w:trPr>
        <w:tc>
          <w:tcPr>
            <w:tcW w:w="1011"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518"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1083"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小计</w:t>
            </w:r>
          </w:p>
        </w:tc>
        <w:tc>
          <w:tcPr>
            <w:tcW w:w="577" w:type="pc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一般公共预算财政拨款</w:t>
            </w:r>
          </w:p>
        </w:tc>
        <w:tc>
          <w:tcPr>
            <w:tcW w:w="577" w:type="pc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政府性基金预算财政拨款</w:t>
            </w:r>
          </w:p>
        </w:tc>
        <w:tc>
          <w:tcPr>
            <w:tcW w:w="657" w:type="pc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国有资本经营预算财政拨款</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一、一般公共预算财政拨款</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735.48</w:t>
            </w: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一、一般公共服务支出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二、政府性基金预算财政拨款</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二、外交支出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三、国有资本经营预算财政拨款</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三、国防支出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四、公共安全支出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五、教育支出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六、科学技术支出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七、文化旅游体育与传媒支出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八、社会保障和就业支出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31.08</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31.08</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九、卫生健康支出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11.67</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11.67</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十、节能环保支出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十一、城乡社区支出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十二、农林水支出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十三、交通运输支出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733.59</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733.59</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十四、资源勘探工业信息等支出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十五、商业服务业等支出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十六、金融支出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十七、援助其他地区支出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十八、自然资源海洋气象等支出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十九、住房保障支出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11.76</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11.76</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二十、粮油物资储备支出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二十一、国有资本经营预算支出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二十二、灾害防治及应急管理支出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二十三、其他支出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二十四、债务还本支出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二十五、债务付息支出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spacing w:line="200" w:lineRule="exact"/>
              <w:rPr>
                <w:rFonts w:hint="default" w:cs="宋体"/>
                <w:color w:val="000000"/>
                <w:sz w:val="18"/>
                <w:szCs w:val="18"/>
              </w:rPr>
            </w:pP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二十六、抗疫特别国债安排的支出</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本年收入合计</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735.48</w:t>
            </w: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本年支出合计</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788.09</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788.09</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年初财政拨款结转和结余</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56.31</w:t>
            </w: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年末财政拨款结转和结余</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3.69</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3.69</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一般公共预算财政拨款</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56.31</w:t>
            </w: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政府性基金预算财政拨款</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rPr>
                <w:rFonts w:hint="default" w:cs="宋体"/>
                <w:b/>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国有资本经营预算财政拨款</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rPr>
                <w:rFonts w:hint="default" w:cs="宋体"/>
                <w:b/>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r>
      <w:tr>
        <w:tblPrEx>
          <w:tblCellMar>
            <w:top w:w="0" w:type="dxa"/>
            <w:left w:w="0" w:type="dxa"/>
            <w:bottom w:w="0" w:type="dxa"/>
            <w:right w:w="0" w:type="dxa"/>
          </w:tblCellMar>
        </w:tblPrEx>
        <w:trPr>
          <w:trHeight w:val="90" w:hRule="atLeast"/>
        </w:trPr>
        <w:tc>
          <w:tcPr>
            <w:tcW w:w="1011"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总计</w:t>
            </w:r>
          </w:p>
        </w:tc>
        <w:tc>
          <w:tcPr>
            <w:tcW w:w="5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791.78</w:t>
            </w:r>
            <w:r>
              <w:rPr>
                <w:color w:val="000000"/>
                <w:sz w:val="18"/>
                <w:u w:color="auto"/>
              </w:rPr>
              <w:t xml:space="preserve"> </w:t>
            </w:r>
          </w:p>
        </w:tc>
        <w:tc>
          <w:tcPr>
            <w:tcW w:w="108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总计</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791.78</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791.78</w:t>
            </w:r>
            <w:r>
              <w:rPr>
                <w:color w:val="000000"/>
                <w:sz w:val="18"/>
                <w:u w:color="auto"/>
              </w:rPr>
              <w:t xml:space="preserve"> </w:t>
            </w:r>
          </w:p>
        </w:tc>
        <w:tc>
          <w:tcPr>
            <w:tcW w:w="5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bl>
    <w:p>
      <w:pPr>
        <w:spacing w:line="240" w:lineRule="exact"/>
        <w:rPr>
          <w:rFonts w:hint="default" w:cs="宋体"/>
          <w:sz w:val="20"/>
          <w:szCs w:val="20"/>
        </w:rPr>
      </w:pPr>
      <w:r>
        <w:rPr>
          <w:rFonts w:cs="宋体"/>
          <w:sz w:val="20"/>
          <w:szCs w:val="20"/>
        </w:rPr>
        <w:t>备注：1.本表反映单位本年度一般公共预算财政拨款、政府性基金预算财政拨款及国有资本经营预算财政拨款的总收支和年末结转结余情况。</w:t>
      </w:r>
      <w:r>
        <w:rPr>
          <w:rFonts w:cs="宋体"/>
          <w:sz w:val="20"/>
          <w:szCs w:val="20"/>
        </w:rPr>
        <w:br w:type="textWrapping"/>
      </w:r>
      <w:r>
        <w:rPr>
          <w:rFonts w:cs="宋体"/>
          <w:sz w:val="20"/>
          <w:szCs w:val="20"/>
        </w:rPr>
        <w:t xml:space="preserve">      2.本套报表金额单位转换时可能存在尾数误差。</w:t>
      </w:r>
      <w:r>
        <w:rPr>
          <w:rFonts w:cs="宋体"/>
          <w:sz w:val="20"/>
          <w:szCs w:val="20"/>
        </w:rPr>
        <w:br w:type="textWrapping"/>
      </w:r>
      <w:r>
        <w:rPr>
          <w:rFonts w:cs="宋体"/>
          <w:sz w:val="20"/>
          <w:szCs w:val="20"/>
        </w:rPr>
        <w:br w:type="textWrapping"/>
      </w:r>
      <w:r>
        <w:rPr>
          <w:rFonts w:cs="宋体"/>
          <w:sz w:val="21"/>
          <w:szCs w:val="21"/>
        </w:rPr>
        <w:br w:type="page"/>
      </w:r>
    </w:p>
    <w:tbl>
      <w:tblPr>
        <w:tblStyle w:val="8"/>
        <w:tblW w:w="5000" w:type="pct"/>
        <w:tblInd w:w="0" w:type="dxa"/>
        <w:tblLayout w:type="autofit"/>
        <w:tblCellMar>
          <w:top w:w="0" w:type="dxa"/>
          <w:left w:w="0" w:type="dxa"/>
          <w:bottom w:w="0" w:type="dxa"/>
          <w:right w:w="0" w:type="dxa"/>
        </w:tblCellMar>
      </w:tblPr>
      <w:tblGrid>
        <w:gridCol w:w="740"/>
        <w:gridCol w:w="3630"/>
        <w:gridCol w:w="1557"/>
        <w:gridCol w:w="1582"/>
        <w:gridCol w:w="1591"/>
      </w:tblGrid>
      <w:tr>
        <w:tblPrEx>
          <w:tblCellMar>
            <w:top w:w="0" w:type="dxa"/>
            <w:left w:w="0" w:type="dxa"/>
            <w:bottom w:w="0" w:type="dxa"/>
            <w:right w:w="0" w:type="dxa"/>
          </w:tblCellMar>
        </w:tblPrEx>
        <w:trPr>
          <w:trHeight w:val="510" w:hRule="atLeast"/>
        </w:trPr>
        <w:tc>
          <w:tcPr>
            <w:tcW w:w="5000" w:type="pct"/>
            <w:gridSpan w:val="5"/>
            <w:tcBorders>
              <w:top w:val="nil"/>
              <w:left w:val="nil"/>
              <w:bottom w:val="nil"/>
              <w:right w:val="nil"/>
            </w:tcBorders>
            <w:shd w:val="clear" w:color="auto" w:fill="auto"/>
            <w:noWrap/>
            <w:tcMar>
              <w:top w:w="15" w:type="dxa"/>
              <w:left w:w="15" w:type="dxa"/>
              <w:right w:w="15" w:type="dxa"/>
            </w:tcMar>
            <w:vAlign w:val="bottom"/>
          </w:tcPr>
          <w:p>
            <w:pPr>
              <w:jc w:val="center"/>
              <w:textAlignment w:val="bottom"/>
              <w:rPr>
                <w:rFonts w:hint="default" w:cs="宋体"/>
                <w:b/>
                <w:color w:val="000000"/>
                <w:sz w:val="32"/>
                <w:szCs w:val="32"/>
              </w:rPr>
            </w:pPr>
            <w:r>
              <w:rPr>
                <w:rFonts w:cs="宋体"/>
                <w:b/>
                <w:color w:val="000000"/>
                <w:sz w:val="32"/>
                <w:szCs w:val="32"/>
              </w:rPr>
              <w:t>一般公共预算财政拨款支出决算表</w:t>
            </w:r>
          </w:p>
        </w:tc>
      </w:tr>
      <w:tr>
        <w:tblPrEx>
          <w:tblCellMar>
            <w:top w:w="0" w:type="dxa"/>
            <w:left w:w="0" w:type="dxa"/>
            <w:bottom w:w="0" w:type="dxa"/>
            <w:right w:w="0" w:type="dxa"/>
          </w:tblCellMar>
        </w:tblPrEx>
        <w:trPr>
          <w:trHeight w:val="255" w:hRule="atLeast"/>
        </w:trPr>
        <w:tc>
          <w:tcPr>
            <w:tcW w:w="2837" w:type="pct"/>
            <w:gridSpan w:val="3"/>
            <w:vMerge w:val="restart"/>
            <w:tcBorders>
              <w:top w:val="nil"/>
              <w:left w:val="nil"/>
              <w:right w:val="nil"/>
            </w:tcBorders>
            <w:shd w:val="clear" w:color="auto" w:fill="auto"/>
            <w:noWrap/>
            <w:tcMar>
              <w:top w:w="15" w:type="dxa"/>
              <w:left w:w="15" w:type="dxa"/>
              <w:right w:w="15" w:type="dxa"/>
            </w:tcMar>
            <w:vAlign w:val="bottom"/>
          </w:tcPr>
          <w:p>
            <w:pPr>
              <w:rPr>
                <w:rFonts w:hint="default" w:cs="宋体"/>
                <w:color w:val="000000"/>
                <w:sz w:val="20"/>
                <w:szCs w:val="20"/>
              </w:rPr>
            </w:pPr>
            <w:r>
              <w:rPr>
                <w:rFonts w:cs="宋体"/>
                <w:sz w:val="20"/>
                <w:szCs w:val="20"/>
              </w:rPr>
              <w:t>公开单位</w:t>
            </w:r>
            <w:r>
              <w:rPr>
                <w:rFonts w:cs="宋体"/>
                <w:color w:val="000000"/>
                <w:sz w:val="20"/>
                <w:szCs w:val="20"/>
              </w:rPr>
              <w:t xml:space="preserve">： </w:t>
            </w:r>
            <w:r>
              <w:rPr>
                <w:color w:val="000000"/>
                <w:sz w:val="20"/>
                <w:u w:color="auto"/>
              </w:rPr>
              <w:t>重庆市丰都县大桥管理事务中心</w:t>
            </w:r>
          </w:p>
        </w:tc>
        <w:tc>
          <w:tcPr>
            <w:tcW w:w="1079"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1084"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公开05表</w:t>
            </w:r>
          </w:p>
        </w:tc>
      </w:tr>
      <w:tr>
        <w:tblPrEx>
          <w:tblCellMar>
            <w:top w:w="0" w:type="dxa"/>
            <w:left w:w="0" w:type="dxa"/>
            <w:bottom w:w="0" w:type="dxa"/>
            <w:right w:w="0" w:type="dxa"/>
          </w:tblCellMar>
        </w:tblPrEx>
        <w:trPr>
          <w:trHeight w:val="285" w:hRule="atLeast"/>
        </w:trPr>
        <w:tc>
          <w:tcPr>
            <w:tcW w:w="2837" w:type="pct"/>
            <w:gridSpan w:val="3"/>
            <w:vMerge w:val="continue"/>
            <w:tcBorders>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1079"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1084"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308" w:hRule="atLeast"/>
        </w:trPr>
        <w:tc>
          <w:tcPr>
            <w:tcW w:w="1758" w:type="pct"/>
            <w:gridSpan w:val="2"/>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w:t>
            </w:r>
          </w:p>
        </w:tc>
        <w:tc>
          <w:tcPr>
            <w:tcW w:w="3242" w:type="pct"/>
            <w:gridSpan w:val="3"/>
            <w:tcBorders>
              <w:top w:val="single" w:color="000000" w:sz="4" w:space="0"/>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本年支出</w:t>
            </w:r>
          </w:p>
        </w:tc>
      </w:tr>
      <w:tr>
        <w:tblPrEx>
          <w:tblCellMar>
            <w:top w:w="0" w:type="dxa"/>
            <w:left w:w="0" w:type="dxa"/>
            <w:bottom w:w="0" w:type="dxa"/>
            <w:right w:w="0" w:type="dxa"/>
          </w:tblCellMar>
        </w:tblPrEx>
        <w:trPr>
          <w:trHeight w:val="326" w:hRule="atLeast"/>
        </w:trPr>
        <w:tc>
          <w:tcPr>
            <w:tcW w:w="604" w:type="pct"/>
            <w:vMerge w:val="restart"/>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功能分类科目编码</w:t>
            </w:r>
          </w:p>
        </w:tc>
        <w:tc>
          <w:tcPr>
            <w:tcW w:w="1154"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项目（按“项”级功能分类科目）</w:t>
            </w:r>
          </w:p>
        </w:tc>
        <w:tc>
          <w:tcPr>
            <w:tcW w:w="1079"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1079"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基本支出</w:t>
            </w:r>
          </w:p>
        </w:tc>
        <w:tc>
          <w:tcPr>
            <w:tcW w:w="1084"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项目支出</w:t>
            </w:r>
          </w:p>
        </w:tc>
      </w:tr>
      <w:tr>
        <w:tblPrEx>
          <w:tblCellMar>
            <w:top w:w="0" w:type="dxa"/>
            <w:left w:w="0" w:type="dxa"/>
            <w:bottom w:w="0" w:type="dxa"/>
            <w:right w:w="0" w:type="dxa"/>
          </w:tblCellMar>
        </w:tblPrEx>
        <w:trPr>
          <w:trHeight w:val="326" w:hRule="atLeast"/>
        </w:trPr>
        <w:tc>
          <w:tcPr>
            <w:tcW w:w="604"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54"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79"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79"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84"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615" w:hRule="atLeast"/>
        </w:trPr>
        <w:tc>
          <w:tcPr>
            <w:tcW w:w="604"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54"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79"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79"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84"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08" w:hRule="atLeast"/>
        </w:trPr>
        <w:tc>
          <w:tcPr>
            <w:tcW w:w="1758" w:type="pct"/>
            <w:gridSpan w:val="2"/>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788.09</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265.30</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bCs/>
                <w:color w:val="000000"/>
                <w:sz w:val="20"/>
                <w:szCs w:val="20"/>
              </w:rPr>
              <w:t>522.79</w:t>
            </w:r>
            <w:r>
              <w:rPr>
                <w:b/>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208</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社会保障和就业支出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31.08</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31.08</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20805</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行政事业单位养老支出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31.08</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31.08</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2080505</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机关事业单位基本养老保险缴费支出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15.67</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15.67</w:t>
            </w: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2080506</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机关事业单位职业年金缴费支出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12.71</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12.71</w:t>
            </w: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2080599</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其他行政事业单位养老支出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2.69</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2.69</w:t>
            </w: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210</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卫生健康支出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11.67</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11.67</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21011</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行政事业单位医疗</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11.67</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11.67</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2101102</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事业单位医疗</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7.84</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7.84</w:t>
            </w: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2101199</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其他行政事业单位医疗支出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3.83</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3.83</w:t>
            </w: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交通运输支出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733.59</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210.80</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522.79</w:t>
            </w:r>
            <w:r>
              <w:rPr>
                <w:b/>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21401</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公路水路运输</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713.61</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210.80</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502.81</w:t>
            </w:r>
            <w:r>
              <w:rPr>
                <w:b/>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2140106</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公路养护</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518.28</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210.80</w:t>
            </w: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307.48</w:t>
            </w: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2140111</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公路还贷专项</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195.33</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195.33</w:t>
            </w: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21406</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车辆购置税支出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19.98</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19.98</w:t>
            </w:r>
            <w:r>
              <w:rPr>
                <w:b/>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2140601</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车辆购置税用于公路等基础设施建设支出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19.98</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19.98</w:t>
            </w: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221</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住房保障支出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11.76</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11.76</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22102</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b/>
                <w:color w:val="000000"/>
                <w:sz w:val="20"/>
                <w:szCs w:val="20"/>
              </w:rPr>
              <w:t>住房改革支出</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11.76</w:t>
            </w:r>
            <w:r>
              <w:rPr>
                <w:b/>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b/>
                <w:color w:val="000000"/>
                <w:sz w:val="20"/>
                <w:szCs w:val="20"/>
              </w:rPr>
              <w:t>11.76</w:t>
            </w:r>
            <w:r>
              <w:rPr>
                <w:b/>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r>
        <w:tblPrEx>
          <w:tblCellMar>
            <w:top w:w="0" w:type="dxa"/>
            <w:left w:w="0" w:type="dxa"/>
            <w:bottom w:w="0" w:type="dxa"/>
            <w:right w:w="0" w:type="dxa"/>
          </w:tblCellMar>
        </w:tblPrEx>
        <w:trPr>
          <w:trHeight w:val="308" w:hRule="atLeast"/>
        </w:trPr>
        <w:tc>
          <w:tcPr>
            <w:tcW w:w="604"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2210201</w:t>
            </w:r>
          </w:p>
        </w:tc>
        <w:tc>
          <w:tcPr>
            <w:tcW w:w="115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textAlignment w:val="center"/>
              <w:rPr>
                <w:rFonts w:hint="default" w:cs="宋体"/>
                <w:color w:val="000000"/>
                <w:sz w:val="20"/>
                <w:szCs w:val="20"/>
              </w:rPr>
            </w:pPr>
            <w:r>
              <w:rPr>
                <w:rFonts w:cs="宋体"/>
                <w:color w:val="000000"/>
                <w:sz w:val="20"/>
                <w:szCs w:val="20"/>
              </w:rPr>
              <w:t>住房公积金</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11.76</w:t>
            </w:r>
            <w:r>
              <w:rPr>
                <w:color w:val="000000"/>
                <w:sz w:val="20"/>
                <w:u w:color="auto"/>
              </w:rPr>
              <w:t xml:space="preserve"> </w:t>
            </w:r>
          </w:p>
        </w:tc>
        <w:tc>
          <w:tcPr>
            <w:tcW w:w="1079"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rFonts w:cs="宋体"/>
                <w:color w:val="000000"/>
                <w:sz w:val="20"/>
                <w:szCs w:val="20"/>
              </w:rPr>
              <w:t>11.76</w:t>
            </w:r>
            <w:r>
              <w:rPr>
                <w:color w:val="000000"/>
                <w:sz w:val="20"/>
                <w:u w:color="auto"/>
              </w:rPr>
              <w:t xml:space="preserve"> </w:t>
            </w:r>
          </w:p>
        </w:tc>
        <w:tc>
          <w:tcPr>
            <w:tcW w:w="1084"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color w:val="000000"/>
                <w:sz w:val="20"/>
                <w:u w:color="auto"/>
              </w:rPr>
              <w:t xml:space="preserve"> </w:t>
            </w:r>
          </w:p>
        </w:tc>
      </w:tr>
    </w:tbl>
    <w:p>
      <w:pPr>
        <w:rPr>
          <w:rFonts w:hint="default" w:cs="宋体"/>
          <w:sz w:val="21"/>
          <w:szCs w:val="21"/>
        </w:rPr>
      </w:pPr>
      <w:r>
        <w:rPr>
          <w:rFonts w:cs="宋体"/>
          <w:sz w:val="20"/>
          <w:szCs w:val="20"/>
        </w:rPr>
        <w:t>备注：1.本表反映单位本年度一般公共预算财政拨款支出情况。</w:t>
      </w:r>
      <w:r>
        <w:rPr>
          <w:rFonts w:cs="宋体"/>
          <w:sz w:val="20"/>
          <w:szCs w:val="20"/>
        </w:rPr>
        <w:br w:type="textWrapping"/>
      </w:r>
      <w:r>
        <w:rPr>
          <w:rFonts w:cs="宋体"/>
          <w:sz w:val="20"/>
          <w:szCs w:val="20"/>
        </w:rPr>
        <w:t xml:space="preserve">      2.本套报表金额单位转换时可能存在尾数误差。</w:t>
      </w:r>
      <w:r>
        <w:rPr>
          <w:rFonts w:cs="宋体"/>
          <w:sz w:val="20"/>
          <w:szCs w:val="20"/>
        </w:rPr>
        <w:br w:type="textWrapping"/>
      </w:r>
    </w:p>
    <w:p>
      <w:pPr>
        <w:ind w:firstLine="630" w:firstLineChars="300"/>
        <w:rPr>
          <w:rFonts w:hint="default" w:cs="宋体"/>
          <w:sz w:val="21"/>
          <w:szCs w:val="21"/>
        </w:rPr>
      </w:pPr>
      <w:r>
        <w:rPr>
          <w:rFonts w:cs="宋体"/>
          <w:sz w:val="21"/>
          <w:szCs w:val="21"/>
        </w:rPr>
        <w:br w:type="page"/>
      </w:r>
    </w:p>
    <w:tbl>
      <w:tblPr>
        <w:tblStyle w:val="8"/>
        <w:tblW w:w="4994" w:type="pct"/>
        <w:tblInd w:w="0" w:type="dxa"/>
        <w:tblLayout w:type="fixed"/>
        <w:tblCellMar>
          <w:top w:w="0" w:type="dxa"/>
          <w:left w:w="0" w:type="dxa"/>
          <w:bottom w:w="0" w:type="dxa"/>
          <w:right w:w="0" w:type="dxa"/>
        </w:tblCellMar>
      </w:tblPr>
      <w:tblGrid>
        <w:gridCol w:w="358"/>
        <w:gridCol w:w="1621"/>
        <w:gridCol w:w="814"/>
        <w:gridCol w:w="495"/>
        <w:gridCol w:w="1138"/>
        <w:gridCol w:w="980"/>
        <w:gridCol w:w="478"/>
        <w:gridCol w:w="2087"/>
        <w:gridCol w:w="1118"/>
      </w:tblGrid>
      <w:tr>
        <w:tblPrEx>
          <w:tblCellMar>
            <w:top w:w="0" w:type="dxa"/>
            <w:left w:w="0" w:type="dxa"/>
            <w:bottom w:w="0" w:type="dxa"/>
            <w:right w:w="0" w:type="dxa"/>
          </w:tblCellMar>
        </w:tblPrEx>
        <w:trPr>
          <w:trHeight w:val="90" w:hRule="atLeast"/>
        </w:trPr>
        <w:tc>
          <w:tcPr>
            <w:tcW w:w="5000" w:type="pct"/>
            <w:gridSpan w:val="9"/>
            <w:tcBorders>
              <w:top w:val="nil"/>
              <w:left w:val="nil"/>
              <w:bottom w:val="nil"/>
              <w:right w:val="nil"/>
            </w:tcBorders>
            <w:shd w:val="clear" w:color="auto" w:fill="auto"/>
            <w:noWrap/>
            <w:tcMar>
              <w:top w:w="15" w:type="dxa"/>
              <w:left w:w="15" w:type="dxa"/>
              <w:right w:w="15" w:type="dxa"/>
            </w:tcMar>
            <w:vAlign w:val="bottom"/>
          </w:tcPr>
          <w:p>
            <w:pPr>
              <w:spacing w:line="440" w:lineRule="exact"/>
              <w:jc w:val="center"/>
              <w:textAlignment w:val="bottom"/>
              <w:rPr>
                <w:rFonts w:hint="default" w:cs="宋体"/>
                <w:b/>
                <w:color w:val="000000"/>
                <w:sz w:val="32"/>
                <w:szCs w:val="32"/>
              </w:rPr>
            </w:pPr>
            <w:r>
              <w:rPr>
                <w:rFonts w:cs="宋体"/>
                <w:b/>
                <w:color w:val="000000"/>
                <w:sz w:val="32"/>
                <w:szCs w:val="32"/>
              </w:rPr>
              <w:t>一般公共预算财政拨款基本支出决算表</w:t>
            </w:r>
          </w:p>
        </w:tc>
      </w:tr>
      <w:tr>
        <w:tblPrEx>
          <w:tblCellMar>
            <w:top w:w="0" w:type="dxa"/>
            <w:left w:w="0" w:type="dxa"/>
            <w:bottom w:w="0" w:type="dxa"/>
            <w:right w:w="0" w:type="dxa"/>
          </w:tblCellMar>
        </w:tblPrEx>
        <w:trPr>
          <w:trHeight w:val="90" w:hRule="atLeast"/>
        </w:trPr>
        <w:tc>
          <w:tcPr>
            <w:tcW w:w="1809" w:type="pct"/>
            <w:gridSpan w:val="4"/>
            <w:vMerge w:val="restart"/>
            <w:tcBorders>
              <w:top w:val="nil"/>
              <w:left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r>
              <w:rPr>
                <w:rFonts w:cs="宋体"/>
                <w:sz w:val="20"/>
                <w:szCs w:val="20"/>
              </w:rPr>
              <w:t>公开单位</w:t>
            </w:r>
            <w:r>
              <w:rPr>
                <w:rFonts w:cs="宋体"/>
                <w:color w:val="000000"/>
                <w:sz w:val="20"/>
                <w:szCs w:val="20"/>
              </w:rPr>
              <w:t xml:space="preserve">： </w:t>
            </w:r>
            <w:r>
              <w:rPr>
                <w:color w:val="000000"/>
                <w:sz w:val="20"/>
                <w:u w:color="auto"/>
              </w:rPr>
              <w:t>重庆市丰都县大桥管理事务中心</w:t>
            </w:r>
          </w:p>
        </w:tc>
        <w:tc>
          <w:tcPr>
            <w:tcW w:w="626"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39"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63"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148"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615"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right"/>
              <w:textAlignment w:val="bottom"/>
              <w:rPr>
                <w:rFonts w:hint="default" w:cs="宋体"/>
                <w:color w:val="000000"/>
                <w:sz w:val="20"/>
                <w:szCs w:val="20"/>
              </w:rPr>
            </w:pPr>
            <w:r>
              <w:rPr>
                <w:rFonts w:cs="宋体"/>
                <w:color w:val="000000"/>
                <w:sz w:val="20"/>
                <w:szCs w:val="20"/>
              </w:rPr>
              <w:t>公开06表</w:t>
            </w:r>
          </w:p>
        </w:tc>
      </w:tr>
      <w:tr>
        <w:tblPrEx>
          <w:tblCellMar>
            <w:top w:w="0" w:type="dxa"/>
            <w:left w:w="0" w:type="dxa"/>
            <w:bottom w:w="0" w:type="dxa"/>
            <w:right w:w="0" w:type="dxa"/>
          </w:tblCellMar>
        </w:tblPrEx>
        <w:trPr>
          <w:trHeight w:val="90" w:hRule="atLeast"/>
        </w:trPr>
        <w:tc>
          <w:tcPr>
            <w:tcW w:w="1809" w:type="pct"/>
            <w:gridSpan w:val="4"/>
            <w:vMerge w:val="continue"/>
            <w:tcBorders>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626"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539"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63"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1148" w:type="pct"/>
            <w:tcBorders>
              <w:top w:val="nil"/>
              <w:left w:val="nil"/>
              <w:bottom w:val="nil"/>
              <w:right w:val="nil"/>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615"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90" w:hRule="atLeast"/>
        </w:trPr>
        <w:tc>
          <w:tcPr>
            <w:tcW w:w="1537" w:type="pct"/>
            <w:gridSpan w:val="3"/>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人员经费</w:t>
            </w:r>
          </w:p>
        </w:tc>
        <w:tc>
          <w:tcPr>
            <w:tcW w:w="3463" w:type="pct"/>
            <w:gridSpan w:val="6"/>
            <w:tcBorders>
              <w:top w:val="single" w:color="000000" w:sz="4" w:space="0"/>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公用经费</w:t>
            </w:r>
          </w:p>
        </w:tc>
      </w:tr>
      <w:tr>
        <w:tblPrEx>
          <w:tblCellMar>
            <w:top w:w="0" w:type="dxa"/>
            <w:left w:w="0" w:type="dxa"/>
            <w:bottom w:w="0" w:type="dxa"/>
            <w:right w:w="0" w:type="dxa"/>
          </w:tblCellMar>
        </w:tblPrEx>
        <w:trPr>
          <w:trHeight w:val="312" w:hRule="atLeast"/>
        </w:trPr>
        <w:tc>
          <w:tcPr>
            <w:tcW w:w="197" w:type="pct"/>
            <w:vMerge w:val="restart"/>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经济分类科目编码</w:t>
            </w:r>
          </w:p>
        </w:tc>
        <w:tc>
          <w:tcPr>
            <w:tcW w:w="892"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经济分类科目（按“款”级</w:t>
            </w:r>
            <w:r>
              <w:rPr>
                <w:rFonts w:hint="eastAsia" w:cs="宋体"/>
                <w:b/>
                <w:color w:val="000000"/>
                <w:sz w:val="18"/>
                <w:szCs w:val="18"/>
                <w:lang w:eastAsia="zh-CN"/>
              </w:rPr>
              <w:t>经济</w:t>
            </w:r>
            <w:r>
              <w:rPr>
                <w:rFonts w:cs="宋体"/>
                <w:b/>
                <w:color w:val="000000"/>
                <w:sz w:val="18"/>
                <w:szCs w:val="18"/>
              </w:rPr>
              <w:t>分类科目）</w:t>
            </w:r>
          </w:p>
        </w:tc>
        <w:tc>
          <w:tcPr>
            <w:tcW w:w="448"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金额</w:t>
            </w:r>
          </w:p>
        </w:tc>
        <w:tc>
          <w:tcPr>
            <w:tcW w:w="272" w:type="pct"/>
            <w:vMerge w:val="restart"/>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经济分类科目编码</w:t>
            </w:r>
          </w:p>
        </w:tc>
        <w:tc>
          <w:tcPr>
            <w:tcW w:w="626"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highlight w:val="none"/>
              </w:rPr>
              <w:t>经济分类科目（按“款”级</w:t>
            </w:r>
            <w:r>
              <w:rPr>
                <w:rFonts w:hint="eastAsia" w:cs="宋体"/>
                <w:b/>
                <w:color w:val="000000"/>
                <w:sz w:val="18"/>
                <w:szCs w:val="18"/>
                <w:highlight w:val="none"/>
                <w:lang w:val="en-US" w:eastAsia="zh-CN"/>
              </w:rPr>
              <w:t>经济</w:t>
            </w:r>
            <w:r>
              <w:rPr>
                <w:rFonts w:cs="宋体"/>
                <w:b/>
                <w:color w:val="000000"/>
                <w:sz w:val="18"/>
                <w:szCs w:val="18"/>
                <w:highlight w:val="none"/>
              </w:rPr>
              <w:t>分类科目）</w:t>
            </w:r>
          </w:p>
        </w:tc>
        <w:tc>
          <w:tcPr>
            <w:tcW w:w="539"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金额</w:t>
            </w:r>
          </w:p>
        </w:tc>
        <w:tc>
          <w:tcPr>
            <w:tcW w:w="263" w:type="pct"/>
            <w:vMerge w:val="restart"/>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经济分类科目编码</w:t>
            </w:r>
          </w:p>
        </w:tc>
        <w:tc>
          <w:tcPr>
            <w:tcW w:w="1148"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highlight w:val="none"/>
              </w:rPr>
              <w:t>经济分类科目（按“款”级</w:t>
            </w:r>
            <w:r>
              <w:rPr>
                <w:rFonts w:hint="eastAsia" w:cs="宋体"/>
                <w:b/>
                <w:color w:val="000000"/>
                <w:sz w:val="18"/>
                <w:szCs w:val="18"/>
                <w:highlight w:val="none"/>
                <w:lang w:val="en-US" w:eastAsia="zh-CN"/>
              </w:rPr>
              <w:t>经济</w:t>
            </w:r>
            <w:r>
              <w:rPr>
                <w:rFonts w:cs="宋体"/>
                <w:b/>
                <w:color w:val="000000"/>
                <w:sz w:val="18"/>
                <w:szCs w:val="18"/>
                <w:highlight w:val="none"/>
              </w:rPr>
              <w:t>分类科目）</w:t>
            </w:r>
          </w:p>
        </w:tc>
        <w:tc>
          <w:tcPr>
            <w:tcW w:w="615"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金额</w:t>
            </w:r>
          </w:p>
        </w:tc>
      </w:tr>
      <w:tr>
        <w:tblPrEx>
          <w:tblCellMar>
            <w:top w:w="0" w:type="dxa"/>
            <w:left w:w="0" w:type="dxa"/>
            <w:bottom w:w="0" w:type="dxa"/>
            <w:right w:w="0" w:type="dxa"/>
          </w:tblCellMar>
        </w:tblPrEx>
        <w:trPr>
          <w:trHeight w:val="312" w:hRule="atLeast"/>
        </w:trPr>
        <w:tc>
          <w:tcPr>
            <w:tcW w:w="197"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892"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448"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272"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626"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539"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263"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1148"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c>
          <w:tcPr>
            <w:tcW w:w="61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spacing w:line="200" w:lineRule="exact"/>
              <w:jc w:val="center"/>
              <w:rPr>
                <w:rFonts w:hint="default" w:cs="宋体"/>
                <w:b/>
                <w:color w:val="000000"/>
                <w:sz w:val="18"/>
                <w:szCs w:val="18"/>
              </w:rPr>
            </w:pP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工资福利支出</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227.57</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商品和服务支出</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30.67</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资本性支出</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30101</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基本工资</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57.23</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30201</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办公费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6.04</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31001</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房屋建筑物购建</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30102</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津贴补贴</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0.17</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30202</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印刷费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31002</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办公设备购置</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30103</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奖金</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30203</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咨询费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31003</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专用设备购置</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30106</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伙食补助费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30204</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手续费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31005</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基础设施建设</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30107</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绩效工资</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117.03</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30205</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水费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0.34</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31006</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大型修缮</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30108</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机关事业单位基本养老保险缴费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15.67</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30206</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电费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1.40</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31007</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信息网络及软件购置更新</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30109</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职业年金缴费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12.71</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30207</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邮电费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4.38</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31008</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物资储备</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30110</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职工基本医疗保险缴费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7.84</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30208</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取暖费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31009</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土地补偿</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30111</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公务员医疗补助缴费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30209</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物业管理费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31010</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安置补助</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30112</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其他社会保障缴费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3.89</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30211</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差旅费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1.56</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31011</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地上附着物和青苗补偿</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30113</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住房公积金</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11.76</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30212</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因公出国（境）费用</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31012</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拆迁补偿</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30114</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医疗费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1.28</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30213</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维修（护）费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0.06</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31013</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公务用车购置</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30199</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其他工资福利支出</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30214</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租赁费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31019</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其他交通工具购置</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对个人和家庭的补助</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7.05</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30215</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会议费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31021</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文物和陈列品购置</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30301</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离休费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30216</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培训费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0.50</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31022</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无形资产购置</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30302</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退休费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30217</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公务接待费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31099</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其他资本性支出</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30303</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退职（役）费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30218</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专用材料费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312</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对企业补助</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30304</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抚恤金</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30224</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被装购置费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31201</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资本金注入</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30305</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生活补助</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4.16</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30225</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专用燃料费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31203</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政府投资基金股权投资</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30306</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救济费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30226</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劳务费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4.42</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31204</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费用补贴</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30307</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医疗费补助</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0.20</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30227</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委托业务费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0.08</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31205</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利息补贴</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30308</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助学金</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30228</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工会经费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6.64</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31299</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其他对企业补助</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30309</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奖励金</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2.69</w:t>
            </w: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30229</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福利费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0.16</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399</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其他支出</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30310</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个人农业生产补贴</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30231</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公务用车运行维护费</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1.85</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39907</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国家赔偿费用支出</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30311</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代缴社会保险费</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30239</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其他交通费用</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0.19</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39908</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对民间非营利组织和群众性自治组织补贴</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30399</w:t>
            </w: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其他对个人和家庭的补助</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30240</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税金及附加费用</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0.04</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39909</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经常性赠与</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30299</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其他商品和服务支出</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3.00</w:t>
            </w: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39910</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资本性赠与</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307</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债务利息及费用支出</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39999</w:t>
            </w: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其他支出</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30701</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国内债务付息</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30702</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国外债务付息</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30703</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国内债务发行费用</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r>
      <w:tr>
        <w:tblPrEx>
          <w:tblCellMar>
            <w:top w:w="0" w:type="dxa"/>
            <w:left w:w="0" w:type="dxa"/>
            <w:bottom w:w="0" w:type="dxa"/>
            <w:right w:w="0" w:type="dxa"/>
          </w:tblCellMar>
        </w:tblPrEx>
        <w:trPr>
          <w:trHeight w:val="90" w:hRule="atLeast"/>
        </w:trPr>
        <w:tc>
          <w:tcPr>
            <w:tcW w:w="197"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89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spacing w:line="200" w:lineRule="exact"/>
              <w:rPr>
                <w:rFonts w:hint="default" w:cs="宋体"/>
                <w:color w:val="000000"/>
                <w:sz w:val="18"/>
                <w:szCs w:val="18"/>
              </w:rPr>
            </w:pPr>
          </w:p>
        </w:tc>
        <w:tc>
          <w:tcPr>
            <w:tcW w:w="272"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30704</w:t>
            </w:r>
          </w:p>
        </w:tc>
        <w:tc>
          <w:tcPr>
            <w:tcW w:w="626"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8"/>
                <w:szCs w:val="18"/>
              </w:rPr>
            </w:pPr>
            <w:r>
              <w:rPr>
                <w:rFonts w:cs="宋体"/>
                <w:color w:val="000000"/>
                <w:sz w:val="18"/>
                <w:szCs w:val="18"/>
              </w:rPr>
              <w:t xml:space="preserve">  国外债务发行费用</w:t>
            </w:r>
          </w:p>
        </w:tc>
        <w:tc>
          <w:tcPr>
            <w:tcW w:w="5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color w:val="000000"/>
                <w:sz w:val="18"/>
                <w:u w:color="auto"/>
              </w:rPr>
              <w:t xml:space="preserve"> </w:t>
            </w:r>
          </w:p>
        </w:tc>
        <w:tc>
          <w:tcPr>
            <w:tcW w:w="263"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1148" w:type="pct"/>
            <w:tcBorders>
              <w:top w:val="single" w:color="000000" w:sz="4" w:space="0"/>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rPr>
                <w:rFonts w:hint="default" w:cs="宋体"/>
                <w:color w:val="000000"/>
                <w:sz w:val="18"/>
                <w:szCs w:val="18"/>
              </w:rPr>
            </w:pP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pacing w:line="200" w:lineRule="exact"/>
              <w:jc w:val="right"/>
              <w:rPr>
                <w:rFonts w:hint="default" w:cs="宋体"/>
                <w:color w:val="000000"/>
                <w:sz w:val="18"/>
                <w:szCs w:val="18"/>
              </w:rPr>
            </w:pPr>
          </w:p>
        </w:tc>
      </w:tr>
      <w:tr>
        <w:tblPrEx>
          <w:tblCellMar>
            <w:top w:w="0" w:type="dxa"/>
            <w:left w:w="0" w:type="dxa"/>
            <w:bottom w:w="0" w:type="dxa"/>
            <w:right w:w="0" w:type="dxa"/>
          </w:tblCellMar>
        </w:tblPrEx>
        <w:trPr>
          <w:trHeight w:val="90" w:hRule="atLeast"/>
        </w:trPr>
        <w:tc>
          <w:tcPr>
            <w:tcW w:w="1089" w:type="pct"/>
            <w:gridSpan w:val="2"/>
            <w:tcBorders>
              <w:top w:val="nil"/>
              <w:left w:val="single" w:color="000000" w:sz="4" w:space="0"/>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人员经费合计</w:t>
            </w:r>
          </w:p>
        </w:tc>
        <w:tc>
          <w:tcPr>
            <w:tcW w:w="448" w:type="pct"/>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wordWrap w:val="0"/>
              <w:spacing w:line="200" w:lineRule="exact"/>
              <w:jc w:val="right"/>
              <w:textAlignment w:val="bottom"/>
              <w:rPr>
                <w:rFonts w:hint="default" w:cs="宋体"/>
                <w:color w:val="000000"/>
                <w:sz w:val="18"/>
                <w:szCs w:val="18"/>
              </w:rPr>
            </w:pPr>
            <w:r>
              <w:rPr>
                <w:rFonts w:cs="宋体"/>
                <w:color w:val="000000"/>
                <w:sz w:val="18"/>
                <w:szCs w:val="18"/>
              </w:rPr>
              <w:t>234.63</w:t>
            </w:r>
            <w:r>
              <w:rPr>
                <w:color w:val="000000"/>
                <w:sz w:val="18"/>
                <w:u w:color="auto"/>
              </w:rPr>
              <w:t xml:space="preserve"> </w:t>
            </w:r>
          </w:p>
        </w:tc>
        <w:tc>
          <w:tcPr>
            <w:tcW w:w="2848" w:type="pct"/>
            <w:gridSpan w:val="5"/>
            <w:tcBorders>
              <w:top w:val="nil"/>
              <w:left w:val="nil"/>
              <w:bottom w:val="single" w:color="000000" w:sz="4" w:space="0"/>
              <w:right w:val="single" w:color="000000"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8"/>
                <w:szCs w:val="18"/>
              </w:rPr>
            </w:pPr>
            <w:r>
              <w:rPr>
                <w:rFonts w:cs="宋体"/>
                <w:b/>
                <w:color w:val="000000"/>
                <w:sz w:val="18"/>
                <w:szCs w:val="18"/>
              </w:rPr>
              <w:t>公用经费合计</w:t>
            </w:r>
          </w:p>
        </w:tc>
        <w:tc>
          <w:tcPr>
            <w:tcW w:w="61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spacing w:line="200" w:lineRule="exact"/>
              <w:jc w:val="right"/>
              <w:textAlignment w:val="center"/>
              <w:rPr>
                <w:rFonts w:hint="default" w:cs="宋体"/>
                <w:color w:val="000000"/>
                <w:sz w:val="18"/>
                <w:szCs w:val="18"/>
              </w:rPr>
            </w:pPr>
            <w:r>
              <w:rPr>
                <w:rFonts w:cs="宋体"/>
                <w:color w:val="000000"/>
                <w:sz w:val="18"/>
                <w:szCs w:val="18"/>
              </w:rPr>
              <w:t>30.67</w:t>
            </w:r>
            <w:r>
              <w:rPr>
                <w:color w:val="000000"/>
                <w:sz w:val="18"/>
                <w:u w:color="auto"/>
              </w:rPr>
              <w:t xml:space="preserve"> </w:t>
            </w:r>
          </w:p>
        </w:tc>
      </w:tr>
    </w:tbl>
    <w:p>
      <w:pPr>
        <w:spacing w:line="280" w:lineRule="exact"/>
        <w:rPr>
          <w:rFonts w:hint="default" w:cs="宋体"/>
          <w:sz w:val="20"/>
          <w:szCs w:val="20"/>
        </w:rPr>
      </w:pPr>
      <w:r>
        <w:rPr>
          <w:rFonts w:cs="宋体"/>
          <w:sz w:val="20"/>
          <w:szCs w:val="20"/>
        </w:rPr>
        <w:t>备注：1.本表反映单位本年度一般公共预算财政拨款基本支出明细情况。</w:t>
      </w:r>
      <w:r>
        <w:rPr>
          <w:rFonts w:cs="宋体"/>
          <w:sz w:val="20"/>
          <w:szCs w:val="20"/>
        </w:rPr>
        <w:br w:type="textWrapping"/>
      </w:r>
      <w:r>
        <w:rPr>
          <w:rFonts w:cs="宋体"/>
          <w:sz w:val="20"/>
          <w:szCs w:val="20"/>
        </w:rPr>
        <w:t xml:space="preserve">      2.本套报表金额单位转换时可能存在尾数误差。</w:t>
      </w:r>
      <w:r>
        <w:rPr>
          <w:rFonts w:cs="宋体"/>
          <w:sz w:val="20"/>
          <w:szCs w:val="20"/>
        </w:rPr>
        <w:br w:type="textWrapping"/>
      </w:r>
      <w:r>
        <w:rPr>
          <w:rFonts w:cs="宋体"/>
          <w:sz w:val="20"/>
          <w:szCs w:val="20"/>
        </w:rPr>
        <w:br w:type="textWrapping"/>
      </w:r>
      <w:r>
        <w:rPr>
          <w:rFonts w:cs="宋体"/>
          <w:sz w:val="21"/>
          <w:szCs w:val="21"/>
        </w:rPr>
        <w:br w:type="page"/>
      </w:r>
    </w:p>
    <w:tbl>
      <w:tblPr>
        <w:tblStyle w:val="8"/>
        <w:tblW w:w="5000" w:type="pct"/>
        <w:tblInd w:w="0" w:type="dxa"/>
        <w:tblLayout w:type="autofit"/>
        <w:tblCellMar>
          <w:top w:w="0" w:type="dxa"/>
          <w:left w:w="0" w:type="dxa"/>
          <w:bottom w:w="0" w:type="dxa"/>
          <w:right w:w="0" w:type="dxa"/>
        </w:tblCellMar>
      </w:tblPr>
      <w:tblGrid>
        <w:gridCol w:w="1097"/>
        <w:gridCol w:w="1827"/>
        <w:gridCol w:w="1010"/>
        <w:gridCol w:w="1010"/>
        <w:gridCol w:w="1010"/>
        <w:gridCol w:w="1010"/>
        <w:gridCol w:w="1048"/>
        <w:gridCol w:w="1088"/>
      </w:tblGrid>
      <w:tr>
        <w:tblPrEx>
          <w:tblCellMar>
            <w:top w:w="0" w:type="dxa"/>
            <w:left w:w="0" w:type="dxa"/>
            <w:bottom w:w="0" w:type="dxa"/>
            <w:right w:w="0" w:type="dxa"/>
          </w:tblCellMar>
        </w:tblPrEx>
        <w:trPr>
          <w:trHeight w:val="644" w:hRule="atLeast"/>
        </w:trPr>
        <w:tc>
          <w:tcPr>
            <w:tcW w:w="5000" w:type="pct"/>
            <w:gridSpan w:val="8"/>
            <w:tcBorders>
              <w:top w:val="nil"/>
              <w:left w:val="nil"/>
              <w:bottom w:val="nil"/>
              <w:right w:val="nil"/>
            </w:tcBorders>
            <w:shd w:val="clear" w:color="auto" w:fill="auto"/>
            <w:noWrap/>
            <w:tcMar>
              <w:top w:w="15" w:type="dxa"/>
              <w:left w:w="15" w:type="dxa"/>
              <w:right w:w="15" w:type="dxa"/>
            </w:tcMar>
            <w:vAlign w:val="bottom"/>
          </w:tcPr>
          <w:p>
            <w:pPr>
              <w:jc w:val="center"/>
              <w:textAlignment w:val="bottom"/>
              <w:rPr>
                <w:rFonts w:hint="default" w:cs="宋体"/>
                <w:b/>
                <w:color w:val="000000"/>
                <w:sz w:val="32"/>
                <w:szCs w:val="32"/>
              </w:rPr>
            </w:pPr>
            <w:r>
              <w:rPr>
                <w:rFonts w:cs="宋体"/>
                <w:b/>
                <w:color w:val="000000"/>
                <w:sz w:val="32"/>
                <w:szCs w:val="32"/>
              </w:rPr>
              <w:t>政府性基金预算财政拨款收入支出决算表</w:t>
            </w:r>
          </w:p>
        </w:tc>
      </w:tr>
      <w:tr>
        <w:tblPrEx>
          <w:tblCellMar>
            <w:top w:w="0" w:type="dxa"/>
            <w:left w:w="0" w:type="dxa"/>
            <w:bottom w:w="0" w:type="dxa"/>
            <w:right w:w="0" w:type="dxa"/>
          </w:tblCellMar>
        </w:tblPrEx>
        <w:trPr>
          <w:trHeight w:val="329" w:hRule="atLeast"/>
        </w:trPr>
        <w:tc>
          <w:tcPr>
            <w:tcW w:w="2162" w:type="pct"/>
            <w:gridSpan w:val="3"/>
            <w:vMerge w:val="restart"/>
            <w:tcBorders>
              <w:top w:val="nil"/>
              <w:left w:val="nil"/>
              <w:right w:val="nil"/>
            </w:tcBorders>
            <w:shd w:val="clear" w:color="auto" w:fill="auto"/>
            <w:noWrap/>
            <w:tcMar>
              <w:top w:w="15" w:type="dxa"/>
              <w:left w:w="15" w:type="dxa"/>
              <w:right w:w="15" w:type="dxa"/>
            </w:tcMar>
            <w:vAlign w:val="bottom"/>
          </w:tcPr>
          <w:p>
            <w:pPr>
              <w:rPr>
                <w:rFonts w:hint="default" w:cs="宋体"/>
                <w:color w:val="000000"/>
                <w:sz w:val="20"/>
                <w:szCs w:val="20"/>
              </w:rPr>
            </w:pPr>
            <w:r>
              <w:rPr>
                <w:rFonts w:cs="宋体"/>
                <w:sz w:val="20"/>
                <w:szCs w:val="20"/>
              </w:rPr>
              <w:t>公开单位</w:t>
            </w:r>
            <w:r>
              <w:rPr>
                <w:rFonts w:cs="宋体"/>
                <w:color w:val="000000"/>
                <w:sz w:val="20"/>
                <w:szCs w:val="20"/>
              </w:rPr>
              <w:t xml:space="preserve">： </w:t>
            </w:r>
            <w:r>
              <w:rPr>
                <w:color w:val="000000"/>
                <w:sz w:val="20"/>
                <w:u w:color="auto"/>
              </w:rPr>
              <w:t>重庆市丰都县大桥管理事务中心</w:t>
            </w:r>
          </w:p>
        </w:tc>
        <w:tc>
          <w:tcPr>
            <w:tcW w:w="55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5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5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76"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97"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公开07表</w:t>
            </w:r>
          </w:p>
        </w:tc>
      </w:tr>
      <w:tr>
        <w:tblPrEx>
          <w:tblCellMar>
            <w:top w:w="0" w:type="dxa"/>
            <w:left w:w="0" w:type="dxa"/>
            <w:bottom w:w="0" w:type="dxa"/>
            <w:right w:w="0" w:type="dxa"/>
          </w:tblCellMar>
        </w:tblPrEx>
        <w:trPr>
          <w:trHeight w:val="329" w:hRule="atLeast"/>
        </w:trPr>
        <w:tc>
          <w:tcPr>
            <w:tcW w:w="2162" w:type="pct"/>
            <w:gridSpan w:val="3"/>
            <w:vMerge w:val="continue"/>
            <w:tcBorders>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5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5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55"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76" w:type="pct"/>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597"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339" w:hRule="atLeast"/>
        </w:trPr>
        <w:tc>
          <w:tcPr>
            <w:tcW w:w="1607" w:type="pct"/>
            <w:gridSpan w:val="2"/>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w:t>
            </w:r>
          </w:p>
        </w:tc>
        <w:tc>
          <w:tcPr>
            <w:tcW w:w="555" w:type="pct"/>
            <w:vMerge w:val="restart"/>
            <w:tcBorders>
              <w:top w:val="single" w:color="000000" w:sz="4" w:space="0"/>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年初结转和结余</w:t>
            </w:r>
          </w:p>
        </w:tc>
        <w:tc>
          <w:tcPr>
            <w:tcW w:w="555"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本年收入</w:t>
            </w:r>
          </w:p>
        </w:tc>
        <w:tc>
          <w:tcPr>
            <w:tcW w:w="1686" w:type="pct"/>
            <w:gridSpan w:val="3"/>
            <w:tcBorders>
              <w:top w:val="single" w:color="000000" w:sz="4" w:space="0"/>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本年支出</w:t>
            </w:r>
          </w:p>
        </w:tc>
        <w:tc>
          <w:tcPr>
            <w:tcW w:w="597"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年末结转和结余</w:t>
            </w:r>
          </w:p>
        </w:tc>
      </w:tr>
      <w:tr>
        <w:tblPrEx>
          <w:tblCellMar>
            <w:top w:w="0" w:type="dxa"/>
            <w:left w:w="0" w:type="dxa"/>
            <w:bottom w:w="0" w:type="dxa"/>
            <w:right w:w="0" w:type="dxa"/>
          </w:tblCellMar>
        </w:tblPrEx>
        <w:trPr>
          <w:trHeight w:val="335" w:hRule="atLeast"/>
        </w:trPr>
        <w:tc>
          <w:tcPr>
            <w:tcW w:w="603"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功能分类科目编码</w:t>
            </w:r>
          </w:p>
        </w:tc>
        <w:tc>
          <w:tcPr>
            <w:tcW w:w="1004" w:type="pct"/>
            <w:vMerge w:val="restart"/>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项目（按“项”级功能分类科目）</w:t>
            </w:r>
          </w:p>
        </w:tc>
        <w:tc>
          <w:tcPr>
            <w:tcW w:w="555" w:type="pct"/>
            <w:vMerge w:val="continue"/>
            <w:tcBorders>
              <w:top w:val="single" w:color="000000" w:sz="4" w:space="0"/>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555"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基本支出</w:t>
            </w:r>
          </w:p>
        </w:tc>
        <w:tc>
          <w:tcPr>
            <w:tcW w:w="576"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项目支出</w:t>
            </w:r>
          </w:p>
        </w:tc>
        <w:tc>
          <w:tcPr>
            <w:tcW w:w="597"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5" w:hRule="atLeast"/>
        </w:trPr>
        <w:tc>
          <w:tcPr>
            <w:tcW w:w="603"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04"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76"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97"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645" w:hRule="atLeast"/>
        </w:trPr>
        <w:tc>
          <w:tcPr>
            <w:tcW w:w="603"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004"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5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76"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597" w:type="pct"/>
            <w:vMerge w:val="continue"/>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9" w:hRule="atLeast"/>
        </w:trPr>
        <w:tc>
          <w:tcPr>
            <w:tcW w:w="1607" w:type="pct"/>
            <w:gridSpan w:val="2"/>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55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55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55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555"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576"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597"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r>
    </w:tbl>
    <w:p>
      <w:pPr>
        <w:rPr>
          <w:rFonts w:hint="default" w:cs="宋体"/>
          <w:sz w:val="21"/>
          <w:szCs w:val="21"/>
        </w:rPr>
      </w:pPr>
      <w:r>
        <w:rPr>
          <w:rFonts w:cs="宋体"/>
          <w:sz w:val="20"/>
          <w:szCs w:val="20"/>
        </w:rPr>
        <w:t>备注：本表反映单位本年度政府性基金预算财政拨款收入支出及结转和结余情况。本单位无政府性基金收支，故本表无数据。</w:t>
      </w:r>
      <w:r>
        <w:rPr>
          <w:rFonts w:cs="宋体"/>
          <w:sz w:val="20"/>
          <w:szCs w:val="20"/>
        </w:rPr>
        <w:br w:type="textWrapping"/>
      </w:r>
      <w:r>
        <w:rPr>
          <w:rFonts w:cs="宋体"/>
          <w:sz w:val="20"/>
          <w:szCs w:val="20"/>
        </w:rPr>
        <w:br w:type="textWrapping"/>
      </w:r>
    </w:p>
    <w:p>
      <w:pPr>
        <w:rPr>
          <w:rFonts w:hint="default" w:cs="宋体"/>
          <w:sz w:val="21"/>
          <w:szCs w:val="21"/>
        </w:rPr>
      </w:pPr>
      <w:r>
        <w:rPr>
          <w:rFonts w:cs="宋体"/>
          <w:sz w:val="21"/>
          <w:szCs w:val="21"/>
        </w:rPr>
        <w:br w:type="page"/>
      </w:r>
    </w:p>
    <w:tbl>
      <w:tblPr>
        <w:tblStyle w:val="8"/>
        <w:tblW w:w="5000" w:type="pct"/>
        <w:tblInd w:w="0" w:type="dxa"/>
        <w:tblLayout w:type="autofit"/>
        <w:tblCellMar>
          <w:top w:w="0" w:type="dxa"/>
          <w:left w:w="0" w:type="dxa"/>
          <w:bottom w:w="0" w:type="dxa"/>
          <w:right w:w="0" w:type="dxa"/>
        </w:tblCellMar>
      </w:tblPr>
      <w:tblGrid>
        <w:gridCol w:w="1113"/>
        <w:gridCol w:w="1811"/>
        <w:gridCol w:w="1938"/>
        <w:gridCol w:w="118"/>
        <w:gridCol w:w="2057"/>
        <w:gridCol w:w="46"/>
        <w:gridCol w:w="2017"/>
      </w:tblGrid>
      <w:tr>
        <w:tblPrEx>
          <w:tblCellMar>
            <w:top w:w="0" w:type="dxa"/>
            <w:left w:w="0" w:type="dxa"/>
            <w:bottom w:w="0" w:type="dxa"/>
            <w:right w:w="0" w:type="dxa"/>
          </w:tblCellMar>
        </w:tblPrEx>
        <w:trPr>
          <w:trHeight w:val="650" w:hRule="atLeast"/>
        </w:trPr>
        <w:tc>
          <w:tcPr>
            <w:tcW w:w="5000" w:type="pct"/>
            <w:gridSpan w:val="7"/>
            <w:tcBorders>
              <w:top w:val="nil"/>
              <w:left w:val="nil"/>
              <w:bottom w:val="nil"/>
              <w:right w:val="nil"/>
            </w:tcBorders>
            <w:shd w:val="clear" w:color="auto" w:fill="auto"/>
            <w:noWrap/>
            <w:tcMar>
              <w:top w:w="15" w:type="dxa"/>
              <w:left w:w="15" w:type="dxa"/>
              <w:right w:w="15" w:type="dxa"/>
            </w:tcMar>
            <w:vAlign w:val="bottom"/>
          </w:tcPr>
          <w:p>
            <w:pPr>
              <w:jc w:val="center"/>
              <w:textAlignment w:val="bottom"/>
              <w:rPr>
                <w:rFonts w:hint="default" w:cs="宋体"/>
                <w:b/>
                <w:color w:val="000000"/>
                <w:sz w:val="32"/>
                <w:szCs w:val="32"/>
              </w:rPr>
            </w:pPr>
            <w:r>
              <w:rPr>
                <w:rFonts w:cs="宋体"/>
                <w:b/>
                <w:color w:val="000000"/>
                <w:sz w:val="32"/>
                <w:szCs w:val="32"/>
              </w:rPr>
              <w:t>国有资本经营预算财政拨款支出决算表</w:t>
            </w:r>
          </w:p>
        </w:tc>
      </w:tr>
      <w:tr>
        <w:tblPrEx>
          <w:tblCellMar>
            <w:top w:w="0" w:type="dxa"/>
            <w:left w:w="0" w:type="dxa"/>
            <w:bottom w:w="0" w:type="dxa"/>
            <w:right w:w="0" w:type="dxa"/>
          </w:tblCellMar>
        </w:tblPrEx>
        <w:trPr>
          <w:trHeight w:val="332" w:hRule="atLeast"/>
        </w:trPr>
        <w:tc>
          <w:tcPr>
            <w:tcW w:w="2672" w:type="pct"/>
            <w:gridSpan w:val="3"/>
            <w:vMerge w:val="restart"/>
            <w:tcBorders>
              <w:top w:val="nil"/>
              <w:left w:val="nil"/>
              <w:right w:val="nil"/>
            </w:tcBorders>
            <w:shd w:val="clear" w:color="auto" w:fill="auto"/>
            <w:noWrap/>
            <w:tcMar>
              <w:top w:w="15" w:type="dxa"/>
              <w:left w:w="15" w:type="dxa"/>
              <w:right w:w="15" w:type="dxa"/>
            </w:tcMar>
            <w:vAlign w:val="bottom"/>
          </w:tcPr>
          <w:p>
            <w:pPr>
              <w:rPr>
                <w:rFonts w:hint="default" w:cs="宋体"/>
                <w:color w:val="000000"/>
                <w:sz w:val="20"/>
                <w:szCs w:val="20"/>
              </w:rPr>
            </w:pPr>
            <w:r>
              <w:rPr>
                <w:rFonts w:cs="宋体"/>
                <w:sz w:val="20"/>
                <w:szCs w:val="20"/>
              </w:rPr>
              <w:t>公开单位</w:t>
            </w:r>
            <w:r>
              <w:rPr>
                <w:rFonts w:cs="宋体"/>
                <w:color w:val="000000"/>
                <w:sz w:val="20"/>
                <w:szCs w:val="20"/>
              </w:rPr>
              <w:t xml:space="preserve">： </w:t>
            </w:r>
            <w:r>
              <w:rPr>
                <w:color w:val="000000"/>
                <w:sz w:val="20"/>
                <w:u w:color="auto"/>
              </w:rPr>
              <w:t>重庆市丰都县大桥管理事务中心</w:t>
            </w:r>
          </w:p>
        </w:tc>
        <w:tc>
          <w:tcPr>
            <w:tcW w:w="1220" w:type="pct"/>
            <w:gridSpan w:val="3"/>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1108"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公开08表</w:t>
            </w:r>
          </w:p>
        </w:tc>
      </w:tr>
      <w:tr>
        <w:tblPrEx>
          <w:tblCellMar>
            <w:top w:w="0" w:type="dxa"/>
            <w:left w:w="0" w:type="dxa"/>
            <w:bottom w:w="0" w:type="dxa"/>
            <w:right w:w="0" w:type="dxa"/>
          </w:tblCellMar>
        </w:tblPrEx>
        <w:trPr>
          <w:trHeight w:val="332" w:hRule="atLeast"/>
        </w:trPr>
        <w:tc>
          <w:tcPr>
            <w:tcW w:w="2672" w:type="pct"/>
            <w:gridSpan w:val="3"/>
            <w:vMerge w:val="continue"/>
            <w:tcBorders>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1220" w:type="pct"/>
            <w:gridSpan w:val="3"/>
            <w:tcBorders>
              <w:top w:val="nil"/>
              <w:left w:val="nil"/>
              <w:bottom w:val="nil"/>
              <w:right w:val="nil"/>
            </w:tcBorders>
            <w:shd w:val="clear" w:color="auto" w:fill="auto"/>
            <w:noWrap/>
            <w:tcMar>
              <w:top w:w="15" w:type="dxa"/>
              <w:left w:w="15" w:type="dxa"/>
              <w:right w:w="15" w:type="dxa"/>
            </w:tcMar>
            <w:vAlign w:val="bottom"/>
          </w:tcPr>
          <w:p>
            <w:pPr>
              <w:rPr>
                <w:rFonts w:hint="default" w:cs="宋体"/>
                <w:color w:val="000000"/>
                <w:sz w:val="20"/>
                <w:szCs w:val="20"/>
              </w:rPr>
            </w:pPr>
          </w:p>
        </w:tc>
        <w:tc>
          <w:tcPr>
            <w:tcW w:w="1108" w:type="pct"/>
            <w:tcBorders>
              <w:top w:val="nil"/>
              <w:left w:val="nil"/>
              <w:bottom w:val="nil"/>
              <w:right w:val="nil"/>
            </w:tcBorders>
            <w:shd w:val="clear" w:color="auto" w:fill="auto"/>
            <w:noWrap/>
            <w:tcMar>
              <w:top w:w="15" w:type="dxa"/>
              <w:left w:w="15" w:type="dxa"/>
              <w:right w:w="15" w:type="dxa"/>
            </w:tcMar>
            <w:vAlign w:val="bottom"/>
          </w:tcPr>
          <w:p>
            <w:pPr>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0" w:type="dxa"/>
            <w:bottom w:w="0" w:type="dxa"/>
            <w:right w:w="0" w:type="dxa"/>
          </w:tblCellMar>
        </w:tblPrEx>
        <w:trPr>
          <w:trHeight w:val="422" w:hRule="atLeast"/>
        </w:trPr>
        <w:tc>
          <w:tcPr>
            <w:tcW w:w="1607" w:type="pct"/>
            <w:gridSpan w:val="2"/>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jc w:val="center"/>
              <w:textAlignment w:val="bottom"/>
              <w:rPr>
                <w:rFonts w:hint="default" w:cs="宋体"/>
                <w:b/>
                <w:color w:val="000000"/>
                <w:sz w:val="20"/>
                <w:szCs w:val="20"/>
              </w:rPr>
            </w:pPr>
            <w:r>
              <w:rPr>
                <w:rFonts w:cs="宋体"/>
                <w:b/>
                <w:color w:val="000000"/>
                <w:sz w:val="20"/>
                <w:szCs w:val="20"/>
              </w:rPr>
              <w:t>项目</w:t>
            </w:r>
          </w:p>
        </w:tc>
        <w:tc>
          <w:tcPr>
            <w:tcW w:w="3393" w:type="pct"/>
            <w:gridSpan w:val="5"/>
            <w:tcBorders>
              <w:top w:val="single" w:color="000000" w:sz="4" w:space="0"/>
              <w:left w:val="single" w:color="000000" w:sz="4" w:space="0"/>
              <w:bottom w:val="single" w:color="000000" w:sz="4" w:space="0"/>
              <w:right w:val="single" w:color="000000" w:sz="4" w:space="0"/>
            </w:tcBorders>
            <w:shd w:val="clear" w:color="auto" w:fill="C0C0C0"/>
            <w:noWrap/>
            <w:tcMar>
              <w:top w:w="15" w:type="dxa"/>
              <w:left w:w="15" w:type="dxa"/>
              <w:right w:w="15" w:type="dxa"/>
            </w:tcMar>
            <w:vAlign w:val="bottom"/>
          </w:tcPr>
          <w:p>
            <w:pPr>
              <w:jc w:val="center"/>
              <w:textAlignment w:val="bottom"/>
              <w:rPr>
                <w:rFonts w:hint="default" w:cs="宋体"/>
                <w:b/>
                <w:color w:val="000000"/>
                <w:sz w:val="20"/>
                <w:szCs w:val="20"/>
              </w:rPr>
            </w:pPr>
            <w:r>
              <w:rPr>
                <w:rFonts w:cs="宋体"/>
                <w:b/>
                <w:color w:val="000000"/>
                <w:sz w:val="20"/>
                <w:szCs w:val="20"/>
              </w:rPr>
              <w:t>本年支出</w:t>
            </w:r>
          </w:p>
        </w:tc>
      </w:tr>
      <w:tr>
        <w:tblPrEx>
          <w:tblCellMar>
            <w:top w:w="0" w:type="dxa"/>
            <w:left w:w="0" w:type="dxa"/>
            <w:bottom w:w="0" w:type="dxa"/>
            <w:right w:w="0" w:type="dxa"/>
          </w:tblCellMar>
        </w:tblPrEx>
        <w:trPr>
          <w:trHeight w:val="339" w:hRule="atLeast"/>
        </w:trPr>
        <w:tc>
          <w:tcPr>
            <w:tcW w:w="612" w:type="pct"/>
            <w:vMerge w:val="restart"/>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功能分类科目编码</w:t>
            </w:r>
          </w:p>
        </w:tc>
        <w:tc>
          <w:tcPr>
            <w:tcW w:w="995"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科目名称</w:t>
            </w:r>
          </w:p>
        </w:tc>
        <w:tc>
          <w:tcPr>
            <w:tcW w:w="1130" w:type="pct"/>
            <w:gridSpan w:val="2"/>
            <w:vMerge w:val="restart"/>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1130" w:type="pct"/>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基本支出</w:t>
            </w:r>
          </w:p>
        </w:tc>
        <w:tc>
          <w:tcPr>
            <w:tcW w:w="1133" w:type="pct"/>
            <w:gridSpan w:val="2"/>
            <w:vMerge w:val="restart"/>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项目支出</w:t>
            </w:r>
          </w:p>
        </w:tc>
      </w:tr>
      <w:tr>
        <w:tblPrEx>
          <w:tblCellMar>
            <w:top w:w="0" w:type="dxa"/>
            <w:left w:w="0" w:type="dxa"/>
            <w:bottom w:w="0" w:type="dxa"/>
            <w:right w:w="0" w:type="dxa"/>
          </w:tblCellMar>
        </w:tblPrEx>
        <w:trPr>
          <w:trHeight w:val="339" w:hRule="atLeast"/>
        </w:trPr>
        <w:tc>
          <w:tcPr>
            <w:tcW w:w="612"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99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0" w:type="pct"/>
            <w:gridSpan w:val="2"/>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0"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3" w:type="pct"/>
            <w:gridSpan w:val="2"/>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39" w:hRule="atLeast"/>
        </w:trPr>
        <w:tc>
          <w:tcPr>
            <w:tcW w:w="612"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99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0" w:type="pct"/>
            <w:gridSpan w:val="2"/>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0"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3" w:type="pct"/>
            <w:gridSpan w:val="2"/>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326" w:hRule="atLeast"/>
        </w:trPr>
        <w:tc>
          <w:tcPr>
            <w:tcW w:w="612" w:type="pct"/>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995"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0" w:type="pct"/>
            <w:gridSpan w:val="2"/>
            <w:vMerge w:val="continue"/>
            <w:tcBorders>
              <w:top w:val="nil"/>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0" w:type="pct"/>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c>
          <w:tcPr>
            <w:tcW w:w="1133" w:type="pct"/>
            <w:gridSpan w:val="2"/>
            <w:vMerge w:val="continue"/>
            <w:tcBorders>
              <w:top w:val="nil"/>
              <w:left w:val="nil"/>
              <w:bottom w:val="single" w:color="000000" w:sz="4" w:space="0"/>
              <w:right w:val="single" w:color="000000" w:sz="4" w:space="0"/>
            </w:tcBorders>
            <w:shd w:val="clear" w:color="FFFFFF" w:fill="C0C0C0"/>
            <w:tcMar>
              <w:top w:w="15" w:type="dxa"/>
              <w:left w:w="15" w:type="dxa"/>
              <w:right w:w="15" w:type="dxa"/>
            </w:tcMar>
            <w:vAlign w:val="center"/>
          </w:tcPr>
          <w:p>
            <w:pPr>
              <w:jc w:val="center"/>
              <w:rPr>
                <w:rFonts w:hint="default" w:cs="宋体"/>
                <w:b/>
                <w:color w:val="000000"/>
                <w:sz w:val="20"/>
                <w:szCs w:val="20"/>
              </w:rPr>
            </w:pPr>
          </w:p>
        </w:tc>
      </w:tr>
      <w:tr>
        <w:tblPrEx>
          <w:tblCellMar>
            <w:top w:w="0" w:type="dxa"/>
            <w:left w:w="0" w:type="dxa"/>
            <w:bottom w:w="0" w:type="dxa"/>
            <w:right w:w="0" w:type="dxa"/>
          </w:tblCellMar>
        </w:tblPrEx>
        <w:trPr>
          <w:trHeight w:val="611" w:hRule="atLeast"/>
        </w:trPr>
        <w:tc>
          <w:tcPr>
            <w:tcW w:w="1607" w:type="pct"/>
            <w:gridSpan w:val="2"/>
            <w:tcBorders>
              <w:top w:val="single" w:color="000000" w:sz="4" w:space="0"/>
              <w:left w:val="single" w:color="000000" w:sz="4" w:space="0"/>
              <w:bottom w:val="single" w:color="000000" w:sz="4" w:space="0"/>
              <w:right w:val="single" w:color="000000" w:sz="4" w:space="0"/>
            </w:tcBorders>
            <w:shd w:val="clear" w:color="FFFFFF" w:fill="C0C0C0"/>
            <w:tcMar>
              <w:top w:w="15" w:type="dxa"/>
              <w:left w:w="15" w:type="dxa"/>
              <w:right w:w="15" w:type="dxa"/>
            </w:tcMar>
            <w:vAlign w:val="center"/>
          </w:tcPr>
          <w:p>
            <w:pPr>
              <w:jc w:val="center"/>
              <w:textAlignment w:val="center"/>
              <w:rPr>
                <w:rFonts w:hint="default" w:cs="宋体"/>
                <w:b/>
                <w:color w:val="000000"/>
                <w:sz w:val="20"/>
                <w:szCs w:val="20"/>
              </w:rPr>
            </w:pPr>
            <w:r>
              <w:rPr>
                <w:rFonts w:cs="宋体"/>
                <w:b/>
                <w:color w:val="000000"/>
                <w:sz w:val="20"/>
                <w:szCs w:val="20"/>
              </w:rPr>
              <w:t>合计</w:t>
            </w:r>
          </w:p>
        </w:tc>
        <w:tc>
          <w:tcPr>
            <w:tcW w:w="1130" w:type="pct"/>
            <w:gridSpan w:val="2"/>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c>
          <w:tcPr>
            <w:tcW w:w="1130" w:type="pct"/>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jc w:val="right"/>
              <w:rPr>
                <w:rFonts w:hint="default" w:cs="宋体"/>
                <w:b/>
                <w:color w:val="000000"/>
                <w:sz w:val="20"/>
                <w:szCs w:val="20"/>
              </w:rPr>
            </w:pPr>
          </w:p>
        </w:tc>
        <w:tc>
          <w:tcPr>
            <w:tcW w:w="1133" w:type="pct"/>
            <w:gridSpan w:val="2"/>
            <w:tcBorders>
              <w:top w:val="nil"/>
              <w:left w:val="nil"/>
              <w:bottom w:val="single" w:color="000000" w:sz="4" w:space="0"/>
              <w:right w:val="single" w:color="000000" w:sz="4" w:space="0"/>
            </w:tcBorders>
            <w:shd w:val="clear" w:color="auto" w:fill="auto"/>
            <w:noWrap/>
            <w:tcMar>
              <w:top w:w="15" w:type="dxa"/>
              <w:left w:w="15" w:type="dxa"/>
              <w:right w:w="15" w:type="dxa"/>
            </w:tcMar>
            <w:vAlign w:val="center"/>
          </w:tcPr>
          <w:p>
            <w:pPr>
              <w:wordWrap w:val="0"/>
              <w:jc w:val="right"/>
              <w:textAlignment w:val="center"/>
              <w:rPr>
                <w:rFonts w:hint="default" w:cs="宋体"/>
                <w:b/>
                <w:color w:val="000000"/>
                <w:sz w:val="20"/>
                <w:szCs w:val="20"/>
              </w:rPr>
            </w:pPr>
            <w:r>
              <w:rPr>
                <w:b/>
                <w:color w:val="000000"/>
                <w:sz w:val="20"/>
                <w:u w:color="auto"/>
              </w:rPr>
              <w:t xml:space="preserve"> </w:t>
            </w:r>
          </w:p>
        </w:tc>
      </w:tr>
    </w:tbl>
    <w:p>
      <w:pPr>
        <w:rPr>
          <w:rFonts w:hint="default" w:cs="宋体"/>
          <w:sz w:val="21"/>
          <w:szCs w:val="21"/>
        </w:rPr>
      </w:pPr>
      <w:r>
        <w:rPr>
          <w:rFonts w:cs="宋体"/>
          <w:sz w:val="20"/>
          <w:szCs w:val="20"/>
        </w:rPr>
        <w:t>备注：本表反映单位本年度国有资本经营预算财政拨款支出情况。本单位无国有资本经营收支，故本表无数据。</w:t>
      </w:r>
      <w:r>
        <w:rPr>
          <w:rFonts w:cs="宋体"/>
          <w:sz w:val="20"/>
          <w:szCs w:val="20"/>
        </w:rPr>
        <w:br w:type="textWrapping"/>
      </w:r>
      <w:r>
        <w:rPr>
          <w:rFonts w:cs="宋体"/>
          <w:sz w:val="20"/>
          <w:szCs w:val="20"/>
        </w:rPr>
        <w:br w:type="textWrapping"/>
      </w:r>
      <w:r>
        <w:rPr>
          <w:rFonts w:hint="default" w:cs="宋体"/>
          <w:sz w:val="21"/>
          <w:szCs w:val="21"/>
        </w:rPr>
        <w:br w:type="page"/>
      </w:r>
    </w:p>
    <w:tbl>
      <w:tblPr>
        <w:tblStyle w:val="8"/>
        <w:tblW w:w="4877" w:type="pct"/>
        <w:tblInd w:w="0" w:type="dxa"/>
        <w:tblLayout w:type="fixed"/>
        <w:tblCellMar>
          <w:top w:w="0" w:type="dxa"/>
          <w:left w:w="170" w:type="dxa"/>
          <w:bottom w:w="0" w:type="dxa"/>
          <w:right w:w="170" w:type="dxa"/>
        </w:tblCellMar>
      </w:tblPr>
      <w:tblGrid>
        <w:gridCol w:w="2391"/>
        <w:gridCol w:w="1282"/>
        <w:gridCol w:w="1252"/>
        <w:gridCol w:w="2677"/>
        <w:gridCol w:w="1275"/>
      </w:tblGrid>
      <w:tr>
        <w:tblPrEx>
          <w:tblCellMar>
            <w:top w:w="0" w:type="dxa"/>
            <w:left w:w="170" w:type="dxa"/>
            <w:bottom w:w="0" w:type="dxa"/>
            <w:right w:w="170" w:type="dxa"/>
          </w:tblCellMar>
        </w:tblPrEx>
        <w:trPr>
          <w:trHeight w:val="343" w:hRule="atLeast"/>
        </w:trPr>
        <w:tc>
          <w:tcPr>
            <w:tcW w:w="5000" w:type="pct"/>
            <w:gridSpan w:val="5"/>
            <w:tcBorders>
              <w:top w:val="nil"/>
              <w:left w:val="nil"/>
              <w:bottom w:val="nil"/>
              <w:right w:val="nil"/>
            </w:tcBorders>
            <w:shd w:val="clear" w:color="auto" w:fill="auto"/>
            <w:noWrap/>
            <w:tcMar>
              <w:top w:w="15" w:type="dxa"/>
              <w:left w:w="15" w:type="dxa"/>
              <w:right w:w="15" w:type="dxa"/>
            </w:tcMar>
            <w:vAlign w:val="bottom"/>
          </w:tcPr>
          <w:p>
            <w:pPr>
              <w:spacing w:line="400" w:lineRule="exact"/>
              <w:jc w:val="center"/>
              <w:textAlignment w:val="bottom"/>
              <w:rPr>
                <w:rFonts w:hint="default" w:cs="宋体"/>
                <w:b/>
                <w:color w:val="000000"/>
                <w:sz w:val="32"/>
                <w:szCs w:val="32"/>
              </w:rPr>
            </w:pPr>
            <w:r>
              <w:rPr>
                <w:rFonts w:cs="宋体"/>
                <w:b/>
                <w:color w:val="000000"/>
                <w:sz w:val="32"/>
                <w:szCs w:val="32"/>
              </w:rPr>
              <w:t>机构运行信息表</w:t>
            </w:r>
          </w:p>
        </w:tc>
      </w:tr>
      <w:tr>
        <w:tblPrEx>
          <w:tblCellMar>
            <w:top w:w="0" w:type="dxa"/>
            <w:left w:w="170" w:type="dxa"/>
            <w:bottom w:w="0" w:type="dxa"/>
            <w:right w:w="170" w:type="dxa"/>
          </w:tblCellMar>
        </w:tblPrEx>
        <w:trPr>
          <w:trHeight w:val="244" w:hRule="atLeast"/>
        </w:trPr>
        <w:tc>
          <w:tcPr>
            <w:tcW w:w="1347" w:type="pct"/>
            <w:tcBorders>
              <w:top w:val="nil"/>
              <w:left w:val="nil"/>
              <w:bottom w:val="nil"/>
              <w:right w:val="nil"/>
            </w:tcBorders>
            <w:shd w:val="clear" w:color="auto" w:fill="auto"/>
            <w:noWrap/>
            <w:tcMar>
              <w:top w:w="15" w:type="dxa"/>
              <w:left w:w="15" w:type="dxa"/>
              <w:right w:w="15" w:type="dxa"/>
            </w:tcMar>
            <w:vAlign w:val="bottom"/>
          </w:tcPr>
          <w:p>
            <w:pPr>
              <w:spacing w:line="280" w:lineRule="exact"/>
              <w:rPr>
                <w:rFonts w:hint="default" w:cs="宋体"/>
                <w:color w:val="000000"/>
                <w:sz w:val="20"/>
                <w:szCs w:val="20"/>
              </w:rPr>
            </w:pPr>
          </w:p>
        </w:tc>
        <w:tc>
          <w:tcPr>
            <w:tcW w:w="722"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center"/>
              <w:rPr>
                <w:rFonts w:hint="default" w:cs="宋体"/>
                <w:color w:val="000000"/>
                <w:sz w:val="20"/>
                <w:szCs w:val="20"/>
              </w:rPr>
            </w:pPr>
          </w:p>
        </w:tc>
        <w:tc>
          <w:tcPr>
            <w:tcW w:w="705"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right"/>
              <w:rPr>
                <w:rFonts w:hint="default" w:cs="宋体"/>
                <w:color w:val="000000"/>
                <w:sz w:val="20"/>
                <w:szCs w:val="20"/>
              </w:rPr>
            </w:pPr>
          </w:p>
        </w:tc>
        <w:tc>
          <w:tcPr>
            <w:tcW w:w="1508" w:type="pct"/>
            <w:tcBorders>
              <w:top w:val="nil"/>
              <w:left w:val="nil"/>
              <w:bottom w:val="nil"/>
              <w:right w:val="nil"/>
            </w:tcBorders>
            <w:shd w:val="clear" w:color="auto" w:fill="auto"/>
            <w:noWrap/>
            <w:tcMar>
              <w:top w:w="15" w:type="dxa"/>
              <w:left w:w="15" w:type="dxa"/>
              <w:right w:w="15" w:type="dxa"/>
            </w:tcMar>
            <w:vAlign w:val="bottom"/>
          </w:tcPr>
          <w:p>
            <w:pPr>
              <w:spacing w:line="280" w:lineRule="exact"/>
              <w:rPr>
                <w:rFonts w:hint="default" w:cs="宋体"/>
                <w:color w:val="000000"/>
                <w:sz w:val="20"/>
                <w:szCs w:val="20"/>
              </w:rPr>
            </w:pPr>
          </w:p>
        </w:tc>
        <w:tc>
          <w:tcPr>
            <w:tcW w:w="718" w:type="pct"/>
            <w:tcBorders>
              <w:top w:val="nil"/>
              <w:left w:val="nil"/>
              <w:bottom w:val="nil"/>
              <w:right w:val="nil"/>
            </w:tcBorders>
            <w:shd w:val="clear" w:color="auto" w:fill="auto"/>
            <w:noWrap/>
            <w:tcMar>
              <w:top w:w="15" w:type="dxa"/>
              <w:left w:w="15" w:type="dxa"/>
              <w:right w:w="15" w:type="dxa"/>
            </w:tcMar>
            <w:vAlign w:val="bottom"/>
          </w:tcPr>
          <w:p>
            <w:pPr>
              <w:spacing w:line="280" w:lineRule="exact"/>
              <w:jc w:val="right"/>
              <w:textAlignment w:val="bottom"/>
              <w:rPr>
                <w:rFonts w:hint="default" w:cs="宋体"/>
                <w:color w:val="000000"/>
                <w:sz w:val="20"/>
                <w:szCs w:val="20"/>
              </w:rPr>
            </w:pPr>
            <w:r>
              <w:rPr>
                <w:rFonts w:cs="宋体"/>
                <w:color w:val="000000"/>
                <w:sz w:val="20"/>
                <w:szCs w:val="20"/>
              </w:rPr>
              <w:t>公开09表</w:t>
            </w:r>
          </w:p>
        </w:tc>
      </w:tr>
      <w:tr>
        <w:tblPrEx>
          <w:tblCellMar>
            <w:top w:w="0" w:type="dxa"/>
            <w:left w:w="170" w:type="dxa"/>
            <w:bottom w:w="0" w:type="dxa"/>
            <w:right w:w="170" w:type="dxa"/>
          </w:tblCellMar>
        </w:tblPrEx>
        <w:trPr>
          <w:trHeight w:val="244" w:hRule="atLeast"/>
        </w:trPr>
        <w:tc>
          <w:tcPr>
            <w:tcW w:w="2069" w:type="pct"/>
            <w:gridSpan w:val="2"/>
            <w:tcBorders>
              <w:top w:val="nil"/>
              <w:left w:val="nil"/>
              <w:bottom w:val="single" w:color="auto" w:sz="4" w:space="0"/>
              <w:right w:val="nil"/>
            </w:tcBorders>
            <w:shd w:val="clear" w:color="auto" w:fill="auto"/>
            <w:noWrap/>
            <w:tcMar>
              <w:top w:w="15" w:type="dxa"/>
              <w:left w:w="15" w:type="dxa"/>
              <w:right w:w="15" w:type="dxa"/>
            </w:tcMar>
            <w:vAlign w:val="bottom"/>
          </w:tcPr>
          <w:p>
            <w:pPr>
              <w:spacing w:line="280" w:lineRule="exact"/>
              <w:rPr>
                <w:rFonts w:hint="default" w:cs="宋体"/>
                <w:color w:val="000000"/>
                <w:sz w:val="20"/>
                <w:szCs w:val="20"/>
              </w:rPr>
            </w:pPr>
            <w:r>
              <w:rPr>
                <w:rFonts w:cs="宋体"/>
                <w:sz w:val="20"/>
                <w:szCs w:val="20"/>
              </w:rPr>
              <w:t>公开单位</w:t>
            </w:r>
            <w:r>
              <w:rPr>
                <w:rFonts w:cs="宋体"/>
                <w:color w:val="000000"/>
                <w:sz w:val="20"/>
                <w:szCs w:val="20"/>
              </w:rPr>
              <w:t xml:space="preserve">： </w:t>
            </w:r>
            <w:r>
              <w:rPr>
                <w:color w:val="000000"/>
                <w:sz w:val="20"/>
                <w:u w:color="auto"/>
              </w:rPr>
              <w:t>重庆市丰都县大桥管理事务中心</w:t>
            </w:r>
          </w:p>
        </w:tc>
        <w:tc>
          <w:tcPr>
            <w:tcW w:w="705" w:type="pct"/>
            <w:tcBorders>
              <w:top w:val="nil"/>
              <w:left w:val="nil"/>
              <w:bottom w:val="single" w:color="auto" w:sz="4" w:space="0"/>
              <w:right w:val="nil"/>
            </w:tcBorders>
            <w:shd w:val="clear" w:color="auto" w:fill="auto"/>
            <w:noWrap/>
            <w:tcMar>
              <w:top w:w="15" w:type="dxa"/>
              <w:left w:w="15" w:type="dxa"/>
              <w:right w:w="15" w:type="dxa"/>
            </w:tcMar>
            <w:vAlign w:val="bottom"/>
          </w:tcPr>
          <w:p>
            <w:pPr>
              <w:spacing w:line="280" w:lineRule="exact"/>
              <w:jc w:val="right"/>
              <w:rPr>
                <w:rFonts w:hint="default" w:cs="宋体"/>
                <w:color w:val="000000"/>
                <w:sz w:val="20"/>
                <w:szCs w:val="20"/>
              </w:rPr>
            </w:pPr>
          </w:p>
        </w:tc>
        <w:tc>
          <w:tcPr>
            <w:tcW w:w="1508" w:type="pct"/>
            <w:tcBorders>
              <w:top w:val="nil"/>
              <w:left w:val="nil"/>
              <w:bottom w:val="single" w:color="auto" w:sz="4" w:space="0"/>
              <w:right w:val="nil"/>
            </w:tcBorders>
            <w:shd w:val="clear" w:color="auto" w:fill="auto"/>
            <w:noWrap/>
            <w:tcMar>
              <w:top w:w="15" w:type="dxa"/>
              <w:left w:w="15" w:type="dxa"/>
              <w:right w:w="15" w:type="dxa"/>
            </w:tcMar>
            <w:vAlign w:val="bottom"/>
          </w:tcPr>
          <w:p>
            <w:pPr>
              <w:spacing w:line="280" w:lineRule="exact"/>
              <w:rPr>
                <w:rFonts w:hint="default" w:cs="宋体"/>
                <w:color w:val="000000"/>
                <w:sz w:val="20"/>
                <w:szCs w:val="20"/>
              </w:rPr>
            </w:pPr>
          </w:p>
        </w:tc>
        <w:tc>
          <w:tcPr>
            <w:tcW w:w="718" w:type="pct"/>
            <w:tcBorders>
              <w:top w:val="nil"/>
              <w:left w:val="nil"/>
              <w:bottom w:val="single" w:color="auto" w:sz="4" w:space="0"/>
              <w:right w:val="nil"/>
            </w:tcBorders>
            <w:shd w:val="clear" w:color="auto" w:fill="auto"/>
            <w:noWrap/>
            <w:tcMar>
              <w:top w:w="15" w:type="dxa"/>
              <w:left w:w="15" w:type="dxa"/>
              <w:right w:w="15" w:type="dxa"/>
            </w:tcMar>
            <w:vAlign w:val="bottom"/>
          </w:tcPr>
          <w:p>
            <w:pPr>
              <w:spacing w:line="280" w:lineRule="exact"/>
              <w:jc w:val="right"/>
              <w:textAlignment w:val="bottom"/>
              <w:rPr>
                <w:rFonts w:hint="default" w:cs="宋体"/>
                <w:color w:val="000000"/>
                <w:sz w:val="20"/>
                <w:szCs w:val="20"/>
              </w:rPr>
            </w:pPr>
            <w:r>
              <w:rPr>
                <w:rFonts w:cs="宋体"/>
                <w:color w:val="000000"/>
                <w:sz w:val="20"/>
                <w:szCs w:val="20"/>
              </w:rPr>
              <w:t>单位：</w:t>
            </w:r>
            <w:r>
              <w:rPr>
                <w:rFonts w:cs="宋体"/>
                <w:sz w:val="20"/>
                <w:szCs w:val="20"/>
              </w:rPr>
              <w:t>万元</w:t>
            </w:r>
          </w:p>
        </w:tc>
      </w:tr>
      <w:tr>
        <w:tblPrEx>
          <w:tblCellMar>
            <w:top w:w="0" w:type="dxa"/>
            <w:left w:w="170" w:type="dxa"/>
            <w:bottom w:w="0" w:type="dxa"/>
            <w:right w:w="170" w:type="dxa"/>
          </w:tblCellMar>
        </w:tblPrEx>
        <w:trPr>
          <w:trHeight w:val="28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6"/>
                <w:szCs w:val="16"/>
              </w:rPr>
            </w:pPr>
            <w:r>
              <w:rPr>
                <w:rFonts w:cs="宋体"/>
                <w:b/>
                <w:color w:val="000000"/>
                <w:sz w:val="16"/>
                <w:szCs w:val="16"/>
              </w:rPr>
              <w:t>项  目</w:t>
            </w:r>
          </w:p>
        </w:tc>
        <w:tc>
          <w:tcPr>
            <w:tcW w:w="722"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6"/>
                <w:szCs w:val="16"/>
              </w:rPr>
            </w:pPr>
            <w:r>
              <w:rPr>
                <w:rFonts w:cs="宋体"/>
                <w:b/>
                <w:color w:val="000000"/>
                <w:sz w:val="16"/>
                <w:szCs w:val="16"/>
              </w:rPr>
              <w:t>预算数</w:t>
            </w:r>
          </w:p>
        </w:tc>
        <w:tc>
          <w:tcPr>
            <w:tcW w:w="705"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6"/>
                <w:szCs w:val="16"/>
              </w:rPr>
            </w:pPr>
            <w:r>
              <w:rPr>
                <w:rFonts w:cs="宋体"/>
                <w:b/>
                <w:color w:val="000000"/>
                <w:sz w:val="16"/>
                <w:szCs w:val="16"/>
              </w:rPr>
              <w:t>决算数</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6"/>
                <w:szCs w:val="16"/>
              </w:rPr>
            </w:pPr>
            <w:r>
              <w:rPr>
                <w:rFonts w:cs="宋体"/>
                <w:b/>
                <w:color w:val="000000"/>
                <w:sz w:val="16"/>
                <w:szCs w:val="16"/>
              </w:rPr>
              <w:t>项  目</w:t>
            </w:r>
          </w:p>
        </w:tc>
        <w:tc>
          <w:tcPr>
            <w:tcW w:w="71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jc w:val="center"/>
              <w:textAlignment w:val="center"/>
              <w:rPr>
                <w:rFonts w:hint="default" w:cs="宋体"/>
                <w:b/>
                <w:color w:val="000000"/>
                <w:sz w:val="16"/>
                <w:szCs w:val="16"/>
              </w:rPr>
            </w:pPr>
            <w:r>
              <w:rPr>
                <w:rFonts w:cs="宋体"/>
                <w:b/>
                <w:color w:val="000000"/>
                <w:sz w:val="16"/>
                <w:szCs w:val="16"/>
              </w:rPr>
              <w:t>决算数</w:t>
            </w:r>
          </w:p>
        </w:tc>
      </w:tr>
      <w:tr>
        <w:tblPrEx>
          <w:tblCellMar>
            <w:top w:w="0" w:type="dxa"/>
            <w:left w:w="170" w:type="dxa"/>
            <w:bottom w:w="0" w:type="dxa"/>
            <w:right w:w="170" w:type="dxa"/>
          </w:tblCellMar>
        </w:tblPrEx>
        <w:trPr>
          <w:trHeight w:val="28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一、“三公”经费支出</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四、机关运行经费</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（一）支出合计</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1.85</w:t>
            </w:r>
            <w:r>
              <w:rPr>
                <w:color w:val="000000"/>
                <w:sz w:val="16"/>
                <w:u w:color="auto"/>
              </w:rPr>
              <w:t xml:space="preserve"> </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1.85</w:t>
            </w: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（一）行政单位</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1．因公出国（境）费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（二）参照公务员法管理事业单位</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2．公务用车购置及运行维护费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1.85</w:t>
            </w:r>
            <w:r>
              <w:rPr>
                <w:color w:val="000000"/>
                <w:sz w:val="16"/>
                <w:u w:color="auto"/>
              </w:rPr>
              <w:t xml:space="preserve"> </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1.85</w:t>
            </w: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五、资产信息</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（1）公务用车购置费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（一）车辆数合计（辆）</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 xml:space="preserve">1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（2）公务用车运行维护费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1.85</w:t>
            </w:r>
            <w:r>
              <w:rPr>
                <w:color w:val="000000"/>
                <w:sz w:val="16"/>
                <w:u w:color="auto"/>
              </w:rPr>
              <w:t xml:space="preserve"> </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1.85</w:t>
            </w: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1．副部（省）级及以上领导用车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3．公务接待费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2．主要领导干部用车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（1）国内接待费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3．机要通信用车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其中：外事接待费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4．应急保障用车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（2）国（境）外接待费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5．执法执勤用车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（二）相关统计数</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6．特种专业技术用车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w:t>
            </w: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1．因公出国（境）团组数（个）</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7．离退休干部用车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2．因公出国（境）人次数（人）</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8．其他用车</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3．公务用车购置数（辆）</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（二）单价100万元（含）以上设备（不含车辆）</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4．公务用车保有量（辆）</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1</w:t>
            </w: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六、政府采购支出信息</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5．国内公务接待批次（个）</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（一）政府采购支出合计</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423.76</w:t>
            </w: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其中：外事接待批次（个）</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1．政府采购货物支出</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6．国内公务接待人次（人）</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2．政府采购工程支出</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其中：外事接待人次（人）</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3．政府采购服务支出</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423.76</w:t>
            </w: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7．国（境）外公务接待批次（个）</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（二）政府采购授予中小企业合同金额</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423.76</w:t>
            </w:r>
            <w:r>
              <w:rPr>
                <w:color w:val="000000"/>
                <w:sz w:val="16"/>
                <w:u w:color="auto"/>
              </w:rPr>
              <w:t xml:space="preserve"> </w:t>
            </w:r>
          </w:p>
        </w:tc>
      </w:tr>
      <w:tr>
        <w:tblPrEx>
          <w:tblCellMar>
            <w:top w:w="0" w:type="dxa"/>
            <w:left w:w="170" w:type="dxa"/>
            <w:bottom w:w="0" w:type="dxa"/>
            <w:right w:w="170" w:type="dxa"/>
          </w:tblCellMar>
        </w:tblPrEx>
        <w:trPr>
          <w:trHeight w:val="292" w:hRule="atLeast"/>
        </w:trPr>
        <w:tc>
          <w:tcPr>
            <w:tcW w:w="1347" w:type="pct"/>
            <w:tcBorders>
              <w:top w:val="single" w:color="auto" w:sz="4" w:space="0"/>
              <w:left w:val="single" w:color="auto" w:sz="4" w:space="0"/>
              <w:bottom w:val="single" w:color="auto" w:sz="4" w:space="0"/>
              <w:right w:val="single" w:color="auto" w:sz="4" w:space="0"/>
            </w:tcBorders>
            <w:shd w:val="clear" w:color="FFFFFF" w:fill="BFBFBF"/>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8．国（境）外公务接待人次（人）</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FFFFFF"/>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 xml:space="preserve">        其中：授予小微企业合同金额</w:t>
            </w: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r>
      <w:tr>
        <w:tblPrEx>
          <w:tblCellMar>
            <w:top w:w="0" w:type="dxa"/>
            <w:left w:w="170" w:type="dxa"/>
            <w:bottom w:w="0" w:type="dxa"/>
            <w:right w:w="170" w:type="dxa"/>
          </w:tblCellMar>
        </w:tblPrEx>
        <w:trPr>
          <w:trHeight w:val="286"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二、会议费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rPr>
                <w:rFonts w:hint="default" w:cs="宋体"/>
                <w:color w:val="000000"/>
                <w:sz w:val="16"/>
                <w:szCs w:val="16"/>
              </w:rPr>
            </w:pP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rPr>
                <w:rFonts w:hint="default" w:cs="宋体"/>
                <w:color w:val="000000"/>
                <w:sz w:val="16"/>
                <w:szCs w:val="16"/>
              </w:rPr>
            </w:pPr>
          </w:p>
        </w:tc>
      </w:tr>
      <w:tr>
        <w:tblPrEx>
          <w:tblCellMar>
            <w:top w:w="0" w:type="dxa"/>
            <w:left w:w="170" w:type="dxa"/>
            <w:bottom w:w="0" w:type="dxa"/>
            <w:right w:w="170" w:type="dxa"/>
          </w:tblCellMar>
        </w:tblPrEx>
        <w:trPr>
          <w:trHeight w:val="389" w:hRule="atLeast"/>
        </w:trPr>
        <w:tc>
          <w:tcPr>
            <w:tcW w:w="1347"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textAlignment w:val="center"/>
              <w:rPr>
                <w:rFonts w:hint="default" w:cs="宋体"/>
                <w:color w:val="000000"/>
                <w:sz w:val="16"/>
                <w:szCs w:val="16"/>
              </w:rPr>
            </w:pPr>
            <w:r>
              <w:rPr>
                <w:rFonts w:cs="宋体"/>
                <w:color w:val="000000"/>
                <w:sz w:val="16"/>
                <w:szCs w:val="16"/>
              </w:rPr>
              <w:t>三、培训费</w:t>
            </w:r>
          </w:p>
        </w:tc>
        <w:tc>
          <w:tcPr>
            <w:tcW w:w="722"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spacing w:line="200" w:lineRule="exact"/>
              <w:jc w:val="center"/>
              <w:textAlignment w:val="center"/>
              <w:rPr>
                <w:rFonts w:hint="default" w:cs="宋体"/>
                <w:color w:val="000000"/>
                <w:sz w:val="16"/>
                <w:szCs w:val="16"/>
              </w:rPr>
            </w:pPr>
            <w:r>
              <w:rPr>
                <w:rFonts w:cs="宋体"/>
                <w:color w:val="000000"/>
                <w:sz w:val="16"/>
                <w:szCs w:val="16"/>
              </w:rPr>
              <w:t>—</w:t>
            </w:r>
          </w:p>
        </w:tc>
        <w:tc>
          <w:tcPr>
            <w:tcW w:w="7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textAlignment w:val="bottom"/>
              <w:rPr>
                <w:rFonts w:hint="default" w:cs="宋体"/>
                <w:color w:val="000000"/>
                <w:sz w:val="16"/>
                <w:szCs w:val="16"/>
              </w:rPr>
            </w:pPr>
            <w:r>
              <w:rPr>
                <w:rFonts w:cs="宋体"/>
                <w:color w:val="000000"/>
                <w:sz w:val="16"/>
                <w:szCs w:val="16"/>
              </w:rPr>
              <w:t>0.50</w:t>
            </w:r>
            <w:r>
              <w:rPr>
                <w:color w:val="000000"/>
                <w:sz w:val="16"/>
                <w:u w:color="auto"/>
              </w:rPr>
              <w:t xml:space="preserve"> </w:t>
            </w:r>
          </w:p>
        </w:tc>
        <w:tc>
          <w:tcPr>
            <w:tcW w:w="1508" w:type="pct"/>
            <w:tcBorders>
              <w:top w:val="single" w:color="auto" w:sz="4" w:space="0"/>
              <w:left w:val="single" w:color="auto" w:sz="4" w:space="0"/>
              <w:bottom w:val="single" w:color="auto" w:sz="4" w:space="0"/>
              <w:right w:val="single" w:color="auto" w:sz="4" w:space="0"/>
            </w:tcBorders>
            <w:shd w:val="clear" w:color="FFFFFF" w:fill="C0C0C0"/>
            <w:noWrap/>
            <w:tcMar>
              <w:top w:w="15" w:type="dxa"/>
              <w:left w:w="15" w:type="dxa"/>
              <w:right w:w="15" w:type="dxa"/>
            </w:tcMar>
            <w:vAlign w:val="center"/>
          </w:tcPr>
          <w:p>
            <w:pPr>
              <w:spacing w:line="200" w:lineRule="exact"/>
              <w:rPr>
                <w:rFonts w:hint="default" w:cs="宋体"/>
                <w:color w:val="000000"/>
                <w:sz w:val="16"/>
                <w:szCs w:val="16"/>
              </w:rPr>
            </w:pPr>
          </w:p>
        </w:tc>
        <w:tc>
          <w:tcPr>
            <w:tcW w:w="718"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bottom"/>
          </w:tcPr>
          <w:p>
            <w:pPr>
              <w:spacing w:line="200" w:lineRule="exact"/>
              <w:jc w:val="right"/>
              <w:rPr>
                <w:rFonts w:hint="default" w:cs="宋体"/>
                <w:color w:val="000000"/>
                <w:sz w:val="16"/>
                <w:szCs w:val="16"/>
              </w:rPr>
            </w:pPr>
          </w:p>
        </w:tc>
      </w:tr>
    </w:tbl>
    <w:p>
      <w:r>
        <w:rPr>
          <w:rFonts w:cs="宋体"/>
          <w:sz w:val="20"/>
          <w:szCs w:val="20"/>
        </w:rPr>
        <w:t>备注：1.本表反映单位本年度财政拨款“三公”经费支出预决算情况。其中，预算数为“三公”经费全年预算数，反映按规定程序调整后的预算数；决算数为包括本年度财政拨款和以前年度结转资金安排的实际支出。</w:t>
      </w:r>
      <w:r>
        <w:rPr>
          <w:rFonts w:cs="宋体"/>
          <w:sz w:val="20"/>
          <w:szCs w:val="20"/>
        </w:rPr>
        <w:br w:type="textWrapping"/>
      </w:r>
      <w:r>
        <w:rPr>
          <w:rFonts w:cs="宋体"/>
          <w:sz w:val="20"/>
          <w:szCs w:val="20"/>
        </w:rPr>
        <w:t xml:space="preserve">      2.本套报表金额单位转换时可能存在尾数误差。</w:t>
      </w:r>
      <w:r>
        <w:rPr>
          <w:rFonts w:cs="宋体"/>
          <w:sz w:val="20"/>
          <w:szCs w:val="20"/>
        </w:rPr>
        <w:br w:type="textWrapping"/>
      </w:r>
      <w:r>
        <w:rPr>
          <w:rFonts w:cs="宋体"/>
          <w:sz w:val="20"/>
          <w:szCs w:val="20"/>
        </w:rPr>
        <w:br w:type="textWrapping"/>
      </w:r>
      <w:bookmarkStart w:id="1" w:name="_GoBack"/>
      <w:bookmarkEnd w:id="1"/>
    </w:p>
    <w:sectPr>
      <w:pgSz w:w="11906" w:h="16838"/>
      <w:pgMar w:top="2098" w:right="1418" w:bottom="1985" w:left="141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BBA3A40A-8788-46BF-948F-E8833742104C}"/>
  </w:font>
  <w:font w:name="宋体">
    <w:panose1 w:val="02010600030101010101"/>
    <w:charset w:val="7A"/>
    <w:family w:val="auto"/>
    <w:pitch w:val="default"/>
    <w:sig w:usb0="00000003" w:usb1="288F0000" w:usb2="00000006" w:usb3="00000000" w:csb0="00040001" w:csb1="00000000"/>
    <w:embedRegular r:id="rId2" w:fontKey="{E7CAA4F1-24AA-4390-8314-351B0A2C802C}"/>
  </w:font>
  <w:font w:name="Wingdings">
    <w:panose1 w:val="05000000000000000000"/>
    <w:charset w:val="02"/>
    <w:family w:val="auto"/>
    <w:pitch w:val="default"/>
    <w:sig w:usb0="00000000" w:usb1="00000000" w:usb2="00000000" w:usb3="00000000" w:csb0="80000000" w:csb1="00000000"/>
    <w:embedRegular r:id="rId3" w:fontKey="{F875BBE7-656E-44D8-AA65-5511ABE68C52}"/>
  </w:font>
  <w:font w:name="Arial">
    <w:panose1 w:val="020B0604020202020204"/>
    <w:charset w:val="01"/>
    <w:family w:val="swiss"/>
    <w:pitch w:val="default"/>
    <w:sig w:usb0="E0002EFF" w:usb1="C0007843" w:usb2="00000009" w:usb3="00000000" w:csb0="400001FF" w:csb1="FFFF0000"/>
    <w:embedRegular r:id="rId4" w:fontKey="{A458BE97-073B-4150-A164-933669F478A0}"/>
  </w:font>
  <w:font w:name="黑体">
    <w:panose1 w:val="02010609060101010101"/>
    <w:charset w:val="86"/>
    <w:family w:val="auto"/>
    <w:pitch w:val="default"/>
    <w:sig w:usb0="800002BF" w:usb1="38CF7CFA" w:usb2="00000016" w:usb3="00000000" w:csb0="00040001" w:csb1="00000000"/>
    <w:embedRegular r:id="rId5" w:fontKey="{FD045F85-C1BC-457B-91EB-21CFE316859A}"/>
  </w:font>
  <w:font w:name="Courier New">
    <w:panose1 w:val="02070309020205020404"/>
    <w:charset w:val="01"/>
    <w:family w:val="modern"/>
    <w:pitch w:val="default"/>
    <w:sig w:usb0="E0002EFF" w:usb1="C0007843" w:usb2="00000009" w:usb3="00000000" w:csb0="400001FF" w:csb1="FFFF0000"/>
    <w:embedRegular r:id="rId6" w:fontKey="{0DD10365-B198-42D7-939A-3151822F7F42}"/>
  </w:font>
  <w:font w:name="Symbol">
    <w:panose1 w:val="05050102010706020507"/>
    <w:charset w:val="02"/>
    <w:family w:val="roman"/>
    <w:pitch w:val="default"/>
    <w:sig w:usb0="00000000" w:usb1="00000000" w:usb2="00000000" w:usb3="00000000" w:csb0="80000000" w:csb1="00000000"/>
    <w:embedRegular r:id="rId7" w:fontKey="{F619D52A-9D8A-40A3-B88F-7CD5972877F3}"/>
  </w:font>
  <w:font w:name="Calibri">
    <w:panose1 w:val="020F0502020204030204"/>
    <w:charset w:val="00"/>
    <w:family w:val="swiss"/>
    <w:pitch w:val="default"/>
    <w:sig w:usb0="E0002AFF" w:usb1="C000247B" w:usb2="00000009" w:usb3="00000000" w:csb0="200001FF" w:csb1="00000000"/>
    <w:embedRegular r:id="rId8" w:fontKey="{D7FDAF77-A219-4DBB-B93C-EF334E4169E9}"/>
  </w:font>
  <w:font w:name="方正仿宋_GBK">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0" w:usb1="00000000" w:usb2="00000000" w:usb3="00000000" w:csb0="00000000" w:csb1="00000000"/>
    <w:embedRegular r:id="rId9" w:fontKey="{4CCEA0E2-10AE-40B4-8B6C-D8C2F1FBE7F0}"/>
  </w:font>
  <w:font w:name="方正小标宋_GBK">
    <w:panose1 w:val="03000509000000000000"/>
    <w:charset w:val="86"/>
    <w:family w:val="script"/>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方正小标宋简体">
    <w:panose1 w:val="03000509000000000000"/>
    <w:charset w:val="86"/>
    <w:family w:val="auto"/>
    <w:pitch w:val="default"/>
    <w:sig w:usb0="00000000" w:usb1="00000000" w:usb2="00000000" w:usb3="00000000" w:csb0="00000000" w:csb1="00000000"/>
    <w:embedRegular r:id="rId10" w:fontKey="{A30C4160-5450-41E8-98CF-34ED5875AFF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rPr>
        <w:rFonts w:hint="default"/>
      </w:rPr>
    </w:pPr>
    <w:r>
      <w:rPr>
        <w:rFonts w:hint="default"/>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4"/>
                            <w:rPr>
                              <w:rFonts w:hint="default"/>
                            </w:rPr>
                          </w:pPr>
                          <w:r>
                            <w:fldChar w:fldCharType="begin"/>
                          </w:r>
                          <w:r>
                            <w:instrText xml:space="preserve"> PAGE  \* MERGEFORMAT </w:instrText>
                          </w:r>
                          <w:r>
                            <w:fldChar w:fldCharType="separate"/>
                          </w:r>
                          <w:r>
                            <w:rPr>
                              <w:rFonts w:hint="default"/>
                            </w:rPr>
                            <w:t>- 4 -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NJWO7QAAAABQEAAA8AAAAAAAAA&#10;AQAgAAAAIgAAAGRycy9kb3ducmV2LnhtbFBLAQIUABQAAAAIAIdO4kArqOpyGQIAACEEAAAOAAAA&#10;AAAAAAEAIAAAAB8BAABkcnMvZTJvRG9jLnhtbFBLBQYAAAAABgAGAFkBAACqBQAAAAA=&#10;">
              <v:fill on="f" focussize="0,0"/>
              <v:stroke on="f" weight="0.5pt"/>
              <v:imagedata o:title=""/>
              <o:lock v:ext="edit" aspectratio="f"/>
              <v:textbox inset="0mm,0mm,0mm,0mm" style="mso-fit-shape-to-text:t;">
                <w:txbxContent>
                  <w:p>
                    <w:pPr>
                      <w:pStyle w:val="4"/>
                      <w:rPr>
                        <w:rFonts w:hint="default"/>
                      </w:rPr>
                    </w:pPr>
                    <w:r>
                      <w:fldChar w:fldCharType="begin"/>
                    </w:r>
                    <w:r>
                      <w:instrText xml:space="preserve"> PAGE  \* MERGEFORMAT </w:instrText>
                    </w:r>
                    <w:r>
                      <w:fldChar w:fldCharType="separate"/>
                    </w:r>
                    <w:r>
                      <w:rPr>
                        <w:rFonts w:hint="default"/>
                      </w:rPr>
                      <w:t>- 4 -</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7430727"/>
    <w:multiLevelType w:val="singleLevel"/>
    <w:tmpl w:val="A7430727"/>
    <w:lvl w:ilvl="0" w:tentative="0">
      <w:start w:val="1"/>
      <w:numFmt w:val="chineseCounting"/>
      <w:suff w:val="nothing"/>
      <w:lvlText w:val="（%1）"/>
      <w:lvlJc w:val="left"/>
      <w:rPr>
        <w:rFonts w:hint="eastAsia"/>
      </w:rPr>
    </w:lvl>
  </w:abstractNum>
  <w:abstractNum w:abstractNumId="1">
    <w:nsid w:val="C5339A02"/>
    <w:multiLevelType w:val="singleLevel"/>
    <w:tmpl w:val="C5339A02"/>
    <w:lvl w:ilvl="0" w:tentative="0">
      <w:start w:val="5"/>
      <w:numFmt w:val="chineseCounting"/>
      <w:suff w:val="nothing"/>
      <w:lvlText w:val="%1、"/>
      <w:lvlJc w:val="left"/>
      <w:rPr>
        <w:rFonts w:hint="eastAsia"/>
      </w:rPr>
    </w:lvl>
  </w:abstractNum>
  <w:abstractNum w:abstractNumId="2">
    <w:nsid w:val="36E3D5B3"/>
    <w:multiLevelType w:val="singleLevel"/>
    <w:tmpl w:val="36E3D5B3"/>
    <w:lvl w:ilvl="0" w:tentative="0">
      <w:start w:val="2"/>
      <w:numFmt w:val="chineseCounting"/>
      <w:suff w:val="nothing"/>
      <w:lvlText w:val="（%1）"/>
      <w:lvlJc w:val="left"/>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QxMDJjZTdiOTk5ZWVkMTk4YTcxYjMxYmQ2NzNlNDQifQ=="/>
    <w:docVar w:name="KSO_WPS_MARK_KEY" w:val="a0b3c03b-9514-4894-b3eb-f38c178bbad2"/>
  </w:docVars>
  <w:rsids>
    <w:rsidRoot w:val="489725FA"/>
    <w:rsid w:val="00031473"/>
    <w:rsid w:val="00463C3D"/>
    <w:rsid w:val="00716A7E"/>
    <w:rsid w:val="007C66EE"/>
    <w:rsid w:val="008B3386"/>
    <w:rsid w:val="00A82CB1"/>
    <w:rsid w:val="00A937FE"/>
    <w:rsid w:val="00E358A8"/>
    <w:rsid w:val="00E8406C"/>
    <w:rsid w:val="00EA5C06"/>
    <w:rsid w:val="06C10857"/>
    <w:rsid w:val="080C4E30"/>
    <w:rsid w:val="0A02096A"/>
    <w:rsid w:val="0CB9190B"/>
    <w:rsid w:val="195F6CB5"/>
    <w:rsid w:val="1FD1791A"/>
    <w:rsid w:val="22394A78"/>
    <w:rsid w:val="26334D2F"/>
    <w:rsid w:val="26F86C44"/>
    <w:rsid w:val="28C906A9"/>
    <w:rsid w:val="305013A8"/>
    <w:rsid w:val="43101946"/>
    <w:rsid w:val="489725FA"/>
    <w:rsid w:val="55190F3C"/>
    <w:rsid w:val="5B9305EA"/>
    <w:rsid w:val="5DF205E8"/>
    <w:rsid w:val="6CFC69CA"/>
    <w:rsid w:val="6F133EE6"/>
    <w:rsid w:val="70335A5D"/>
    <w:rsid w:val="707B6D2D"/>
    <w:rsid w:val="70EF0C91"/>
    <w:rsid w:val="7B1876FB"/>
    <w:rsid w:val="7D114709"/>
    <w:rsid w:val="7F0A4561"/>
    <w:rsid w:val="F3FB27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qFormat="1"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99"/>
    <w:pPr>
      <w:spacing w:after="120" w:line="240" w:lineRule="atLeast"/>
    </w:pPr>
    <w:rPr>
      <w:rFonts w:ascii="Times New Roman" w:hAnsi="Times New Roman" w:eastAsia="仿宋_GB2312"/>
      <w:spacing w:val="-6"/>
      <w:szCs w:val="20"/>
    </w:rPr>
  </w:style>
  <w:style w:type="paragraph" w:styleId="3">
    <w:name w:val="index 6"/>
    <w:basedOn w:val="1"/>
    <w:next w:val="1"/>
    <w:qFormat/>
    <w:uiPriority w:val="0"/>
    <w:pPr>
      <w:ind w:left="2100"/>
    </w:pPr>
  </w:style>
  <w:style w:type="paragraph" w:styleId="4">
    <w:name w:val="footer"/>
    <w:basedOn w:val="1"/>
    <w:link w:val="15"/>
    <w:qFormat/>
    <w:uiPriority w:val="0"/>
    <w:pPr>
      <w:tabs>
        <w:tab w:val="center" w:pos="4153"/>
        <w:tab w:val="right" w:pos="8306"/>
      </w:tabs>
      <w:snapToGrid w:val="0"/>
      <w:jc w:val="left"/>
    </w:pPr>
    <w:rPr>
      <w:sz w:val="18"/>
      <w:szCs w:val="18"/>
    </w:rPr>
  </w:style>
  <w:style w:type="paragraph" w:styleId="5">
    <w:name w:val="header"/>
    <w:basedOn w:val="1"/>
    <w:link w:val="14"/>
    <w:qFormat/>
    <w:uiPriority w:val="0"/>
    <w:pPr>
      <w:pBdr>
        <w:bottom w:val="single" w:color="auto" w:sz="6" w:space="1"/>
      </w:pBdr>
      <w:tabs>
        <w:tab w:val="center" w:pos="4153"/>
        <w:tab w:val="right" w:pos="8306"/>
      </w:tabs>
      <w:snapToGrid w:val="0"/>
      <w:jc w:val="center"/>
    </w:pPr>
    <w:rPr>
      <w:sz w:val="18"/>
      <w:szCs w:val="18"/>
    </w:rPr>
  </w:style>
  <w:style w:type="paragraph" w:styleId="6">
    <w:name w:val="toc 1"/>
    <w:basedOn w:val="1"/>
    <w:next w:val="1"/>
    <w:qFormat/>
    <w:uiPriority w:val="0"/>
  </w:style>
  <w:style w:type="paragraph" w:styleId="7">
    <w:name w:val="Normal (Web)"/>
    <w:basedOn w:val="1"/>
    <w:qFormat/>
    <w:uiPriority w:val="0"/>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left="0" w:right="0" w:firstLine="0"/>
      <w:contextualSpacing w:val="0"/>
      <w:jc w:val="left"/>
      <w:textAlignment w:val="auto"/>
      <w:outlineLvl w:val="9"/>
    </w:pPr>
    <w:rPr>
      <w:rFonts w:ascii="宋体" w:hAnsi="Times New Roman" w:eastAsia="宋体" w:cs="宋体"/>
      <w:snapToGrid/>
      <w:color w:val="auto"/>
      <w:spacing w:val="0"/>
      <w:w w:val="100"/>
      <w:kern w:val="0"/>
      <w:position w:val="0"/>
      <w:sz w:val="24"/>
      <w:szCs w:val="24"/>
      <w:u w:val="none" w:color="auto"/>
      <w:shd w:val="clear" w:color="auto" w:fill="auto"/>
      <w:vertAlign w:val="baseline"/>
      <w:lang w:val="en-US" w:eastAsia="zh-CN" w:bidi="ar-SA"/>
    </w:rPr>
  </w:style>
  <w:style w:type="character" w:styleId="10">
    <w:name w:val="Strong"/>
    <w:basedOn w:val="9"/>
    <w:qFormat/>
    <w:uiPriority w:val="0"/>
    <w:rPr>
      <w:b/>
    </w:rPr>
  </w:style>
  <w:style w:type="character" w:styleId="11">
    <w:name w:val="Hyperlink"/>
    <w:basedOn w:val="9"/>
    <w:qFormat/>
    <w:uiPriority w:val="0"/>
    <w:rPr>
      <w:color w:val="0000FF"/>
      <w:u w:val="single"/>
    </w:rPr>
  </w:style>
  <w:style w:type="paragraph" w:customStyle="1" w:styleId="12">
    <w:name w:val="样式1"/>
    <w:basedOn w:val="6"/>
    <w:next w:val="6"/>
    <w:qFormat/>
    <w:uiPriority w:val="0"/>
    <w:pPr>
      <w:widowControl/>
      <w:shd w:val="clear" w:color="auto" w:fill="FFFFFF"/>
      <w:spacing w:line="560" w:lineRule="exact"/>
    </w:pPr>
    <w:rPr>
      <w:rFonts w:ascii="Times New Roman" w:hAnsi="Times New Roman" w:eastAsia="方正小标宋_GBK"/>
      <w:b/>
      <w:sz w:val="44"/>
      <w:szCs w:val="44"/>
      <w:shd w:val="clear" w:color="auto" w:fill="FFFFFF"/>
    </w:rPr>
  </w:style>
  <w:style w:type="character" w:customStyle="1" w:styleId="13">
    <w:name w:val="font01"/>
    <w:basedOn w:val="9"/>
    <w:qFormat/>
    <w:uiPriority w:val="0"/>
    <w:rPr>
      <w:rFonts w:hint="eastAsia" w:ascii="宋体" w:hAnsi="宋体" w:eastAsia="宋体" w:cs="宋体"/>
      <w:color w:val="000000"/>
      <w:sz w:val="22"/>
      <w:szCs w:val="22"/>
      <w:u w:val="none"/>
    </w:rPr>
  </w:style>
  <w:style w:type="character" w:customStyle="1" w:styleId="14">
    <w:name w:val="页眉 字符"/>
    <w:basedOn w:val="9"/>
    <w:link w:val="5"/>
    <w:qFormat/>
    <w:uiPriority w:val="0"/>
    <w:rPr>
      <w:kern w:val="2"/>
      <w:sz w:val="18"/>
      <w:szCs w:val="18"/>
    </w:rPr>
  </w:style>
  <w:style w:type="character" w:customStyle="1" w:styleId="15">
    <w:name w:val="页脚 字符"/>
    <w:basedOn w:val="9"/>
    <w:link w:val="4"/>
    <w:qFormat/>
    <w:uiPriority w:val="0"/>
    <w:rPr>
      <w:kern w:val="2"/>
      <w:sz w:val="18"/>
      <w:szCs w:val="18"/>
    </w:rPr>
  </w:style>
  <w:style w:type="paragraph" w:customStyle="1" w:styleId="16">
    <w:name w:val="p0"/>
    <w:next w:val="3"/>
    <w:qFormat/>
    <w:uiPriority w:val="0"/>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auto"/>
      <w:suppressAutoHyphens w:val="0"/>
      <w:kinsoku/>
      <w:wordWrap/>
      <w:overflowPunct/>
      <w:topLinePunct w:val="0"/>
      <w:autoSpaceDE/>
      <w:autoSpaceDN/>
      <w:bidi w:val="0"/>
      <w:adjustRightInd/>
      <w:snapToGrid/>
      <w:spacing w:before="0" w:beforeAutospacing="0" w:after="0" w:afterAutospacing="0" w:line="240" w:lineRule="auto"/>
      <w:ind w:left="0" w:right="0" w:firstLine="0"/>
      <w:contextualSpacing w:val="0"/>
      <w:jc w:val="both"/>
      <w:textAlignment w:val="auto"/>
      <w:outlineLvl w:val="9"/>
    </w:pPr>
    <w:rPr>
      <w:rFonts w:ascii="Times New Roman" w:hAnsi="Times New Roman" w:eastAsia="宋体" w:cs="宋体"/>
      <w:snapToGrid/>
      <w:color w:val="auto"/>
      <w:spacing w:val="0"/>
      <w:w w:val="100"/>
      <w:kern w:val="0"/>
      <w:position w:val="0"/>
      <w:sz w:val="21"/>
      <w:szCs w:val="21"/>
      <w:u w:val="none" w:color="auto"/>
      <w:shd w:val="clear" w:color="auto" w:fill="auto"/>
      <w:vertAlign w:val="baseline"/>
      <w:lang w:val="en-US" w:eastAsia="zh-CN" w:bidi="ar-SA"/>
    </w:rPr>
  </w:style>
  <w:style w:type="paragraph" w:customStyle="1" w:styleId="17">
    <w:name w:val="列出段落1"/>
    <w:basedOn w:val="1"/>
    <w:qFormat/>
    <w:uiPriority w:val="99"/>
    <w:pPr>
      <w:ind w:firstLine="420" w:firstLineChars="200"/>
    </w:pPr>
    <w:rPr>
      <w:rFonts w:hint="default"/>
    </w:rPr>
  </w:style>
  <w:style w:type="paragraph" w:customStyle="1" w:styleId="18">
    <w:name w:val="普通(网站) Char"/>
    <w:qFormat/>
    <w:uiPriority w:val="0"/>
    <w:pPr>
      <w:spacing w:before="100" w:beforeAutospacing="1" w:after="100" w:afterAutospacing="1"/>
    </w:pPr>
    <w:rPr>
      <w:rFonts w:ascii="宋体" w:hAnsi="宋体" w:eastAsia="宋体" w:cs="Times New Roman"/>
      <w:sz w:val="24"/>
      <w:szCs w:val="24"/>
      <w:lang w:val="en-US" w:eastAsia="zh-CN" w:bidi="ar-SA"/>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21</Pages>
  <Words>8776</Words>
  <Characters>10736</Characters>
  <Lines>4</Lines>
  <Paragraphs>1</Paragraphs>
  <TotalTime>2</TotalTime>
  <ScaleCrop>false</ScaleCrop>
  <LinksUpToDate>false</LinksUpToDate>
  <CharactersWithSpaces>11808</CharactersWithSpaces>
  <Application>WPS Office_11.3.0.9228_F1E327BC-269C-435d-A152-05C5408002CA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2023-10-20T15:14:00Z</dcterms:created>
  <dc:creator>作者</dc:creator>
  <cp:lastModifiedBy>曼宁</cp:lastModifiedBy>
  <cp:lastPrinted>2024-09-24T08:21:00Z</cp:lastPrinted>
  <dcterms:modified xsi:type="dcterms:W3CDTF">2024-09-25T03:03:22Z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2052-11.3.0.9228</vt:lpwstr>
  </property>
  <property fmtid="{D5CDD505-2E9C-101B-9397-08002B2CF9AE}" pid="3" name="ICV">
    <vt:lpwstr>D6F18F38FF724699876E539D18243BB9_13</vt:lpwstr>
  </property>
</Properties>
</file>