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b/>
          <w:bCs/>
          <w:color w:val="000000" w:themeColor="text1"/>
          <w:sz w:val="40"/>
          <w:szCs w:val="40"/>
          <w14:textFill>
            <w14:solidFill>
              <w14:schemeClr w14:val="tx1"/>
            </w14:solidFill>
          </w14:textFill>
        </w:rPr>
      </w:pPr>
      <w:bookmarkStart w:id="0" w:name="_GoBack"/>
      <w:r>
        <w:rPr>
          <w:rFonts w:hint="eastAsia"/>
          <w:b/>
          <w:bCs/>
          <w:color w:val="000000" w:themeColor="text1"/>
          <w:sz w:val="40"/>
          <w:szCs w:val="40"/>
          <w14:textFill>
            <w14:solidFill>
              <w14:schemeClr w14:val="tx1"/>
            </w14:solidFill>
          </w14:textFill>
        </w:rPr>
        <w:t>重庆市丰都县规划和自然资源局（本级）</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b/>
          <w:bCs/>
          <w:color w:val="000000" w:themeColor="text1"/>
          <w:sz w:val="40"/>
          <w:szCs w:val="40"/>
          <w14:textFill>
            <w14:solidFill>
              <w14:schemeClr w14:val="tx1"/>
            </w14:solidFill>
          </w14:textFill>
        </w:rPr>
      </w:pPr>
      <w:r>
        <w:rPr>
          <w:rFonts w:hint="eastAsia"/>
          <w:b/>
          <w:bCs/>
          <w:color w:val="000000" w:themeColor="text1"/>
          <w:sz w:val="40"/>
          <w:szCs w:val="40"/>
          <w14:textFill>
            <w14:solidFill>
              <w14:schemeClr w14:val="tx1"/>
            </w14:solidFill>
          </w14:textFill>
        </w:rPr>
        <w:t>2021年度部门决算情况说明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2" w:firstLineChars="200"/>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一、部门基本情况</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（一）职能职责。</w:t>
      </w:r>
    </w:p>
    <w:p>
      <w:pPr>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asciiTheme="majorEastAsia" w:hAnsiTheme="majorEastAsia" w:eastAsiaTheme="majorEastAsia" w:cstheme="majorEastAsia"/>
          <w:snapToGrid w:val="0"/>
          <w:color w:val="000000" w:themeColor="text1"/>
          <w:kern w:val="0"/>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b/>
          <w:bCs/>
          <w:snapToGrid w:val="0"/>
          <w:color w:val="000000" w:themeColor="text1"/>
          <w:kern w:val="0"/>
          <w:sz w:val="30"/>
          <w:szCs w:val="30"/>
          <w14:textFill>
            <w14:solidFill>
              <w14:schemeClr w14:val="tx1"/>
            </w14:solidFill>
          </w14:textFill>
        </w:rPr>
        <w:t xml:space="preserve"> </w:t>
      </w:r>
      <w:r>
        <w:rPr>
          <w:rFonts w:hint="eastAsia" w:asciiTheme="majorEastAsia" w:hAnsiTheme="majorEastAsia" w:eastAsiaTheme="majorEastAsia" w:cstheme="majorEastAsia"/>
          <w:b/>
          <w:bCs/>
          <w:snapToGrid w:val="0"/>
          <w:color w:val="000000" w:themeColor="text1"/>
          <w:kern w:val="0"/>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snapToGrid w:val="0"/>
          <w:color w:val="000000" w:themeColor="text1"/>
          <w:kern w:val="0"/>
          <w:sz w:val="30"/>
          <w:szCs w:val="30"/>
          <w14:textFill>
            <w14:solidFill>
              <w14:schemeClr w14:val="tx1"/>
            </w14:solidFill>
          </w14:textFill>
        </w:rPr>
        <w:t>一是履行全民所有土地、矿产、森林、草原、湿地、水等自然资源资产所有者职责和所有国土空间用途管制职责。二是负责自然资源调查监测评价。三是负责自然资源统一确权登记工作。四是负责自然资源资产有偿使用工作。五是负责自然资源的合理开发利用。六是负责建立空间规划体系并监督实施。七是贯彻执行国土空间用途管制制度和城乡规划政策并监督实施。八是负责自然资源文化的挖掘、研究、保护和利用工作。九是承担国土空间生态修复。十是负责实施最严格的耕地保护制度。十一是负责管理地质勘查行业和地质工作。十二是负责落实综合防灾减灾规划相关要求，组织编制地质灾害防治规划并实施。十三是负责矿产资源管理工作。十四是负责测绘地理信息管理工作。十五是承担空间规划和自然资源管理的督察工作。十六是</w:t>
      </w:r>
      <w:r>
        <w:rPr>
          <w:rFonts w:hint="eastAsia" w:asciiTheme="majorEastAsia" w:hAnsiTheme="majorEastAsia" w:eastAsiaTheme="majorEastAsia" w:cstheme="majorEastAsia"/>
          <w:snapToGrid w:val="0"/>
          <w:color w:val="000000" w:themeColor="text1"/>
          <w:kern w:val="0"/>
          <w:sz w:val="30"/>
          <w:szCs w:val="30"/>
          <w:lang w:val="zh-CN"/>
          <w14:textFill>
            <w14:solidFill>
              <w14:schemeClr w14:val="tx1"/>
            </w14:solidFill>
          </w14:textFill>
        </w:rPr>
        <w:t>负责机关、所属单位党群、安全监管、信访稳定、规划和自然资源扶贫工作。十七是</w:t>
      </w:r>
      <w:r>
        <w:rPr>
          <w:rFonts w:hint="eastAsia" w:asciiTheme="majorEastAsia" w:hAnsiTheme="majorEastAsia" w:eastAsiaTheme="majorEastAsia" w:cstheme="majorEastAsia"/>
          <w:snapToGrid w:val="0"/>
          <w:color w:val="000000" w:themeColor="text1"/>
          <w:kern w:val="0"/>
          <w:sz w:val="30"/>
          <w:szCs w:val="30"/>
          <w14:textFill>
            <w14:solidFill>
              <w14:schemeClr w14:val="tx1"/>
            </w14:solidFill>
          </w14:textFill>
        </w:rPr>
        <w:t>归口管理县林业局。十八是承担丰都县规划委员会的日常工作。十九是管理基层所。二十是完成县委、县政府和重庆市规划和自然资源局交办的其他任务。二十一是职能转变。</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（二）机构设置。</w:t>
      </w:r>
    </w:p>
    <w:p>
      <w:pPr>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Fonts w:hint="eastAsia" w:asciiTheme="majorEastAsia" w:hAnsiTheme="majorEastAsia" w:eastAsiaTheme="majorEastAsia" w:cstheme="majorEastAsia"/>
          <w:snapToGrid w:val="0"/>
          <w:color w:val="000000" w:themeColor="text1"/>
          <w:kern w:val="0"/>
          <w:sz w:val="30"/>
          <w:szCs w:val="30"/>
          <w14:textFill>
            <w14:solidFill>
              <w14:schemeClr w14:val="tx1"/>
            </w14:solidFill>
          </w14:textFill>
        </w:rPr>
        <w:t>丰都县规划和自然资源局设下列9个内设机构，</w:t>
      </w:r>
      <w:r>
        <w:rPr>
          <w:rFonts w:hint="eastAsia" w:asciiTheme="majorEastAsia" w:hAnsiTheme="majorEastAsia" w:eastAsiaTheme="majorEastAsia" w:cstheme="majorEastAsia"/>
          <w:color w:val="000000" w:themeColor="text1"/>
          <w:sz w:val="30"/>
          <w:szCs w:val="30"/>
          <w14:textFill>
            <w14:solidFill>
              <w14:schemeClr w14:val="tx1"/>
            </w14:solidFill>
          </w14:textFill>
        </w:rPr>
        <w:t>包括办公室、政策法规科（行政审批服务科）、自然资源调查登记科、地质矿产科、自然资源开发利用科、国土空间规划科、工程规划管理科（丰都县规划委员会办公室）、自然资源保护科、征地拆迁科。行政编制19名，设局长1名，副局长4名；内设机构领导职数9名（各科室设科长、主任1名）；后勤服务人员事业编制2名。</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331" w:leftChars="0"/>
        <w:textAlignment w:val="auto"/>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(三）</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单位构成。</w:t>
      </w:r>
    </w:p>
    <w:p>
      <w:pPr>
        <w:keepNext w:val="0"/>
        <w:keepLines w:val="0"/>
        <w:pageBreakBefore w:val="0"/>
        <w:kinsoku/>
        <w:wordWrap/>
        <w:overflowPunct/>
        <w:topLinePunct w:val="0"/>
        <w:autoSpaceDE/>
        <w:autoSpaceDN/>
        <w:bidi w:val="0"/>
        <w:adjustRightInd/>
        <w:spacing w:beforeAutospacing="0" w:afterAutospacing="0" w:line="560" w:lineRule="exact"/>
        <w:ind w:firstLine="600" w:firstLineChars="200"/>
        <w:textAlignment w:val="auto"/>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FF"/>
          <w:sz w:val="30"/>
          <w:szCs w:val="30"/>
          <w:lang w:eastAsia="zh-CN"/>
        </w:rPr>
        <w:t>从预算单位构成看，无纳入</w:t>
      </w:r>
      <w:r>
        <w:rPr>
          <w:rFonts w:hint="eastAsia" w:asciiTheme="majorEastAsia" w:hAnsiTheme="majorEastAsia" w:eastAsiaTheme="majorEastAsia" w:cstheme="majorEastAsia"/>
          <w:color w:val="0000FF"/>
          <w:sz w:val="30"/>
          <w:szCs w:val="30"/>
        </w:rPr>
        <w:t>本</w:t>
      </w:r>
      <w:r>
        <w:rPr>
          <w:rFonts w:hint="eastAsia" w:asciiTheme="majorEastAsia" w:hAnsiTheme="majorEastAsia" w:eastAsiaTheme="majorEastAsia" w:cstheme="majorEastAsia"/>
          <w:color w:val="0000FF"/>
          <w:sz w:val="30"/>
          <w:szCs w:val="30"/>
          <w:lang w:eastAsia="zh-CN"/>
        </w:rPr>
        <w:t>部门</w:t>
      </w:r>
      <w:r>
        <w:rPr>
          <w:rFonts w:hint="eastAsia" w:asciiTheme="majorEastAsia" w:hAnsiTheme="majorEastAsia" w:eastAsiaTheme="majorEastAsia" w:cstheme="majorEastAsia"/>
          <w:color w:val="0000FF"/>
          <w:sz w:val="30"/>
          <w:szCs w:val="30"/>
          <w:lang w:val="en-US" w:eastAsia="zh-CN"/>
        </w:rPr>
        <w:t>2021年度决算编制的</w:t>
      </w:r>
      <w:r>
        <w:rPr>
          <w:rFonts w:hint="eastAsia" w:asciiTheme="majorEastAsia" w:hAnsiTheme="majorEastAsia" w:eastAsiaTheme="majorEastAsia" w:cstheme="majorEastAsia"/>
          <w:color w:val="0000FF"/>
          <w:sz w:val="30"/>
          <w:szCs w:val="30"/>
        </w:rPr>
        <w:t>下级预算单位。</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二、部门决算情况说明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（一）收入支出决算总体情况说明。</w:t>
      </w:r>
    </w:p>
    <w:p>
      <w:pPr>
        <w:pStyle w:val="3"/>
        <w:spacing w:before="0" w:beforeAutospacing="0" w:after="0" w:afterAutospacing="0" w:line="560" w:lineRule="exact"/>
        <w:ind w:firstLine="602" w:firstLineChars="200"/>
        <w:jc w:val="both"/>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1.总体情况。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2021年度收入总计93,549.63万元，支出总计93,549.63万元。收支较上年决算数减少14,745.67万元、下降13.6%，主要原因是保障性安居工程棚户区改造资金的投入减少。</w:t>
      </w:r>
    </w:p>
    <w:p>
      <w:pPr>
        <w:spacing w:line="560" w:lineRule="exact"/>
        <w:ind w:firstLine="602" w:firstLineChars="200"/>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2.收入情况。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2021年度收入合计32,298.89万元，较上年决算数增加826.70万元，增长2.6%，主要原因是收征地成本费</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及</w:t>
      </w:r>
      <w:r>
        <w:rPr>
          <w:rFonts w:hint="eastAsia" w:asciiTheme="majorEastAsia" w:hAnsiTheme="majorEastAsia" w:eastAsiaTheme="majorEastAsia" w:cstheme="majorEastAsia"/>
          <w:color w:val="000000" w:themeColor="text1"/>
          <w:sz w:val="30"/>
          <w:szCs w:val="30"/>
          <w14:textFill>
            <w14:solidFill>
              <w14:schemeClr w14:val="tx1"/>
            </w14:solidFill>
          </w14:textFill>
        </w:rPr>
        <w:t>棚户区改造项目拆迁补偿安置费</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30"/>
          <w:szCs w:val="30"/>
          <w14:textFill>
            <w14:solidFill>
              <w14:schemeClr w14:val="tx1"/>
            </w14:solidFill>
          </w14:textFill>
        </w:rPr>
        <w:t>其中：财政拨款收入3,946.50万元，占12.2%；其他收入28,352.39万元，占87.8%。此外，使用非财政拨款结余0.00万元，年初结转和结余61,250.74万元。</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3.支出情况。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2021年度支出合计53,478.51万元，较上年决算数增加8,376.84万元，增长18.6%，主要原因是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土地开发</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2021年新增建设用地土地有偿使用费</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及征地拆迁补偿支出增加</w:t>
      </w:r>
      <w:r>
        <w:rPr>
          <w:rFonts w:hint="eastAsia" w:asciiTheme="majorEastAsia" w:hAnsiTheme="majorEastAsia" w:eastAsiaTheme="majorEastAsia" w:cstheme="majorEastAsia"/>
          <w:color w:val="000000" w:themeColor="text1"/>
          <w:sz w:val="30"/>
          <w:szCs w:val="30"/>
          <w14:textFill>
            <w14:solidFill>
              <w14:schemeClr w14:val="tx1"/>
            </w14:solidFill>
          </w14:textFill>
        </w:rPr>
        <w:t>。其中：基本支出491.99万元，占0.9%；项目支出52,986.52万元，占99.1%。此外，结余分配0.00万元。</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4.结转结余情况。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2021年度年末结转和结余40,071.13万元，较上年决算数减少23,122.50万元，下降36.6%，主要原因是上年结转的部分项目在今年支出</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（二）财政拨款收入支出决算总体情况说明。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2021年度财政拨款收、支总计6,235.89万元。与2020年相比，财政拨款收、支总计各增加15.23万元，增长0.2%。主要原因是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丰忠高速路补报手续资金增加。</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（三）一般公共预算财政拨款收入支出决算情况说明。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1.收入情况。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2021年度一般公共预算财政拨款收入3,384.82万元，较上年决算数减少2,357.48万元，下降41.1%。主要原因是保障性安居工程棚户区改造资金支出减少。较年初预算数增加1,695.49万元，增长100.4%。主要原因是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调整土地开发</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2021年新增建设用地土地有偿使用项目</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预算</w:t>
      </w:r>
      <w:r>
        <w:rPr>
          <w:rFonts w:hint="eastAsia" w:asciiTheme="majorEastAsia" w:hAnsiTheme="majorEastAsia" w:eastAsiaTheme="majorEastAsia" w:cstheme="majorEastAsia"/>
          <w:color w:val="000000" w:themeColor="text1"/>
          <w:sz w:val="30"/>
          <w:szCs w:val="30"/>
          <w14:textFill>
            <w14:solidFill>
              <w14:schemeClr w14:val="tx1"/>
            </w14:solidFill>
          </w14:textFill>
        </w:rPr>
        <w:t>。此外，年初财政拨款结转和结余1,300.86万元。</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2.支出情况。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2021年度一般公共预算财政拨款支出4,685.68万元，较上年决算数减少1,056.62万元，下降18.4%。主要原因是保障性安居工程棚户区改造资金</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减少</w:t>
      </w:r>
      <w:r>
        <w:rPr>
          <w:rFonts w:hint="eastAsia" w:asciiTheme="majorEastAsia" w:hAnsiTheme="majorEastAsia" w:eastAsiaTheme="majorEastAsia" w:cstheme="majorEastAsia"/>
          <w:color w:val="000000" w:themeColor="text1"/>
          <w:sz w:val="30"/>
          <w:szCs w:val="30"/>
          <w14:textFill>
            <w14:solidFill>
              <w14:schemeClr w14:val="tx1"/>
            </w14:solidFill>
          </w14:textFill>
        </w:rPr>
        <w:t>。较年初预算数增加2,996.35万元，增长177.4%。主要原因是</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2021年新增建设用地土地有偿使用费增加</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3.结转结余情况。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2021年度年末一般公共预算财政拨款结转和结余0.00万元，</w:t>
      </w:r>
      <w:r>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t>与上年决算数持平</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4.比较情况。</w:t>
      </w:r>
      <w:r>
        <w:rPr>
          <w:rFonts w:hint="eastAsia" w:asciiTheme="majorEastAsia" w:hAnsiTheme="majorEastAsia" w:eastAsiaTheme="majorEastAsia" w:cstheme="majorEastAsia"/>
          <w:color w:val="000000" w:themeColor="text1"/>
          <w:sz w:val="30"/>
          <w:szCs w:val="30"/>
          <w14:textFill>
            <w14:solidFill>
              <w14:schemeClr w14:val="tx1"/>
            </w14:solidFill>
          </w14:textFill>
        </w:rPr>
        <w:t>本部门2021年度一般公共预算财政拨款支出主要用于以下几个方面：</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FF"/>
          <w:sz w:val="30"/>
          <w:szCs w:val="30"/>
          <w:lang w:eastAsia="zh-CN"/>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30"/>
          <w:szCs w:val="30"/>
          <w14:textFill>
            <w14:solidFill>
              <w14:schemeClr w14:val="tx1"/>
            </w14:solidFill>
          </w14:textFill>
        </w:rPr>
        <w:t>）社会保障与就业支出80.48万元，占1.7%，较年初预算数增加13.20万元，增长19.6%，</w:t>
      </w:r>
      <w:r>
        <w:rPr>
          <w:rFonts w:hint="eastAsia" w:asciiTheme="majorEastAsia" w:hAnsiTheme="majorEastAsia" w:eastAsiaTheme="majorEastAsia" w:cstheme="majorEastAsia"/>
          <w:color w:val="0000FF"/>
          <w:sz w:val="30"/>
          <w:szCs w:val="30"/>
        </w:rPr>
        <w:t>主要</w:t>
      </w:r>
      <w:r>
        <w:rPr>
          <w:rFonts w:hint="eastAsia" w:asciiTheme="majorEastAsia" w:hAnsiTheme="majorEastAsia" w:eastAsiaTheme="majorEastAsia" w:cstheme="majorEastAsia"/>
          <w:color w:val="0000FF"/>
          <w:sz w:val="30"/>
          <w:szCs w:val="30"/>
          <w:lang w:eastAsia="zh-CN"/>
        </w:rPr>
        <w:t>原因是人员变动年中进行预算调整导致增加。</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30"/>
          <w:szCs w:val="30"/>
          <w14:textFill>
            <w14:solidFill>
              <w14:schemeClr w14:val="tx1"/>
            </w14:solidFill>
          </w14:textFill>
        </w:rPr>
        <w:t>）卫生健康支出23.52万元，占0.5%，较年初预算数减少3.08万元，下降11.6%，主要原因是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人员退休。</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FF"/>
          <w:sz w:val="30"/>
          <w:szCs w:val="30"/>
          <w:lang w:eastAsia="zh-CN"/>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30"/>
          <w:szCs w:val="30"/>
          <w14:textFill>
            <w14:solidFill>
              <w14:schemeClr w14:val="tx1"/>
            </w14:solidFill>
          </w14:textFill>
        </w:rPr>
        <w:t>）城乡社区支出573.86万元，占12.2%，较年初预算数减少426.14万元，下降42.61%，</w:t>
      </w:r>
      <w:r>
        <w:rPr>
          <w:rFonts w:hint="eastAsia" w:asciiTheme="majorEastAsia" w:hAnsiTheme="majorEastAsia" w:eastAsiaTheme="majorEastAsia" w:cstheme="majorEastAsia"/>
          <w:color w:val="0000FF"/>
          <w:sz w:val="30"/>
          <w:szCs w:val="30"/>
        </w:rPr>
        <w:t>主要原因是</w:t>
      </w:r>
      <w:r>
        <w:rPr>
          <w:rFonts w:hint="eastAsia" w:asciiTheme="majorEastAsia" w:hAnsiTheme="majorEastAsia" w:eastAsiaTheme="majorEastAsia" w:cstheme="majorEastAsia"/>
          <w:color w:val="0000FF"/>
          <w:sz w:val="30"/>
          <w:szCs w:val="30"/>
          <w:lang w:eastAsia="zh-CN"/>
        </w:rPr>
        <w:t>年中规划编制费费预算调整减少。</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30"/>
          <w:szCs w:val="30"/>
          <w14:textFill>
            <w14:solidFill>
              <w14:schemeClr w14:val="tx1"/>
            </w14:solidFill>
          </w14:textFill>
        </w:rPr>
        <w:t>）自然资源海洋气象等支出3,934.07万元，占84%，较年初预算数增加3,358.35万元，增长583.3%，主要原因是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调整增加</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2021年新增建设用地土地有偿使用费</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30"/>
          <w:szCs w:val="30"/>
          <w14:textFill>
            <w14:solidFill>
              <w14:schemeClr w14:val="tx1"/>
            </w14:solidFill>
          </w14:textFill>
        </w:rPr>
        <w:t>）住房保障支出19.74万元，占0.4%</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w:t>
      </w:r>
      <w:r>
        <w:rPr>
          <w:rFonts w:hint="eastAsia" w:asciiTheme="majorEastAsia" w:hAnsiTheme="majorEastAsia" w:eastAsiaTheme="majorEastAsia" w:cstheme="majorEastAsia"/>
          <w:color w:val="0000FF"/>
          <w:sz w:val="30"/>
          <w:szCs w:val="30"/>
          <w:lang w:eastAsia="zh-CN"/>
        </w:rPr>
        <w:t>与年初预算数持平。</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30"/>
          <w:szCs w:val="30"/>
          <w14:textFill>
            <w14:solidFill>
              <w14:schemeClr w14:val="tx1"/>
            </w14:solidFill>
          </w14:textFill>
        </w:rPr>
        <w:t>）灾害防治及应急管理支出54.00万元，占1.2%，较年初预算数增加54.00万元，增长</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100</w:t>
      </w:r>
      <w:r>
        <w:rPr>
          <w:rFonts w:hint="eastAsia" w:asciiTheme="majorEastAsia" w:hAnsiTheme="majorEastAsia" w:eastAsiaTheme="majorEastAsia" w:cstheme="majorEastAsia"/>
          <w:color w:val="000000" w:themeColor="text1"/>
          <w:sz w:val="30"/>
          <w:szCs w:val="30"/>
          <w14:textFill>
            <w14:solidFill>
              <w14:schemeClr w14:val="tx1"/>
            </w14:solidFill>
          </w14:textFill>
        </w:rPr>
        <w:t>%，主要原因是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调整增加地质灾害防治资金。</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（四）一般公共预算财政拨款基本支出决算情况说明。</w:t>
      </w:r>
    </w:p>
    <w:p>
      <w:pPr>
        <w:pStyle w:val="3"/>
        <w:shd w:val="clear" w:color="auto" w:fill="FFFFFF"/>
        <w:snapToGrid w:val="0"/>
        <w:spacing w:before="0" w:beforeAutospacing="0" w:after="0" w:afterAutospacing="0" w:line="560" w:lineRule="exact"/>
        <w:ind w:firstLine="600" w:firstLineChars="200"/>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2021年度一般公共财政拨款基本支出491.99万元。其中：人员经费446.35万元，较上年决算数增加82.19万元，增长22.6%，主要原因是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人员增加</w:t>
      </w:r>
      <w:r>
        <w:rPr>
          <w:rFonts w:hint="eastAsia" w:asciiTheme="majorEastAsia" w:hAnsiTheme="majorEastAsia" w:eastAsiaTheme="majorEastAsia" w:cstheme="majorEastAsia"/>
          <w:color w:val="000000" w:themeColor="text1"/>
          <w:sz w:val="30"/>
          <w:szCs w:val="30"/>
          <w14:textFill>
            <w14:solidFill>
              <w14:schemeClr w14:val="tx1"/>
            </w14:solidFill>
          </w14:textFill>
        </w:rPr>
        <w:t>。人员经费用途主要包括职工基本工资、津贴补贴、奖金、社会保障缴费等。公用经费45.64万元，较上年决算数减少49.13万元，下降51.8%，主要原因</w:t>
      </w:r>
      <w:r>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t>是节约开支。公用经费用途主要包括</w:t>
      </w:r>
      <w:r>
        <w:rPr>
          <w:rFonts w:hint="eastAsia" w:asciiTheme="majorEastAsia" w:hAnsiTheme="majorEastAsia" w:eastAsiaTheme="majorEastAsia" w:cstheme="majorEastAsia"/>
          <w:color w:val="000000" w:themeColor="text1"/>
          <w:sz w:val="30"/>
          <w:szCs w:val="30"/>
          <w14:textFill>
            <w14:solidFill>
              <w14:schemeClr w14:val="tx1"/>
            </w14:solidFill>
          </w14:textFill>
        </w:rPr>
        <w:t>办公费、水电费、印刷费、咨询费、手续费、差旅费、劳务费等</w:t>
      </w:r>
      <w:r>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（五）政府性基金预算收支决算情况说明。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2021年度政府性基金预算财政拨款年初结转结余988.54万元，年末结转结余0.00万元。本年收入561.68万元，较上年决算数增加83.32万元，增长17.4%，主要原因是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三峡后续规划地质灾害防治资金增加</w:t>
      </w:r>
      <w:r>
        <w:rPr>
          <w:rFonts w:hint="eastAsia" w:asciiTheme="majorEastAsia" w:hAnsiTheme="majorEastAsia" w:eastAsiaTheme="majorEastAsia" w:cstheme="majorEastAsia"/>
          <w:color w:val="000000" w:themeColor="text1"/>
          <w:sz w:val="30"/>
          <w:szCs w:val="30"/>
          <w14:textFill>
            <w14:solidFill>
              <w14:schemeClr w14:val="tx1"/>
            </w14:solidFill>
          </w14:textFill>
        </w:rPr>
        <w:t>。本年支出1,550.22万元，较上年决算数增加1,071.86万元，增长224.1%，主要原因是</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2021年新增建设用地土地有偿使用费支出增加。</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（六）国有资本经营预算财政拨款支出决算情况说明。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本部门2021年度无国有资本经营预算财政拨款支出。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三、“三公”经费情况说明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（一）“三公”经费支出总体情况说明。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2021年度“三公”经费支出共计0.84万元，较年初预算数减少14.16万元，下降94.4%</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30"/>
          <w:szCs w:val="30"/>
          <w14:textFill>
            <w14:solidFill>
              <w14:schemeClr w14:val="tx1"/>
            </w14:solidFill>
          </w14:textFill>
        </w:rPr>
        <w:t>较上年支出数减少1.67万元，下降66.5%，主要原因是认真贯彻落实</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中央八项规定</w:t>
      </w:r>
      <w:r>
        <w:rPr>
          <w:rFonts w:hint="eastAsia" w:asciiTheme="majorEastAsia" w:hAnsiTheme="majorEastAsia" w:eastAsiaTheme="majorEastAsia" w:cstheme="majorEastAsia"/>
          <w:color w:val="000000" w:themeColor="text1"/>
          <w:sz w:val="30"/>
          <w:szCs w:val="30"/>
          <w14:textFill>
            <w14:solidFill>
              <w14:schemeClr w14:val="tx1"/>
            </w14:solidFill>
          </w14:textFill>
        </w:rPr>
        <w:t>精神和厉行节约要求，按照只减不增的要求从严控制三公经费，全年实际支出较预算和上年决算均有所下降。。</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（二）“三公”经费分项支出情况。</w:t>
      </w:r>
    </w:p>
    <w:p>
      <w:pPr>
        <w:pStyle w:val="3"/>
        <w:spacing w:before="0" w:beforeAutospacing="0" w:after="0" w:afterAutospacing="0" w:line="560" w:lineRule="exact"/>
        <w:ind w:firstLine="600" w:firstLineChars="200"/>
        <w:rPr>
          <w:rFonts w:hint="eastAsia" w:asciiTheme="majorEastAsia" w:hAnsiTheme="majorEastAsia" w:eastAsiaTheme="majorEastAsia" w:cstheme="majorEastAsia"/>
          <w:color w:val="0000FF"/>
          <w:sz w:val="30"/>
          <w:szCs w:val="30"/>
          <w:shd w:val="clear" w:color="auto" w:fill="FFFFFF"/>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w:t>
      </w:r>
      <w:r>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t>本部门因公出国（境）</w:t>
      </w:r>
      <w:r>
        <w:rPr>
          <w:rFonts w:hint="eastAsia" w:asciiTheme="majorEastAsia" w:hAnsiTheme="majorEastAsia" w:eastAsiaTheme="majorEastAsia" w:cstheme="majorEastAsia"/>
          <w:color w:val="000000" w:themeColor="text1"/>
          <w:sz w:val="30"/>
          <w:szCs w:val="30"/>
          <w:shd w:val="clear" w:color="auto" w:fill="FFFFFF"/>
          <w:lang w:eastAsia="zh-CN"/>
          <w14:textFill>
            <w14:solidFill>
              <w14:schemeClr w14:val="tx1"/>
            </w14:solidFill>
          </w14:textFill>
        </w:rPr>
        <w:t>费用</w:t>
      </w:r>
      <w:r>
        <w:rPr>
          <w:rFonts w:hint="eastAsia" w:asciiTheme="majorEastAsia" w:hAnsiTheme="majorEastAsia" w:eastAsiaTheme="majorEastAsia" w:cstheme="majorEastAsia"/>
          <w:color w:val="000000" w:themeColor="text1"/>
          <w:sz w:val="30"/>
          <w:szCs w:val="30"/>
          <w:shd w:val="clear" w:color="auto" w:fill="FFFFFF"/>
          <w:lang w:val="en-US" w:eastAsia="zh-CN"/>
          <w14:textFill>
            <w14:solidFill>
              <w14:schemeClr w14:val="tx1"/>
            </w14:solidFill>
          </w14:textFill>
        </w:rPr>
        <w:t>0.00万元 ，</w:t>
      </w:r>
      <w:r>
        <w:rPr>
          <w:rFonts w:hint="eastAsia" w:asciiTheme="majorEastAsia" w:hAnsiTheme="majorEastAsia" w:eastAsiaTheme="majorEastAsia" w:cstheme="majorEastAsia"/>
          <w:color w:val="0000FF"/>
          <w:sz w:val="30"/>
          <w:szCs w:val="30"/>
          <w:shd w:val="clear" w:color="auto" w:fill="FFFFFF"/>
          <w:lang w:val="en-US" w:eastAsia="zh-CN"/>
        </w:rPr>
        <w:t>与年初预算数及上年支出数持平</w:t>
      </w:r>
      <w:r>
        <w:rPr>
          <w:rFonts w:hint="eastAsia" w:asciiTheme="majorEastAsia" w:hAnsiTheme="majorEastAsia" w:eastAsiaTheme="majorEastAsia" w:cstheme="majorEastAsia"/>
          <w:color w:val="0000FF"/>
          <w:sz w:val="30"/>
          <w:szCs w:val="30"/>
          <w:shd w:val="clear" w:color="auto" w:fill="FFFFFF"/>
        </w:rPr>
        <w:t>。</w:t>
      </w:r>
    </w:p>
    <w:p>
      <w:pPr>
        <w:pStyle w:val="3"/>
        <w:spacing w:before="0" w:beforeAutospacing="0" w:after="0" w:afterAutospacing="0" w:line="560" w:lineRule="exact"/>
        <w:ind w:firstLine="600" w:firstLineChars="200"/>
        <w:rPr>
          <w:rFonts w:hint="eastAsia" w:asciiTheme="majorEastAsia" w:hAnsiTheme="majorEastAsia" w:eastAsiaTheme="majorEastAsia" w:cstheme="majorEastAsia"/>
          <w:color w:val="0000FF"/>
          <w:sz w:val="30"/>
          <w:szCs w:val="30"/>
        </w:rPr>
      </w:pPr>
      <w:r>
        <w:rPr>
          <w:rFonts w:hint="eastAsia" w:asciiTheme="majorEastAsia" w:hAnsiTheme="majorEastAsia" w:eastAsiaTheme="majorEastAsia" w:cstheme="majorEastAsia"/>
          <w:color w:val="0000FF"/>
          <w:sz w:val="30"/>
          <w:szCs w:val="30"/>
        </w:rPr>
        <w:t>2021年度</w:t>
      </w:r>
      <w:r>
        <w:rPr>
          <w:rFonts w:hint="eastAsia" w:asciiTheme="majorEastAsia" w:hAnsiTheme="majorEastAsia" w:eastAsiaTheme="majorEastAsia" w:cstheme="majorEastAsia"/>
          <w:color w:val="0000FF"/>
          <w:sz w:val="30"/>
          <w:szCs w:val="30"/>
          <w:shd w:val="clear" w:color="auto" w:fill="FFFFFF"/>
        </w:rPr>
        <w:t>本部门</w:t>
      </w:r>
      <w:r>
        <w:rPr>
          <w:rFonts w:hint="eastAsia" w:asciiTheme="majorEastAsia" w:hAnsiTheme="majorEastAsia" w:eastAsiaTheme="majorEastAsia" w:cstheme="majorEastAsia"/>
          <w:color w:val="0000FF"/>
          <w:sz w:val="30"/>
          <w:szCs w:val="30"/>
        </w:rPr>
        <w:t>公务车购置费</w:t>
      </w:r>
      <w:r>
        <w:rPr>
          <w:rFonts w:hint="eastAsia" w:asciiTheme="majorEastAsia" w:hAnsiTheme="majorEastAsia" w:eastAsiaTheme="majorEastAsia" w:cstheme="majorEastAsia"/>
          <w:color w:val="0000FF"/>
          <w:sz w:val="30"/>
          <w:szCs w:val="30"/>
          <w:shd w:val="clear" w:color="auto" w:fill="FFFFFF"/>
          <w:lang w:eastAsia="zh-CN"/>
        </w:rPr>
        <w:t>支出</w:t>
      </w:r>
      <w:r>
        <w:rPr>
          <w:rFonts w:hint="eastAsia" w:asciiTheme="majorEastAsia" w:hAnsiTheme="majorEastAsia" w:eastAsiaTheme="majorEastAsia" w:cstheme="majorEastAsia"/>
          <w:color w:val="000000" w:themeColor="text1"/>
          <w:sz w:val="30"/>
          <w:szCs w:val="30"/>
          <w:shd w:val="clear" w:color="auto" w:fill="FFFFFF"/>
          <w:lang w:val="en-US" w:eastAsia="zh-CN"/>
          <w14:textFill>
            <w14:solidFill>
              <w14:schemeClr w14:val="tx1"/>
            </w14:solidFill>
          </w14:textFill>
        </w:rPr>
        <w:t>0.00万元 ，</w:t>
      </w:r>
      <w:r>
        <w:rPr>
          <w:rFonts w:hint="eastAsia" w:asciiTheme="majorEastAsia" w:hAnsiTheme="majorEastAsia" w:eastAsiaTheme="majorEastAsia" w:cstheme="majorEastAsia"/>
          <w:color w:val="0000FF"/>
          <w:sz w:val="30"/>
          <w:szCs w:val="30"/>
          <w:shd w:val="clear" w:color="auto" w:fill="FFFFFF"/>
          <w:lang w:val="en-US" w:eastAsia="zh-CN"/>
        </w:rPr>
        <w:t>与年初预算数及上年支出数持平</w:t>
      </w:r>
      <w:r>
        <w:rPr>
          <w:rFonts w:hint="eastAsia" w:asciiTheme="majorEastAsia" w:hAnsiTheme="majorEastAsia" w:eastAsiaTheme="majorEastAsia" w:cstheme="majorEastAsia"/>
          <w:color w:val="0000FF"/>
          <w:sz w:val="30"/>
          <w:szCs w:val="30"/>
          <w:shd w:val="clear" w:color="auto" w:fill="FFFFFF"/>
        </w:rPr>
        <w:t>。</w:t>
      </w:r>
    </w:p>
    <w:p>
      <w:pPr>
        <w:pStyle w:val="3"/>
        <w:spacing w:before="0" w:beforeAutospacing="0" w:after="0" w:afterAutospacing="0" w:line="560" w:lineRule="exact"/>
        <w:ind w:firstLine="600" w:firstLineChars="200"/>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pPr>
      <w:r>
        <w:rPr>
          <w:rFonts w:hint="eastAsia" w:asciiTheme="majorEastAsia" w:hAnsiTheme="majorEastAsia" w:eastAsiaTheme="majorEastAsia" w:cstheme="majorEastAsia"/>
          <w:color w:val="0000FF"/>
          <w:sz w:val="30"/>
          <w:szCs w:val="30"/>
        </w:rPr>
        <w:t>2021年度</w:t>
      </w:r>
      <w:r>
        <w:rPr>
          <w:rFonts w:hint="eastAsia" w:asciiTheme="majorEastAsia" w:hAnsiTheme="majorEastAsia" w:eastAsiaTheme="majorEastAsia" w:cstheme="majorEastAsia"/>
          <w:color w:val="0000FF"/>
          <w:sz w:val="30"/>
          <w:szCs w:val="30"/>
          <w:shd w:val="clear" w:color="auto" w:fill="FFFFFF"/>
        </w:rPr>
        <w:t>本部门</w:t>
      </w:r>
      <w:r>
        <w:rPr>
          <w:rFonts w:hint="eastAsia" w:asciiTheme="majorEastAsia" w:hAnsiTheme="majorEastAsia" w:eastAsiaTheme="majorEastAsia" w:cstheme="majorEastAsia"/>
          <w:color w:val="0000FF"/>
          <w:sz w:val="30"/>
          <w:szCs w:val="30"/>
        </w:rPr>
        <w:t>公务车运行维护费</w:t>
      </w:r>
      <w:r>
        <w:rPr>
          <w:rFonts w:hint="eastAsia" w:asciiTheme="majorEastAsia" w:hAnsiTheme="majorEastAsia" w:eastAsiaTheme="majorEastAsia" w:cstheme="majorEastAsia"/>
          <w:color w:val="0000FF"/>
          <w:sz w:val="30"/>
          <w:szCs w:val="30"/>
          <w:shd w:val="clear" w:color="auto" w:fill="FFFFFF"/>
          <w:lang w:eastAsia="zh-CN"/>
        </w:rPr>
        <w:t>支出</w:t>
      </w:r>
      <w:r>
        <w:rPr>
          <w:rFonts w:hint="eastAsia" w:asciiTheme="majorEastAsia" w:hAnsiTheme="majorEastAsia" w:eastAsiaTheme="majorEastAsia" w:cstheme="majorEastAsia"/>
          <w:color w:val="000000" w:themeColor="text1"/>
          <w:sz w:val="30"/>
          <w:szCs w:val="30"/>
          <w:shd w:val="clear" w:color="auto" w:fill="FFFFFF"/>
          <w:lang w:val="en-US" w:eastAsia="zh-CN"/>
          <w14:textFill>
            <w14:solidFill>
              <w14:schemeClr w14:val="tx1"/>
            </w14:solidFill>
          </w14:textFill>
        </w:rPr>
        <w:t>0.00万元 ，</w:t>
      </w:r>
      <w:r>
        <w:rPr>
          <w:rFonts w:hint="eastAsia" w:asciiTheme="majorEastAsia" w:hAnsiTheme="majorEastAsia" w:eastAsiaTheme="majorEastAsia" w:cstheme="majorEastAsia"/>
          <w:color w:val="0000FF"/>
          <w:sz w:val="30"/>
          <w:szCs w:val="30"/>
          <w:shd w:val="clear" w:color="auto" w:fill="FFFFFF"/>
          <w:lang w:val="en-US" w:eastAsia="zh-CN"/>
        </w:rPr>
        <w:t>与年初预算数及上年支出数持平</w:t>
      </w:r>
      <w:r>
        <w:rPr>
          <w:rFonts w:hint="eastAsia" w:asciiTheme="majorEastAsia" w:hAnsiTheme="majorEastAsia" w:eastAsiaTheme="majorEastAsia" w:cstheme="majorEastAsia"/>
          <w:color w:val="0000FF"/>
          <w:sz w:val="30"/>
          <w:szCs w:val="30"/>
          <w:shd w:val="clear" w:color="auto" w:fill="FFFFFF"/>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公务接待费0.84万元，主要用于接待市级相关部门检查指导工作、规划编制调研等。费用支出较年初预算数减少14.16万元，下降94.4%，主要原因是强化公务接待支出管理，严格遵守公务接待开支范围和开支标准，严格控制陪餐人数。较上年支出数减少1.67万元，下降66.5%，主要原因是强化公务接待支出管理，严格遵守公务接待开支范围和开支标准，严格控制陪餐人数。</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（三）“三公”经费实物量情况。</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2021年度本部门因公出国（境）共计0个团组，0人；公务用车购置0辆，公务车保有量为0辆；国内公务接待26批次130人，其中：国内外事接待0批次，0人；国（境）外公务接待0批次，0人。2021年本部门人均接待费64.32元，车均购置费0.00万元，车均维护费0.00万元。</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四、其他需要说明的事项</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（一）一般公共预算财政拨款会议费和培训费情况说明。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本年度会议费支出0.68万元，较上年决算数减少1.73万元，下降71.8%，主要原因是</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减少</w:t>
      </w:r>
      <w:r>
        <w:rPr>
          <w:rFonts w:hint="eastAsia" w:asciiTheme="majorEastAsia" w:hAnsiTheme="majorEastAsia" w:eastAsiaTheme="majorEastAsia" w:cstheme="majorEastAsia"/>
          <w:color w:val="000000" w:themeColor="text1"/>
          <w:sz w:val="30"/>
          <w:szCs w:val="30"/>
          <w:shd w:val="clear" w:color="auto" w:fill="FFFFFF"/>
          <w14:textFill>
            <w14:solidFill>
              <w14:schemeClr w14:val="tx1"/>
            </w14:solidFill>
          </w14:textFill>
        </w:rPr>
        <w:t>会议</w:t>
      </w:r>
      <w:r>
        <w:rPr>
          <w:rFonts w:hint="eastAsia" w:asciiTheme="majorEastAsia" w:hAnsiTheme="majorEastAsia" w:eastAsiaTheme="majorEastAsia" w:cstheme="majorEastAsia"/>
          <w:color w:val="000000" w:themeColor="text1"/>
          <w:sz w:val="30"/>
          <w:szCs w:val="30"/>
          <w:shd w:val="clear" w:color="auto" w:fill="FFFFFF"/>
          <w:lang w:eastAsia="zh-CN"/>
          <w14:textFill>
            <w14:solidFill>
              <w14:schemeClr w14:val="tx1"/>
            </w14:solidFill>
          </w14:textFill>
        </w:rPr>
        <w:t>召开次数</w:t>
      </w:r>
      <w:r>
        <w:rPr>
          <w:rFonts w:hint="eastAsia" w:asciiTheme="majorEastAsia" w:hAnsiTheme="majorEastAsia" w:eastAsiaTheme="majorEastAsia" w:cstheme="majorEastAsia"/>
          <w:color w:val="000000" w:themeColor="text1"/>
          <w:sz w:val="30"/>
          <w:szCs w:val="30"/>
          <w14:textFill>
            <w14:solidFill>
              <w14:schemeClr w14:val="tx1"/>
            </w14:solidFill>
          </w14:textFill>
        </w:rPr>
        <w:t>。本年度培训费支出0.33万元，较上年决算数减少0.13万元，下降28.3%，主要原因是减少业务培训支出。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（二）机关运行经费情况说明。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2021年度本部门机关运行经费支出45.64万元，机关运行经费主要用于开支办公费、</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水费、电费、物业管理费、</w:t>
      </w:r>
      <w:r>
        <w:rPr>
          <w:rFonts w:hint="eastAsia" w:asciiTheme="majorEastAsia" w:hAnsiTheme="majorEastAsia" w:eastAsiaTheme="majorEastAsia" w:cstheme="majorEastAsia"/>
          <w:color w:val="000000" w:themeColor="text1"/>
          <w:sz w:val="30"/>
          <w:szCs w:val="30"/>
          <w14:textFill>
            <w14:solidFill>
              <w14:schemeClr w14:val="tx1"/>
            </w14:solidFill>
          </w14:textFill>
        </w:rPr>
        <w:t>信息网络费、差旅费、公务接待费</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等维持部门正常运转经费支出</w:t>
      </w:r>
      <w:r>
        <w:rPr>
          <w:rFonts w:hint="eastAsia" w:asciiTheme="majorEastAsia" w:hAnsiTheme="majorEastAsia" w:eastAsiaTheme="majorEastAsia" w:cstheme="majorEastAsia"/>
          <w:color w:val="000000" w:themeColor="text1"/>
          <w:sz w:val="30"/>
          <w:szCs w:val="30"/>
          <w14:textFill>
            <w14:solidFill>
              <w14:schemeClr w14:val="tx1"/>
            </w14:solidFill>
          </w14:textFill>
        </w:rPr>
        <w:t>。机关运行经费较上年决算数减少49.13万元，下降51.8%，主要原因是认真贯彻落实</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中央八项规定</w:t>
      </w:r>
      <w:r>
        <w:rPr>
          <w:rFonts w:hint="eastAsia" w:asciiTheme="majorEastAsia" w:hAnsiTheme="majorEastAsia" w:eastAsiaTheme="majorEastAsia" w:cstheme="majorEastAsia"/>
          <w:color w:val="000000" w:themeColor="text1"/>
          <w:sz w:val="30"/>
          <w:szCs w:val="30"/>
          <w14:textFill>
            <w14:solidFill>
              <w14:schemeClr w14:val="tx1"/>
            </w14:solidFill>
          </w14:textFill>
        </w:rPr>
        <w:t>，压缩经费支出。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（三）国有资产占用情况说明。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截至2021年12月31日，本部门共有车辆0辆，其中，副部（省）级及以上领导用车0辆、主要领导干部用车0辆、机要通信用车0辆、应急保障用车0辆、执法执勤用车0辆，特种专业技术用车0辆，离退休干部用车0辆，其他用车0辆</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30"/>
          <w:szCs w:val="30"/>
          <w14:textFill>
            <w14:solidFill>
              <w14:schemeClr w14:val="tx1"/>
            </w14:solidFill>
          </w14:textFill>
        </w:rPr>
        <w:t>单价50万元（含）以上通用设备0台（套），单价100万元（含）以上专用设备0台（套）。</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（四）政府采购支出情况说明。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0"/>
          <w:szCs w:val="30"/>
          <w14:textFill>
            <w14:solidFill>
              <w14:schemeClr w14:val="tx1"/>
            </w14:solidFill>
          </w14:textFill>
        </w:rPr>
        <w:t>2021年度本部门政府采购支出总额1,122.38万元，其中：政府采购货物支出37.38万元、政府采购工程支出0.00万元、政府采购服务支出1,085.00万元。授予中小企业合同金额1,122.38万元，占政府采购支出总额的100%，其中：授予小微企业合同金额37.38万元，占政府采购支出总额的3.3%。主要用于采购</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农房数据库建设服务</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 xml:space="preserve"> </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五、预算绩效管理情况说明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（一）预算绩效管理工作开展情况。</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根据预算绩效管理要求，我局对</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30"/>
          <w:szCs w:val="30"/>
          <w14:textFill>
            <w14:solidFill>
              <w14:schemeClr w14:val="tx1"/>
            </w14:solidFill>
          </w14:textFill>
        </w:rPr>
        <w:t>个项目开展了绩效自评，其中，以委托第三方出具报告的方式开展绩效评价</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30"/>
          <w:szCs w:val="30"/>
          <w14:textFill>
            <w14:solidFill>
              <w14:schemeClr w14:val="tx1"/>
            </w14:solidFill>
          </w14:textFill>
        </w:rPr>
        <w:t>项，涉及资金</w:t>
      </w:r>
      <w:r>
        <w:rPr>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52676.50</w:t>
      </w:r>
      <w:r>
        <w:rPr>
          <w:rFonts w:hint="eastAsia" w:asciiTheme="majorEastAsia" w:hAnsiTheme="majorEastAsia" w:eastAsiaTheme="majorEastAsia" w:cstheme="majorEastAsia"/>
          <w:color w:val="000000" w:themeColor="text1"/>
          <w:sz w:val="30"/>
          <w:szCs w:val="30"/>
          <w14:textFill>
            <w14:solidFill>
              <w14:schemeClr w14:val="tx1"/>
            </w14:solidFill>
          </w14:textFill>
        </w:rPr>
        <w:t>万元。</w:t>
      </w:r>
      <w:r>
        <w:rPr>
          <w:rFonts w:hint="eastAsia" w:asciiTheme="majorEastAsia" w:hAnsiTheme="majorEastAsia" w:eastAsiaTheme="majorEastAsia" w:cstheme="majorEastAsia"/>
          <w:color w:val="000000" w:themeColor="text1"/>
          <w:kern w:val="2"/>
          <w:sz w:val="30"/>
          <w:szCs w:val="30"/>
          <w14:textFill>
            <w14:solidFill>
              <w14:schemeClr w14:val="tx1"/>
            </w14:solidFill>
          </w14:textFill>
        </w:rPr>
        <w:t>从评价情况来看，项目立项较为规范，绩效目标明确，预算编制合理，管理科学规范，资金到位及时，总体完成情况较好，有力保障了</w:t>
      </w:r>
      <w:r>
        <w:rPr>
          <w:rFonts w:hint="eastAsia" w:asciiTheme="majorEastAsia" w:hAnsiTheme="majorEastAsia" w:eastAsiaTheme="majorEastAsia" w:cstheme="majorEastAsia"/>
          <w:color w:val="000000" w:themeColor="text1"/>
          <w:kern w:val="2"/>
          <w:sz w:val="30"/>
          <w:szCs w:val="30"/>
          <w:lang w:eastAsia="zh-CN"/>
          <w14:textFill>
            <w14:solidFill>
              <w14:schemeClr w14:val="tx1"/>
            </w14:solidFill>
          </w14:textFill>
        </w:rPr>
        <w:t>工作正常运转</w:t>
      </w:r>
      <w:r>
        <w:rPr>
          <w:rFonts w:hint="eastAsia" w:asciiTheme="majorEastAsia" w:hAnsiTheme="majorEastAsia" w:eastAsiaTheme="majorEastAsia" w:cstheme="majorEastAsia"/>
          <w:color w:val="000000" w:themeColor="text1"/>
          <w:kern w:val="2"/>
          <w:sz w:val="30"/>
          <w:szCs w:val="30"/>
          <w14:textFill>
            <w14:solidFill>
              <w14:schemeClr w14:val="tx1"/>
            </w14:solidFill>
          </w14:textFill>
        </w:rPr>
        <w:t>，项目基本达到了预期绩效目标</w:t>
      </w:r>
      <w:r>
        <w:rPr>
          <w:rFonts w:hint="eastAsia" w:asciiTheme="majorEastAsia" w:hAnsiTheme="majorEastAsia" w:eastAsiaTheme="majorEastAsia" w:cstheme="majorEastAsia"/>
          <w:color w:val="000000" w:themeColor="text1"/>
          <w:kern w:val="2"/>
          <w:sz w:val="30"/>
          <w:szCs w:val="30"/>
          <w:lang w:eastAsia="zh-CN"/>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（二）绩效自评结果。</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1.绩效目标自评表。</w:t>
      </w:r>
    </w:p>
    <w:p>
      <w:pPr>
        <w:widowControl/>
        <w:spacing w:line="594" w:lineRule="exact"/>
        <w:jc w:val="center"/>
        <w:rPr>
          <w:rFonts w:hint="eastAsia" w:asciiTheme="majorEastAsia" w:hAnsiTheme="majorEastAsia" w:eastAsiaTheme="majorEastAsia" w:cstheme="majorEastAsia"/>
          <w:color w:val="000000" w:themeColor="text1"/>
          <w:kern w:val="0"/>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Fonts w:hint="eastAsia" w:asciiTheme="majorEastAsia" w:hAnsiTheme="majorEastAsia" w:eastAsiaTheme="majorEastAsia" w:cstheme="majorEastAsia"/>
          <w:color w:val="000000" w:themeColor="text1"/>
          <w:kern w:val="0"/>
          <w:sz w:val="30"/>
          <w:szCs w:val="30"/>
          <w14:textFill>
            <w14:solidFill>
              <w14:schemeClr w14:val="tx1"/>
            </w14:solidFill>
          </w14:textFill>
        </w:rPr>
        <w:t>2021年度项目绩效自评表</w:t>
      </w:r>
    </w:p>
    <w:tbl>
      <w:tblPr>
        <w:tblStyle w:val="7"/>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138"/>
        <w:gridCol w:w="1268"/>
        <w:gridCol w:w="1203"/>
        <w:gridCol w:w="996"/>
        <w:gridCol w:w="1221"/>
        <w:gridCol w:w="937"/>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项目</w:t>
            </w:r>
            <w:r>
              <w:rPr>
                <w:rFonts w:hint="eastAsia" w:ascii="宋体" w:hAnsi="宋体" w:eastAsia="等线" w:cs="宋体"/>
                <w:color w:val="000000" w:themeColor="text1"/>
                <w:kern w:val="0"/>
                <w:sz w:val="20"/>
                <w:szCs w:val="20"/>
                <w14:textFill>
                  <w14:solidFill>
                    <w14:schemeClr w14:val="tx1"/>
                  </w14:solidFill>
                </w14:textFill>
              </w:rPr>
              <w:t>名称</w:t>
            </w:r>
          </w:p>
        </w:tc>
        <w:tc>
          <w:tcPr>
            <w:tcW w:w="4605"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三峡后续规划地质灾害防治</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自评总分</w:t>
            </w: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主管部门</w:t>
            </w:r>
          </w:p>
        </w:tc>
        <w:tc>
          <w:tcPr>
            <w:tcW w:w="4605"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lang w:eastAsia="zh-CN"/>
                <w14:textFill>
                  <w14:solidFill>
                    <w14:schemeClr w14:val="tx1"/>
                  </w14:solidFill>
                </w14:textFill>
              </w:rPr>
            </w:pPr>
            <w:r>
              <w:rPr>
                <w:rFonts w:hint="eastAsia" w:ascii="宋体" w:hAnsi="宋体" w:eastAsia="等线" w:cs="宋体"/>
                <w:color w:val="000000" w:themeColor="text1"/>
                <w:kern w:val="0"/>
                <w:sz w:val="20"/>
                <w:szCs w:val="20"/>
                <w:lang w:eastAsia="zh-CN"/>
                <w14:textFill>
                  <w14:solidFill>
                    <w14:schemeClr w14:val="tx1"/>
                  </w14:solidFill>
                </w14:textFill>
              </w:rPr>
              <w:t>丰都县规划和自然资源局</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实施单位</w:t>
            </w: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lang w:eastAsia="zh-CN"/>
                <w14:textFill>
                  <w14:solidFill>
                    <w14:schemeClr w14:val="tx1"/>
                  </w14:solidFill>
                </w14:textFill>
              </w:rPr>
              <w:t>丰都县规划和自然资源局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9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项目资金（万元）</w:t>
            </w: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988.54</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年初预算数</w:t>
            </w:r>
          </w:p>
        </w:tc>
        <w:tc>
          <w:tcPr>
            <w:tcW w:w="219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全年预算数</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全年执行数</w:t>
            </w: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年度总金额</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19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132.42</w:t>
            </w:r>
          </w:p>
        </w:tc>
        <w:tc>
          <w:tcPr>
            <w:tcW w:w="12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132.42</w:t>
            </w: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其中：财政拨款</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19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132.42</w:t>
            </w:r>
          </w:p>
        </w:tc>
        <w:tc>
          <w:tcPr>
            <w:tcW w:w="12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132.42</w:t>
            </w: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上年结转结余</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19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其他资金</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19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225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年度总体目标</w:t>
            </w:r>
          </w:p>
        </w:tc>
        <w:tc>
          <w:tcPr>
            <w:tcW w:w="4605"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bCs/>
                <w:color w:val="000000"/>
                <w:kern w:val="0"/>
                <w:sz w:val="24"/>
                <w:szCs w:val="24"/>
                <w:lang w:val="en-US" w:eastAsia="zh-CN" w:bidi="ar-SA"/>
              </w:rPr>
            </w:pPr>
            <w:r>
              <w:rPr>
                <w:rFonts w:hint="eastAsia" w:ascii="宋体" w:hAnsi="宋体" w:eastAsia="等线" w:cs="宋体"/>
                <w:color w:val="000000"/>
                <w:kern w:val="0"/>
                <w:sz w:val="20"/>
                <w:szCs w:val="20"/>
              </w:rPr>
              <w:t>总体目标</w:t>
            </w:r>
          </w:p>
        </w:tc>
        <w:tc>
          <w:tcPr>
            <w:tcW w:w="3477"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bCs/>
                <w:color w:val="000000"/>
                <w:kern w:val="0"/>
                <w:sz w:val="24"/>
                <w:szCs w:val="24"/>
                <w:lang w:val="en-US" w:eastAsia="zh-CN" w:bidi="ar-SA"/>
              </w:rPr>
            </w:pPr>
            <w:r>
              <w:rPr>
                <w:rFonts w:hint="eastAsia" w:ascii="宋体" w:hAnsi="宋体" w:eastAsia="等线" w:cs="宋体"/>
                <w:color w:val="000000"/>
                <w:kern w:val="0"/>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4605"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开展消落区岩体劣化程度、斜坡劣化带稳定阶段和风险评价，编制相关图件，提出斜坡劣化带的防控建议，为防灾减灾管理、国土空间规划和用途管理等提供基础依据。</w:t>
            </w:r>
          </w:p>
        </w:tc>
        <w:tc>
          <w:tcPr>
            <w:tcW w:w="3477"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开展消落区岩体劣化程度、斜坡劣化带稳定阶段和风险评价，编制相关图件，提出斜坡劣化带的防控建议，为防灾减灾管理、国土空间规划和用途管理等提供基础依据。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绩效指标</w:t>
            </w: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一级指标</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二级指标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三级指标</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年度指标值</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实际完成值</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分值</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产出指标</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数量指标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消落区斜坡劣化带调查长度</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3000</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3000</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数量指标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消落区斜坡劣化带调查涉及乡镇数量</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8</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8</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时效指标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地质灾害处置及时率</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100%</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100%</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时效指标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地质灾害调查完成及时率</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95%</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95%</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成本指标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消落区斜坡劣化带调查成本</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132.42</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132.42</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效益指标</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社会效益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监测预警区地质灾害防范能力</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达标</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达标</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社会效益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隐患点区域群众生命财产安全保障</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合格</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合格</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生态效益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项目区地质灾害发生率同比下降</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100%</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100%</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满意度指标</w:t>
            </w: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服务对象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满意度指标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受益群众满意度</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≥95%</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≥95%</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8</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p>
        </w:tc>
        <w:tc>
          <w:tcPr>
            <w:tcW w:w="11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c>
          <w:tcPr>
            <w:tcW w:w="12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服务对象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满意度指标</w:t>
            </w:r>
          </w:p>
        </w:tc>
        <w:tc>
          <w:tcPr>
            <w:tcW w:w="12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主管部门满意度</w:t>
            </w:r>
          </w:p>
        </w:tc>
        <w:tc>
          <w:tcPr>
            <w:tcW w:w="9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≥95%</w:t>
            </w:r>
          </w:p>
        </w:tc>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r>
              <w:rPr>
                <w:rFonts w:hint="eastAsia" w:ascii="宋体" w:hAnsi="宋体" w:eastAsia="等线" w:cs="宋体"/>
                <w:color w:val="000000" w:themeColor="text1"/>
                <w:kern w:val="0"/>
                <w:sz w:val="20"/>
                <w:szCs w:val="20"/>
                <w14:textFill>
                  <w14:solidFill>
                    <w14:schemeClr w14:val="tx1"/>
                  </w14:solidFill>
                </w14:textFill>
              </w:rPr>
              <w:t>≥95%</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c>
          <w:tcPr>
            <w:tcW w:w="13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等线" w:cs="宋体"/>
                <w:color w:val="000000" w:themeColor="text1"/>
                <w:kern w:val="0"/>
                <w:sz w:val="20"/>
                <w:szCs w:val="20"/>
                <w:lang w:val="en-US" w:eastAsia="zh-CN"/>
                <w14:textFill>
                  <w14:solidFill>
                    <w14:schemeClr w14:val="tx1"/>
                  </w14:solidFill>
                </w14:textFill>
              </w:rPr>
            </w:pPr>
            <w:r>
              <w:rPr>
                <w:rFonts w:hint="eastAsia" w:ascii="宋体" w:hAnsi="宋体" w:eastAsia="等线" w:cs="宋体"/>
                <w:color w:val="000000" w:themeColor="text1"/>
                <w:kern w:val="0"/>
                <w:sz w:val="20"/>
                <w:szCs w:val="2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等线" w:cs="宋体"/>
                <w:color w:val="000000" w:themeColor="text1"/>
                <w:kern w:val="0"/>
                <w:sz w:val="20"/>
                <w:szCs w:val="20"/>
                <w14:textFill>
                  <w14:solidFill>
                    <w14:schemeClr w14:val="tx1"/>
                  </w14:solidFill>
                </w14:textFill>
              </w:rPr>
            </w:pPr>
            <w:r>
              <w:rPr>
                <w:rFonts w:ascii="宋体" w:hAnsi="宋体" w:eastAsia="等线" w:cs="宋体"/>
                <w:color w:val="000000" w:themeColor="text1"/>
                <w:kern w:val="0"/>
                <w:sz w:val="20"/>
                <w:szCs w:val="20"/>
                <w14:textFill>
                  <w14:solidFill>
                    <w14:schemeClr w14:val="tx1"/>
                  </w14:solidFill>
                </w14:textFill>
              </w:rPr>
              <w:t>说明</w:t>
            </w:r>
          </w:p>
        </w:tc>
        <w:tc>
          <w:tcPr>
            <w:tcW w:w="8082"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等线" w:cs="宋体"/>
                <w:color w:val="000000" w:themeColor="text1"/>
                <w:kern w:val="0"/>
                <w:sz w:val="20"/>
                <w:szCs w:val="20"/>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451" w:leftChars="0"/>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lang w:val="en-US" w:eastAsia="zh-CN"/>
          <w14:textFill>
            <w14:solidFill>
              <w14:schemeClr w14:val="tx1"/>
            </w14:solidFill>
          </w14:textFill>
        </w:rPr>
        <w:t>2</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.绩效自评报告或案例。</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451" w:leftChars="0"/>
        <w:textAlignment w:val="auto"/>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pP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详见附件。</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3.关于绩效自评结果的说明。</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我单位绩效自评均已完成年度绩效目标</w:t>
      </w:r>
      <w:r>
        <w:rPr>
          <w:rFonts w:hint="eastAsia" w:asciiTheme="majorEastAsia" w:hAnsiTheme="majorEastAsia" w:eastAsiaTheme="majorEastAsia" w:cstheme="majorEastAsia"/>
          <w:color w:val="000000" w:themeColor="text1"/>
          <w:sz w:val="30"/>
          <w:szCs w:val="30"/>
          <w14:textFill>
            <w14:solidFill>
              <w14:schemeClr w14:val="tx1"/>
            </w14:solidFill>
          </w14:textFill>
        </w:rPr>
        <w:t>。</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301" w:firstLineChars="100"/>
        <w:textAlignment w:val="auto"/>
        <w:rPr>
          <w:rStyle w:val="5"/>
          <w:rFonts w:hint="eastAsia" w:asciiTheme="majorEastAsia" w:hAnsiTheme="majorEastAsia" w:eastAsiaTheme="majorEastAsia" w:cstheme="majorEastAsia"/>
          <w:color w:val="0000FF"/>
          <w:sz w:val="30"/>
          <w:szCs w:val="30"/>
          <w:lang w:val="en-US" w:eastAsia="zh-CN"/>
        </w:rPr>
      </w:pPr>
      <w:r>
        <w:rPr>
          <w:rStyle w:val="5"/>
          <w:rFonts w:hint="eastAsia" w:asciiTheme="majorEastAsia" w:hAnsiTheme="majorEastAsia" w:eastAsiaTheme="majorEastAsia" w:cstheme="majorEastAsia"/>
          <w:color w:val="0000FF"/>
          <w:sz w:val="30"/>
          <w:szCs w:val="30"/>
          <w:lang w:val="en-US" w:eastAsia="zh-CN"/>
        </w:rPr>
        <w:t>（三）重点绩效评价结果</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default" w:asciiTheme="majorEastAsia" w:hAnsiTheme="majorEastAsia" w:eastAsiaTheme="majorEastAsia" w:cstheme="majorEastAsia"/>
          <w:color w:val="0000FF"/>
          <w:sz w:val="30"/>
          <w:szCs w:val="30"/>
          <w:lang w:val="en-US" w:eastAsia="zh-CN"/>
        </w:rPr>
      </w:pPr>
      <w:r>
        <w:rPr>
          <w:rFonts w:hint="eastAsia" w:asciiTheme="majorEastAsia" w:hAnsiTheme="majorEastAsia" w:eastAsiaTheme="majorEastAsia" w:cstheme="majorEastAsia"/>
          <w:color w:val="0000FF"/>
          <w:sz w:val="30"/>
          <w:szCs w:val="30"/>
          <w:lang w:val="en-US" w:eastAsia="zh-CN"/>
        </w:rPr>
        <w:t>我单位未委托第三方开展重点绩效评价。</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六、专业名词解释</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（一）财政拨款收入</w:t>
      </w:r>
      <w:r>
        <w:rPr>
          <w:rFonts w:hint="eastAsia" w:asciiTheme="majorEastAsia" w:hAnsiTheme="majorEastAsia" w:eastAsiaTheme="majorEastAsia" w:cstheme="majorEastAsia"/>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  （</w:t>
      </w:r>
      <w:r>
        <w:rPr>
          <w:rStyle w:val="5"/>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二</w:t>
      </w:r>
      <w:r>
        <w:rPr>
          <w:rStyle w:val="5"/>
          <w:rFonts w:hint="eastAsia" w:asciiTheme="majorEastAsia" w:hAnsiTheme="majorEastAsia" w:eastAsiaTheme="majorEastAsia" w:cstheme="majorEastAsia"/>
          <w:color w:val="000000" w:themeColor="text1"/>
          <w:sz w:val="30"/>
          <w:szCs w:val="30"/>
          <w14:textFill>
            <w14:solidFill>
              <w14:schemeClr w14:val="tx1"/>
            </w14:solidFill>
          </w14:textFill>
        </w:rPr>
        <w:t>）其他收入</w:t>
      </w:r>
      <w:r>
        <w:rPr>
          <w:rFonts w:hint="eastAsia" w:asciiTheme="majorEastAsia" w:hAnsiTheme="majorEastAsia" w:eastAsiaTheme="majorEastAsia" w:cstheme="majorEastAsia"/>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14:textFill>
            <w14:solidFill>
              <w14:schemeClr w14:val="tx1"/>
            </w14:solidFill>
          </w14:textFill>
        </w:rPr>
        <w:t xml:space="preserve"> （</w:t>
      </w:r>
      <w:r>
        <w:rPr>
          <w:rStyle w:val="5"/>
          <w:rFonts w:hint="eastAsia" w:ascii="宋体" w:hAnsi="宋体" w:eastAsia="宋体" w:cs="宋体"/>
          <w:color w:val="000000" w:themeColor="text1"/>
          <w:sz w:val="30"/>
          <w:szCs w:val="30"/>
          <w:lang w:eastAsia="zh-CN"/>
          <w14:textFill>
            <w14:solidFill>
              <w14:schemeClr w14:val="tx1"/>
            </w14:solidFill>
          </w14:textFill>
        </w:rPr>
        <w:t>三</w:t>
      </w:r>
      <w:r>
        <w:rPr>
          <w:rStyle w:val="5"/>
          <w:rFonts w:hint="eastAsia" w:ascii="宋体" w:hAnsi="宋体" w:eastAsia="宋体" w:cs="宋体"/>
          <w:color w:val="000000" w:themeColor="text1"/>
          <w:sz w:val="30"/>
          <w:szCs w:val="30"/>
          <w14:textFill>
            <w14:solidFill>
              <w14:schemeClr w14:val="tx1"/>
            </w14:solidFill>
          </w14:textFill>
        </w:rPr>
        <w:t>）使用非财政拨款结余</w:t>
      </w:r>
      <w:r>
        <w:rPr>
          <w:rFonts w:hint="eastAsia" w:ascii="宋体" w:hAnsi="宋体" w:eastAsia="宋体" w:cs="宋体"/>
          <w:color w:val="000000" w:themeColor="text1"/>
          <w:sz w:val="30"/>
          <w:szCs w:val="30"/>
          <w14:textFill>
            <w14:solidFill>
              <w14:schemeClr w14:val="tx1"/>
            </w14:solidFill>
          </w14:textFill>
        </w:rPr>
        <w:t>：指单位在当年的“财政拨款收入”、“事业收入”、“经营收入”、“其他收入”等不足以安排当年支出的情况下，使用以前年度积累的非财政拨款结余弥补本年度收支缺口的资金。</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四</w:t>
      </w:r>
      <w:r>
        <w:rPr>
          <w:rStyle w:val="5"/>
          <w:rFonts w:hint="eastAsia" w:ascii="宋体" w:hAnsi="宋体" w:eastAsia="宋体" w:cs="宋体"/>
          <w:color w:val="000000" w:themeColor="text1"/>
          <w:sz w:val="30"/>
          <w:szCs w:val="30"/>
          <w14:textFill>
            <w14:solidFill>
              <w14:schemeClr w14:val="tx1"/>
            </w14:solidFill>
          </w14:textFill>
        </w:rPr>
        <w:t>）年初结转和结余</w:t>
      </w:r>
      <w:r>
        <w:rPr>
          <w:rFonts w:hint="eastAsia" w:ascii="宋体" w:hAnsi="宋体" w:eastAsia="宋体" w:cs="宋体"/>
          <w:color w:val="000000" w:themeColor="text1"/>
          <w:sz w:val="30"/>
          <w:szCs w:val="30"/>
          <w14:textFill>
            <w14:solidFill>
              <w14:schemeClr w14:val="tx1"/>
            </w14:solidFill>
          </w14:textFill>
        </w:rPr>
        <w:t>：指单位上年结转本年使用的基本支出结转、项目支出结转和结余、经营结余。</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五</w:t>
      </w:r>
      <w:r>
        <w:rPr>
          <w:rStyle w:val="5"/>
          <w:rFonts w:hint="eastAsia" w:ascii="宋体" w:hAnsi="宋体" w:eastAsia="宋体" w:cs="宋体"/>
          <w:color w:val="000000" w:themeColor="text1"/>
          <w:sz w:val="30"/>
          <w:szCs w:val="30"/>
          <w14:textFill>
            <w14:solidFill>
              <w14:schemeClr w14:val="tx1"/>
            </w14:solidFill>
          </w14:textFill>
        </w:rPr>
        <w:t>）结余分配</w:t>
      </w:r>
      <w:r>
        <w:rPr>
          <w:rFonts w:hint="eastAsia" w:ascii="宋体" w:hAnsi="宋体" w:eastAsia="宋体" w:cs="宋体"/>
          <w:color w:val="000000" w:themeColor="text1"/>
          <w:sz w:val="30"/>
          <w:szCs w:val="30"/>
          <w14:textFill>
            <w14:solidFill>
              <w14:schemeClr w14:val="tx1"/>
            </w14:solidFill>
          </w14:textFill>
        </w:rPr>
        <w:t>：指单位按照国家有关规定，缴纳所得税、提取专用基金、转入非财政拨款结余等当年结余的分配情况。</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六</w:t>
      </w:r>
      <w:r>
        <w:rPr>
          <w:rStyle w:val="5"/>
          <w:rFonts w:hint="eastAsia" w:ascii="宋体" w:hAnsi="宋体" w:eastAsia="宋体" w:cs="宋体"/>
          <w:color w:val="000000" w:themeColor="text1"/>
          <w:sz w:val="30"/>
          <w:szCs w:val="30"/>
          <w14:textFill>
            <w14:solidFill>
              <w14:schemeClr w14:val="tx1"/>
            </w14:solidFill>
          </w14:textFill>
        </w:rPr>
        <w:t>）年末结转和结余</w:t>
      </w:r>
      <w:r>
        <w:rPr>
          <w:rFonts w:hint="eastAsia" w:ascii="宋体" w:hAnsi="宋体" w:eastAsia="宋体" w:cs="宋体"/>
          <w:color w:val="000000" w:themeColor="text1"/>
          <w:sz w:val="30"/>
          <w:szCs w:val="30"/>
          <w14:textFill>
            <w14:solidFill>
              <w14:schemeClr w14:val="tx1"/>
            </w14:solidFill>
          </w14:textFill>
        </w:rPr>
        <w:t>：指单位结转下年的基本支出结转、项目支出结转和结余、经营结余。</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七</w:t>
      </w:r>
      <w:r>
        <w:rPr>
          <w:rStyle w:val="5"/>
          <w:rFonts w:hint="eastAsia" w:ascii="宋体" w:hAnsi="宋体" w:eastAsia="宋体" w:cs="宋体"/>
          <w:color w:val="000000" w:themeColor="text1"/>
          <w:sz w:val="30"/>
          <w:szCs w:val="30"/>
          <w14:textFill>
            <w14:solidFill>
              <w14:schemeClr w14:val="tx1"/>
            </w14:solidFill>
          </w14:textFill>
        </w:rPr>
        <w:t>）基本支出</w:t>
      </w:r>
      <w:r>
        <w:rPr>
          <w:rFonts w:hint="eastAsia" w:ascii="宋体" w:hAnsi="宋体" w:eastAsia="宋体" w:cs="宋体"/>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八</w:t>
      </w:r>
      <w:r>
        <w:rPr>
          <w:rStyle w:val="5"/>
          <w:rFonts w:hint="eastAsia" w:ascii="宋体" w:hAnsi="宋体" w:eastAsia="宋体" w:cs="宋体"/>
          <w:color w:val="000000" w:themeColor="text1"/>
          <w:sz w:val="30"/>
          <w:szCs w:val="30"/>
          <w14:textFill>
            <w14:solidFill>
              <w14:schemeClr w14:val="tx1"/>
            </w14:solidFill>
          </w14:textFill>
        </w:rPr>
        <w:t>）项目支出</w:t>
      </w:r>
      <w:r>
        <w:rPr>
          <w:rFonts w:hint="eastAsia" w:ascii="宋体" w:hAnsi="宋体" w:eastAsia="宋体" w:cs="宋体"/>
          <w:color w:val="000000" w:themeColor="text1"/>
          <w:sz w:val="30"/>
          <w:szCs w:val="30"/>
          <w14:textFill>
            <w14:solidFill>
              <w14:schemeClr w14:val="tx1"/>
            </w14:solidFill>
          </w14:textFill>
        </w:rPr>
        <w:t>：指在基本支出之外为完成特定行政任务和事业发展目标所发生的支出。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w:t>
      </w:r>
      <w:r>
        <w:rPr>
          <w:rStyle w:val="5"/>
          <w:rFonts w:hint="eastAsia" w:ascii="宋体" w:hAnsi="宋体" w:eastAsia="宋体" w:cs="宋体"/>
          <w:color w:val="000000" w:themeColor="text1"/>
          <w:sz w:val="30"/>
          <w:szCs w:val="30"/>
          <w:lang w:eastAsia="zh-CN"/>
          <w14:textFill>
            <w14:solidFill>
              <w14:schemeClr w14:val="tx1"/>
            </w14:solidFill>
          </w14:textFill>
        </w:rPr>
        <w:t>九</w:t>
      </w:r>
      <w:r>
        <w:rPr>
          <w:rStyle w:val="5"/>
          <w:rFonts w:hint="eastAsia" w:ascii="宋体" w:hAnsi="宋体" w:eastAsia="宋体" w:cs="宋体"/>
          <w:color w:val="000000" w:themeColor="text1"/>
          <w:sz w:val="30"/>
          <w:szCs w:val="30"/>
          <w14:textFill>
            <w14:solidFill>
              <w14:schemeClr w14:val="tx1"/>
            </w14:solidFill>
          </w14:textFill>
        </w:rPr>
        <w:t>）“三公”经费</w:t>
      </w:r>
      <w:r>
        <w:rPr>
          <w:rFonts w:hint="eastAsia" w:ascii="宋体" w:hAnsi="宋体" w:eastAsia="宋体" w:cs="宋体"/>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（十）机关运行经费</w:t>
      </w:r>
      <w:r>
        <w:rPr>
          <w:rFonts w:hint="eastAsia" w:ascii="宋体" w:hAnsi="宋体" w:eastAsia="宋体" w:cs="宋体"/>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（十</w:t>
      </w:r>
      <w:r>
        <w:rPr>
          <w:rStyle w:val="5"/>
          <w:rFonts w:hint="eastAsia" w:ascii="宋体" w:hAnsi="宋体" w:eastAsia="宋体" w:cs="宋体"/>
          <w:color w:val="000000" w:themeColor="text1"/>
          <w:sz w:val="30"/>
          <w:szCs w:val="30"/>
          <w:lang w:eastAsia="zh-CN"/>
          <w14:textFill>
            <w14:solidFill>
              <w14:schemeClr w14:val="tx1"/>
            </w14:solidFill>
          </w14:textFill>
        </w:rPr>
        <w:t>一</w:t>
      </w:r>
      <w:r>
        <w:rPr>
          <w:rStyle w:val="5"/>
          <w:rFonts w:hint="eastAsia" w:ascii="宋体" w:hAnsi="宋体" w:eastAsia="宋体" w:cs="宋体"/>
          <w:color w:val="000000" w:themeColor="text1"/>
          <w:sz w:val="30"/>
          <w:szCs w:val="30"/>
          <w14:textFill>
            <w14:solidFill>
              <w14:schemeClr w14:val="tx1"/>
            </w14:solidFill>
          </w14:textFill>
        </w:rPr>
        <w:t>）工资福利支出（支出经济分类科目类级）</w:t>
      </w:r>
      <w:r>
        <w:rPr>
          <w:rFonts w:hint="eastAsia" w:ascii="宋体" w:hAnsi="宋体" w:eastAsia="宋体" w:cs="宋体"/>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（十</w:t>
      </w:r>
      <w:r>
        <w:rPr>
          <w:rStyle w:val="5"/>
          <w:rFonts w:hint="eastAsia" w:ascii="宋体" w:hAnsi="宋体" w:eastAsia="宋体" w:cs="宋体"/>
          <w:color w:val="000000" w:themeColor="text1"/>
          <w:sz w:val="30"/>
          <w:szCs w:val="30"/>
          <w:lang w:eastAsia="zh-CN"/>
          <w14:textFill>
            <w14:solidFill>
              <w14:schemeClr w14:val="tx1"/>
            </w14:solidFill>
          </w14:textFill>
        </w:rPr>
        <w:t>二</w:t>
      </w:r>
      <w:r>
        <w:rPr>
          <w:rStyle w:val="5"/>
          <w:rFonts w:hint="eastAsia" w:ascii="宋体" w:hAnsi="宋体" w:eastAsia="宋体" w:cs="宋体"/>
          <w:color w:val="000000" w:themeColor="text1"/>
          <w:sz w:val="30"/>
          <w:szCs w:val="30"/>
          <w14:textFill>
            <w14:solidFill>
              <w14:schemeClr w14:val="tx1"/>
            </w14:solidFill>
          </w14:textFill>
        </w:rPr>
        <w:t>）商品和服务支出（支出经济分类科目类级）</w:t>
      </w:r>
      <w:r>
        <w:rPr>
          <w:rFonts w:hint="eastAsia" w:ascii="宋体" w:hAnsi="宋体" w:eastAsia="宋体" w:cs="宋体"/>
          <w:color w:val="000000" w:themeColor="text1"/>
          <w:sz w:val="30"/>
          <w:szCs w:val="30"/>
          <w14:textFill>
            <w14:solidFill>
              <w14:schemeClr w14:val="tx1"/>
            </w14:solidFill>
          </w14:textFill>
        </w:rPr>
        <w:t>：反映单位购买商品和服务的支出（不包括用于购置固定资产的支出、战略性和应急储备支出）。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（十</w:t>
      </w:r>
      <w:r>
        <w:rPr>
          <w:rStyle w:val="5"/>
          <w:rFonts w:hint="eastAsia" w:ascii="宋体" w:hAnsi="宋体" w:eastAsia="宋体" w:cs="宋体"/>
          <w:color w:val="000000" w:themeColor="text1"/>
          <w:sz w:val="30"/>
          <w:szCs w:val="30"/>
          <w:lang w:eastAsia="zh-CN"/>
          <w14:textFill>
            <w14:solidFill>
              <w14:schemeClr w14:val="tx1"/>
            </w14:solidFill>
          </w14:textFill>
        </w:rPr>
        <w:t>三</w:t>
      </w:r>
      <w:r>
        <w:rPr>
          <w:rStyle w:val="5"/>
          <w:rFonts w:hint="eastAsia" w:ascii="宋体" w:hAnsi="宋体" w:eastAsia="宋体" w:cs="宋体"/>
          <w:color w:val="000000" w:themeColor="text1"/>
          <w:sz w:val="30"/>
          <w:szCs w:val="30"/>
          <w14:textFill>
            <w14:solidFill>
              <w14:schemeClr w14:val="tx1"/>
            </w14:solidFill>
          </w14:textFill>
        </w:rPr>
        <w:t>）对个人和家庭的补助（支出经济分类科目类级）</w:t>
      </w:r>
      <w:r>
        <w:rPr>
          <w:rFonts w:hint="eastAsia" w:ascii="宋体" w:hAnsi="宋体" w:eastAsia="宋体" w:cs="宋体"/>
          <w:color w:val="000000" w:themeColor="text1"/>
          <w:sz w:val="30"/>
          <w:szCs w:val="30"/>
          <w14:textFill>
            <w14:solidFill>
              <w14:schemeClr w14:val="tx1"/>
            </w14:solidFill>
          </w14:textFill>
        </w:rPr>
        <w:t>：反映用于对个人和家庭的补助支出。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（十</w:t>
      </w:r>
      <w:r>
        <w:rPr>
          <w:rStyle w:val="5"/>
          <w:rFonts w:hint="eastAsia" w:ascii="宋体" w:hAnsi="宋体" w:eastAsia="宋体" w:cs="宋体"/>
          <w:color w:val="000000" w:themeColor="text1"/>
          <w:sz w:val="30"/>
          <w:szCs w:val="30"/>
          <w:lang w:eastAsia="zh-CN"/>
          <w14:textFill>
            <w14:solidFill>
              <w14:schemeClr w14:val="tx1"/>
            </w14:solidFill>
          </w14:textFill>
        </w:rPr>
        <w:t>四</w:t>
      </w:r>
      <w:r>
        <w:rPr>
          <w:rStyle w:val="5"/>
          <w:rFonts w:hint="eastAsia" w:ascii="宋体" w:hAnsi="宋体" w:eastAsia="宋体" w:cs="宋体"/>
          <w:color w:val="000000" w:themeColor="text1"/>
          <w:sz w:val="30"/>
          <w:szCs w:val="30"/>
          <w14:textFill>
            <w14:solidFill>
              <w14:schemeClr w14:val="tx1"/>
            </w14:solidFill>
          </w14:textFill>
        </w:rPr>
        <w:t>）其他资本性支出（支出经济分类科目类级）</w:t>
      </w:r>
      <w:r>
        <w:rPr>
          <w:rFonts w:hint="eastAsia" w:ascii="宋体" w:hAnsi="宋体" w:eastAsia="宋体" w:cs="宋体"/>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Style w:val="5"/>
          <w:rFonts w:hint="eastAsia" w:ascii="宋体" w:hAnsi="宋体" w:eastAsia="宋体" w:cs="宋体"/>
          <w:color w:val="000000" w:themeColor="text1"/>
          <w:sz w:val="30"/>
          <w:szCs w:val="30"/>
          <w14:textFill>
            <w14:solidFill>
              <w14:schemeClr w14:val="tx1"/>
            </w14:solidFill>
          </w14:textFill>
        </w:rPr>
        <w:t>  七、决算公开联系方式及信息反馈渠道</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  本单位决算公开信息反馈和联系方式：如023-</w:t>
      </w:r>
      <w:r>
        <w:rPr>
          <w:rFonts w:hint="eastAsia" w:ascii="宋体" w:hAnsi="宋体" w:eastAsia="宋体" w:cs="宋体"/>
          <w:color w:val="000000" w:themeColor="text1"/>
          <w:sz w:val="30"/>
          <w:szCs w:val="30"/>
          <w:lang w:val="en-US" w:eastAsia="zh-CN"/>
          <w14:textFill>
            <w14:solidFill>
              <w14:schemeClr w14:val="tx1"/>
            </w14:solidFill>
          </w14:textFill>
        </w:rPr>
        <w:t>70702512</w:t>
      </w:r>
      <w:r>
        <w:rPr>
          <w:rFonts w:hint="eastAsia" w:ascii="宋体" w:hAnsi="宋体" w:eastAsia="宋体" w:cs="宋体"/>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ascii="宋体" w:hAnsi="宋体" w:eastAsia="宋体" w:cs="宋体"/>
          <w:color w:val="000000" w:themeColor="text1"/>
          <w:sz w:val="30"/>
          <w:szCs w:val="30"/>
          <w14:textFill>
            <w14:solidFill>
              <w14:schemeClr w14:val="tx1"/>
            </w14:solidFill>
          </w14:textFill>
        </w:rPr>
      </w:pPr>
    </w:p>
    <w:bookmarkEnd w:id="0"/>
    <w:sectPr>
      <w:pgSz w:w="11906" w:h="16838"/>
      <w:pgMar w:top="1587"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mYyNjRjNjhkZDY2NjFlZTM0OWM5ZGRiMmFlMDIifQ=="/>
  </w:docVars>
  <w:rsids>
    <w:rsidRoot w:val="00A07F77"/>
    <w:rsid w:val="000F0189"/>
    <w:rsid w:val="001D5FB4"/>
    <w:rsid w:val="00692FA7"/>
    <w:rsid w:val="00A07F77"/>
    <w:rsid w:val="00A10F5C"/>
    <w:rsid w:val="00E7706C"/>
    <w:rsid w:val="00FD492F"/>
    <w:rsid w:val="012E251C"/>
    <w:rsid w:val="014337F8"/>
    <w:rsid w:val="01781D66"/>
    <w:rsid w:val="018C1643"/>
    <w:rsid w:val="01CE3A0A"/>
    <w:rsid w:val="01CF1530"/>
    <w:rsid w:val="027427F8"/>
    <w:rsid w:val="028247F4"/>
    <w:rsid w:val="02DA50CB"/>
    <w:rsid w:val="034F4EDD"/>
    <w:rsid w:val="038038EF"/>
    <w:rsid w:val="04C91207"/>
    <w:rsid w:val="04DB0C5F"/>
    <w:rsid w:val="056A57F8"/>
    <w:rsid w:val="057747FA"/>
    <w:rsid w:val="061050F6"/>
    <w:rsid w:val="071A4FFB"/>
    <w:rsid w:val="086E0768"/>
    <w:rsid w:val="08AA23AF"/>
    <w:rsid w:val="092D54BA"/>
    <w:rsid w:val="09816C22"/>
    <w:rsid w:val="0985595E"/>
    <w:rsid w:val="09AB63DF"/>
    <w:rsid w:val="09D5345C"/>
    <w:rsid w:val="09E57A38"/>
    <w:rsid w:val="0B957346"/>
    <w:rsid w:val="0BAA1044"/>
    <w:rsid w:val="0C4A375E"/>
    <w:rsid w:val="0CF72A37"/>
    <w:rsid w:val="0D26294C"/>
    <w:rsid w:val="0E2844A2"/>
    <w:rsid w:val="0E7F3589"/>
    <w:rsid w:val="0F3B0205"/>
    <w:rsid w:val="0F9C5147"/>
    <w:rsid w:val="1001144E"/>
    <w:rsid w:val="11036B00"/>
    <w:rsid w:val="115D1570"/>
    <w:rsid w:val="119F0F1F"/>
    <w:rsid w:val="12C65AA6"/>
    <w:rsid w:val="12F572D9"/>
    <w:rsid w:val="13370CE3"/>
    <w:rsid w:val="13544347"/>
    <w:rsid w:val="13AE5449"/>
    <w:rsid w:val="14D07641"/>
    <w:rsid w:val="15222C7D"/>
    <w:rsid w:val="152C0D1B"/>
    <w:rsid w:val="15347BD0"/>
    <w:rsid w:val="164C2CF7"/>
    <w:rsid w:val="16AB2114"/>
    <w:rsid w:val="17C35253"/>
    <w:rsid w:val="18143770"/>
    <w:rsid w:val="188B5D59"/>
    <w:rsid w:val="18AD3F21"/>
    <w:rsid w:val="18FA191F"/>
    <w:rsid w:val="19202945"/>
    <w:rsid w:val="195E16BF"/>
    <w:rsid w:val="19622BC3"/>
    <w:rsid w:val="198F7ACB"/>
    <w:rsid w:val="19A21F94"/>
    <w:rsid w:val="19F33BB6"/>
    <w:rsid w:val="1A8C65C3"/>
    <w:rsid w:val="1B0108F2"/>
    <w:rsid w:val="1B39685C"/>
    <w:rsid w:val="1B634CE6"/>
    <w:rsid w:val="1C64757C"/>
    <w:rsid w:val="1D7C713F"/>
    <w:rsid w:val="1DD939D5"/>
    <w:rsid w:val="1E1C7453"/>
    <w:rsid w:val="1EA062D6"/>
    <w:rsid w:val="1ED90E1F"/>
    <w:rsid w:val="1F9951FF"/>
    <w:rsid w:val="208B571D"/>
    <w:rsid w:val="20F42D23"/>
    <w:rsid w:val="217160D9"/>
    <w:rsid w:val="218A3568"/>
    <w:rsid w:val="223236E9"/>
    <w:rsid w:val="24244F5F"/>
    <w:rsid w:val="24A24B56"/>
    <w:rsid w:val="24A555AF"/>
    <w:rsid w:val="24B93C4E"/>
    <w:rsid w:val="24D25252"/>
    <w:rsid w:val="254C061E"/>
    <w:rsid w:val="25B3046A"/>
    <w:rsid w:val="26C568DA"/>
    <w:rsid w:val="26D44D6F"/>
    <w:rsid w:val="27455A23"/>
    <w:rsid w:val="28A1297A"/>
    <w:rsid w:val="2B535728"/>
    <w:rsid w:val="2B724B56"/>
    <w:rsid w:val="2B7B1C5D"/>
    <w:rsid w:val="2BA72A52"/>
    <w:rsid w:val="2C0F4644"/>
    <w:rsid w:val="2C397BB6"/>
    <w:rsid w:val="2C764495"/>
    <w:rsid w:val="2CBC252D"/>
    <w:rsid w:val="2CE70673"/>
    <w:rsid w:val="2D4C7ED2"/>
    <w:rsid w:val="2DCF1999"/>
    <w:rsid w:val="2DF952EB"/>
    <w:rsid w:val="2E0428EF"/>
    <w:rsid w:val="2E3049A9"/>
    <w:rsid w:val="2EFE507F"/>
    <w:rsid w:val="2F053281"/>
    <w:rsid w:val="300206D5"/>
    <w:rsid w:val="304B3EAD"/>
    <w:rsid w:val="304C1E1A"/>
    <w:rsid w:val="3058256D"/>
    <w:rsid w:val="30744ECD"/>
    <w:rsid w:val="312B13A5"/>
    <w:rsid w:val="31D9148B"/>
    <w:rsid w:val="32822E81"/>
    <w:rsid w:val="32885AE7"/>
    <w:rsid w:val="32C04CBB"/>
    <w:rsid w:val="32FB47A8"/>
    <w:rsid w:val="33704071"/>
    <w:rsid w:val="33BD20CE"/>
    <w:rsid w:val="33F455E9"/>
    <w:rsid w:val="33FE342B"/>
    <w:rsid w:val="34A06788"/>
    <w:rsid w:val="34B44CED"/>
    <w:rsid w:val="36427956"/>
    <w:rsid w:val="36AD0EA9"/>
    <w:rsid w:val="36E979BB"/>
    <w:rsid w:val="379F2985"/>
    <w:rsid w:val="37ED5C91"/>
    <w:rsid w:val="38B46F01"/>
    <w:rsid w:val="39A42B6D"/>
    <w:rsid w:val="39D4529B"/>
    <w:rsid w:val="3A4C4FDD"/>
    <w:rsid w:val="3A762414"/>
    <w:rsid w:val="3AA865FF"/>
    <w:rsid w:val="3AE01ADD"/>
    <w:rsid w:val="3AE3204D"/>
    <w:rsid w:val="3B163750"/>
    <w:rsid w:val="3B31164C"/>
    <w:rsid w:val="3B91210A"/>
    <w:rsid w:val="3BE949C1"/>
    <w:rsid w:val="3D1661FC"/>
    <w:rsid w:val="3EA177D5"/>
    <w:rsid w:val="3F626F64"/>
    <w:rsid w:val="3F63109E"/>
    <w:rsid w:val="3F8E5FAB"/>
    <w:rsid w:val="401F09B1"/>
    <w:rsid w:val="40302BBE"/>
    <w:rsid w:val="40B10BD9"/>
    <w:rsid w:val="40B21825"/>
    <w:rsid w:val="424010B3"/>
    <w:rsid w:val="427E2B20"/>
    <w:rsid w:val="42B51C7D"/>
    <w:rsid w:val="43AF64F0"/>
    <w:rsid w:val="43CB29E1"/>
    <w:rsid w:val="43D63A7D"/>
    <w:rsid w:val="4475773A"/>
    <w:rsid w:val="44A5030F"/>
    <w:rsid w:val="44A6065D"/>
    <w:rsid w:val="45433394"/>
    <w:rsid w:val="459E0585"/>
    <w:rsid w:val="45A1481E"/>
    <w:rsid w:val="45B002FD"/>
    <w:rsid w:val="45B10809"/>
    <w:rsid w:val="45D64208"/>
    <w:rsid w:val="46E5188B"/>
    <w:rsid w:val="47055EDB"/>
    <w:rsid w:val="47F72214"/>
    <w:rsid w:val="47F941DE"/>
    <w:rsid w:val="48205C0E"/>
    <w:rsid w:val="482C45B3"/>
    <w:rsid w:val="49437E06"/>
    <w:rsid w:val="49B3038E"/>
    <w:rsid w:val="4A583E90"/>
    <w:rsid w:val="4AF96649"/>
    <w:rsid w:val="4B6A26E6"/>
    <w:rsid w:val="4C001C76"/>
    <w:rsid w:val="4C2D08FA"/>
    <w:rsid w:val="4D2945FB"/>
    <w:rsid w:val="4D34224E"/>
    <w:rsid w:val="4D720832"/>
    <w:rsid w:val="4E2B2C17"/>
    <w:rsid w:val="4F5529C8"/>
    <w:rsid w:val="4F786A56"/>
    <w:rsid w:val="4FB853A1"/>
    <w:rsid w:val="509B22D6"/>
    <w:rsid w:val="50C95B4E"/>
    <w:rsid w:val="518C60C3"/>
    <w:rsid w:val="51BE0A70"/>
    <w:rsid w:val="51C504A8"/>
    <w:rsid w:val="533A06CF"/>
    <w:rsid w:val="53837051"/>
    <w:rsid w:val="54136627"/>
    <w:rsid w:val="5438608E"/>
    <w:rsid w:val="54AF6350"/>
    <w:rsid w:val="54EB4EAE"/>
    <w:rsid w:val="56101070"/>
    <w:rsid w:val="56721153"/>
    <w:rsid w:val="56FB3ACE"/>
    <w:rsid w:val="596671F9"/>
    <w:rsid w:val="5A221372"/>
    <w:rsid w:val="5A6F20DD"/>
    <w:rsid w:val="5AD05644"/>
    <w:rsid w:val="5B711C52"/>
    <w:rsid w:val="5B8D7738"/>
    <w:rsid w:val="5C965957"/>
    <w:rsid w:val="5D245401"/>
    <w:rsid w:val="5DDC3301"/>
    <w:rsid w:val="5DE5472B"/>
    <w:rsid w:val="5E096A51"/>
    <w:rsid w:val="5EF64B7B"/>
    <w:rsid w:val="5FA10F8B"/>
    <w:rsid w:val="60A056E7"/>
    <w:rsid w:val="622F7825"/>
    <w:rsid w:val="626811A4"/>
    <w:rsid w:val="62740BD9"/>
    <w:rsid w:val="630670EC"/>
    <w:rsid w:val="65CE0600"/>
    <w:rsid w:val="66F67E0E"/>
    <w:rsid w:val="67C021CA"/>
    <w:rsid w:val="67D72CA3"/>
    <w:rsid w:val="68906041"/>
    <w:rsid w:val="68F46DE3"/>
    <w:rsid w:val="69176BF3"/>
    <w:rsid w:val="6947014F"/>
    <w:rsid w:val="694C72E4"/>
    <w:rsid w:val="69E64FA2"/>
    <w:rsid w:val="6A445335"/>
    <w:rsid w:val="6AF56363"/>
    <w:rsid w:val="6C461F66"/>
    <w:rsid w:val="6C5125EA"/>
    <w:rsid w:val="6C711CE5"/>
    <w:rsid w:val="6C745916"/>
    <w:rsid w:val="6CB462B5"/>
    <w:rsid w:val="6CD56718"/>
    <w:rsid w:val="6D6131BF"/>
    <w:rsid w:val="6ECE062A"/>
    <w:rsid w:val="6EE668F9"/>
    <w:rsid w:val="6F2A4637"/>
    <w:rsid w:val="707C1064"/>
    <w:rsid w:val="708F5362"/>
    <w:rsid w:val="70933881"/>
    <w:rsid w:val="71791C90"/>
    <w:rsid w:val="71CB7924"/>
    <w:rsid w:val="72367C59"/>
    <w:rsid w:val="73636928"/>
    <w:rsid w:val="74992B6D"/>
    <w:rsid w:val="74B04100"/>
    <w:rsid w:val="75D3517F"/>
    <w:rsid w:val="75E91F82"/>
    <w:rsid w:val="76373F9F"/>
    <w:rsid w:val="77B358A8"/>
    <w:rsid w:val="78250553"/>
    <w:rsid w:val="78342545"/>
    <w:rsid w:val="78850FF2"/>
    <w:rsid w:val="78BD172B"/>
    <w:rsid w:val="79A47660"/>
    <w:rsid w:val="7AF1431C"/>
    <w:rsid w:val="7B292109"/>
    <w:rsid w:val="7BBD0AA3"/>
    <w:rsid w:val="7C211032"/>
    <w:rsid w:val="7C53287A"/>
    <w:rsid w:val="7E861620"/>
    <w:rsid w:val="7EAD4DFF"/>
    <w:rsid w:val="7F203823"/>
    <w:rsid w:val="7FE83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5402</Words>
  <Characters>6128</Characters>
  <Lines>66</Lines>
  <Paragraphs>18</Paragraphs>
  <TotalTime>0</TotalTime>
  <ScaleCrop>false</ScaleCrop>
  <LinksUpToDate>false</LinksUpToDate>
  <CharactersWithSpaces>6275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2022-10-09T01:46:00Z</dcterms:created>
  <dc:creator>PC</dc:creator>
  <cp:lastModifiedBy>Administrator</cp:lastModifiedBy>
  <dcterms:modified xsi:type="dcterms:W3CDTF">2023-02-02T09:06:39Z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8047B033A4A2470D9C7C491B895CADDD</vt:lpwstr>
  </property>
</Properties>
</file>