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丰都县乡村振兴局（本级）</w:t>
      </w:r>
    </w:p>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202</w:t>
      </w:r>
      <w:r>
        <w:rPr>
          <w:rFonts w:hint="default" w:ascii="Times New Roman" w:hAnsi="Times New Roman" w:eastAsia="方正小标宋_GBK" w:cs="Times New Roman"/>
          <w:color w:val="000000"/>
          <w:sz w:val="44"/>
          <w:szCs w:val="44"/>
          <w:lang w:val="en-US" w:eastAsia="zh-CN"/>
        </w:rPr>
        <w:t>2</w:t>
      </w:r>
      <w:r>
        <w:rPr>
          <w:rFonts w:hint="default" w:ascii="Times New Roman" w:hAnsi="Times New Roman" w:eastAsia="方正小标宋_GBK" w:cs="Times New Roman"/>
          <w:color w:val="000000"/>
          <w:sz w:val="44"/>
          <w:szCs w:val="44"/>
        </w:rPr>
        <w:t>年度部门决算情况说明</w:t>
      </w:r>
    </w:p>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lang w:val="en-US" w:eastAsia="zh-CN"/>
        </w:rPr>
      </w:pPr>
    </w:p>
    <w:p>
      <w:pPr>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部门基本情况</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（一）职能职责</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丰都县乡村振兴局（原丰都县扶贫开发办公室）职能职责：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 （二）机构设置</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丰都县乡村振兴局（原丰都县扶贫开发办公室）本级二级预算单位，内设3个职能科室（综合科、项目计划与产业发展科、社会扶贫与资金监管科），行政编制为9名，工勤编制1名，在职人数9人。</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（三）单位构成</w:t>
      </w:r>
    </w:p>
    <w:p>
      <w:pPr>
        <w:spacing w:line="57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从预算单位构成看，</w:t>
      </w:r>
      <w:r>
        <w:rPr>
          <w:rFonts w:hint="default" w:ascii="Times New Roman" w:hAnsi="Times New Roman" w:eastAsia="方正仿宋_GBK" w:cs="Times New Roman"/>
          <w:bCs/>
          <w:sz w:val="32"/>
          <w:szCs w:val="32"/>
        </w:rPr>
        <w:t>无</w:t>
      </w:r>
      <w:r>
        <w:rPr>
          <w:rFonts w:hint="default" w:ascii="Times New Roman" w:hAnsi="Times New Roman" w:eastAsia="方正仿宋_GBK" w:cs="Times New Roman"/>
          <w:bCs/>
          <w:sz w:val="32"/>
          <w:szCs w:val="32"/>
          <w:lang w:val="en-US" w:eastAsia="zh-CN"/>
        </w:rPr>
        <w:t>纳入</w:t>
      </w:r>
      <w:r>
        <w:rPr>
          <w:rFonts w:hint="default" w:ascii="Times New Roman" w:hAnsi="Times New Roman" w:eastAsia="方正仿宋_GBK" w:cs="Times New Roman"/>
          <w:bCs/>
          <w:sz w:val="32"/>
          <w:szCs w:val="32"/>
        </w:rPr>
        <w:t>本单位</w:t>
      </w:r>
      <w:r>
        <w:rPr>
          <w:rFonts w:hint="default" w:ascii="Times New Roman" w:hAnsi="Times New Roman" w:eastAsia="方正仿宋_GBK" w:cs="Times New Roman"/>
          <w:bCs/>
          <w:sz w:val="32"/>
          <w:szCs w:val="32"/>
          <w:lang w:val="en-US" w:eastAsia="zh-CN"/>
        </w:rPr>
        <w:t>2022年度决算编制的</w:t>
      </w:r>
      <w:r>
        <w:rPr>
          <w:rFonts w:hint="default" w:ascii="Times New Roman" w:hAnsi="Times New Roman" w:eastAsia="方正仿宋_GBK" w:cs="Times New Roman"/>
          <w:bCs/>
          <w:sz w:val="32"/>
          <w:szCs w:val="32"/>
        </w:rPr>
        <w:t>下级预算单位。</w:t>
      </w:r>
    </w:p>
    <w:p>
      <w:pPr>
        <w:spacing w:line="57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二、部门决算情况说明</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（一）收入支出决算总体情况说明</w:t>
      </w:r>
    </w:p>
    <w:p>
      <w:pPr>
        <w:spacing w:line="570" w:lineRule="exact"/>
        <w:ind w:firstLine="643"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1.总体情况。</w:t>
      </w:r>
      <w:r>
        <w:rPr>
          <w:rStyle w:val="7"/>
          <w:rFonts w:hint="default" w:ascii="Times New Roman" w:hAnsi="Times New Roman" w:eastAsia="方正仿宋_GBK" w:cs="Times New Roman"/>
          <w:b w:val="0"/>
          <w:color w:val="000000"/>
          <w:kern w:val="0"/>
          <w:sz w:val="32"/>
          <w:szCs w:val="32"/>
          <w:lang w:val="en-US" w:eastAsia="zh-CN" w:bidi="ar-SA"/>
        </w:rPr>
        <w:t>2022年度收入总计2221.41万元，支出总计2221.41万元。收支较上年决算数减少2498.95万元,下降52.9%，主要原因是巩固拓展脱贫攻坚成果同乡村振兴有效衔接项目资金和本单位工作经费等资金减少。</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2.收入情况。</w:t>
      </w:r>
      <w:r>
        <w:rPr>
          <w:rStyle w:val="7"/>
          <w:rFonts w:hint="default" w:ascii="Times New Roman" w:hAnsi="Times New Roman" w:eastAsia="方正仿宋_GBK" w:cs="Times New Roman"/>
          <w:b w:val="0"/>
          <w:color w:val="000000"/>
          <w:kern w:val="0"/>
          <w:sz w:val="32"/>
          <w:szCs w:val="32"/>
          <w:lang w:val="en-US" w:eastAsia="zh-CN" w:bidi="ar-SA"/>
        </w:rPr>
        <w:t>2022年度收入合计1708.28万元，较上年</w:t>
      </w:r>
      <w:r>
        <w:rPr>
          <w:rStyle w:val="7"/>
          <w:rFonts w:hint="default" w:ascii="Times New Roman" w:hAnsi="Times New Roman" w:eastAsia="方正仿宋_GBK" w:cs="Times New Roman"/>
          <w:b w:val="0"/>
          <w:bCs/>
          <w:color w:val="000000"/>
          <w:kern w:val="0"/>
          <w:sz w:val="32"/>
          <w:szCs w:val="32"/>
          <w:lang w:val="en-US" w:eastAsia="zh-CN" w:bidi="ar-SA"/>
        </w:rPr>
        <w:t>决算数减少2499.30万元，下降59.4%，主要原因是巩固拓展脱贫攻坚成果同乡村振兴有效衔接项目资金和本单位工作经费等资金减少。其中：财政拨款收入1708.28万元，占100%。此外，使用非财政拨款结余0.00万元，年初结转和结余513.14万元。</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3.支出情况。</w:t>
      </w:r>
      <w:r>
        <w:rPr>
          <w:rStyle w:val="7"/>
          <w:rFonts w:hint="default" w:ascii="Times New Roman" w:hAnsi="Times New Roman" w:eastAsia="方正仿宋_GBK" w:cs="Times New Roman"/>
          <w:b w:val="0"/>
          <w:bCs/>
          <w:color w:val="000000"/>
          <w:kern w:val="0"/>
          <w:sz w:val="32"/>
          <w:szCs w:val="32"/>
          <w:lang w:val="en-US" w:eastAsia="zh-CN" w:bidi="ar-SA"/>
        </w:rPr>
        <w:t>2022年度支出合计2220.88万元，较上年决算减少1986.35万元，下降47.2%，主要原因是巩固拓展脱贫攻坚成果同乡村振兴有效衔接项目资金和本单位工作经费等资金减少。其中：基本支出187.28万元，占8.4%；项目支出2033.59万元，占91.6%。此外，结余分配0.00万元。</w:t>
      </w:r>
    </w:p>
    <w:p>
      <w:pPr>
        <w:spacing w:line="570" w:lineRule="exact"/>
        <w:ind w:firstLine="643" w:firstLineChars="200"/>
        <w:rPr>
          <w:rFonts w:hint="default" w:ascii="Times New Roman" w:hAnsi="Times New Roman" w:cs="Times New Roman"/>
        </w:rPr>
      </w:pPr>
      <w:r>
        <w:rPr>
          <w:rStyle w:val="7"/>
          <w:rFonts w:hint="default" w:ascii="Times New Roman" w:hAnsi="Times New Roman" w:eastAsia="方正仿宋_GBK" w:cs="Times New Roman"/>
          <w:b/>
          <w:bCs w:val="0"/>
          <w:color w:val="000000"/>
          <w:kern w:val="0"/>
          <w:sz w:val="32"/>
          <w:szCs w:val="32"/>
          <w:lang w:val="en-US" w:eastAsia="zh-CN" w:bidi="ar-SA"/>
        </w:rPr>
        <w:t>4.结转结余情况。</w:t>
      </w:r>
      <w:r>
        <w:rPr>
          <w:rStyle w:val="7"/>
          <w:rFonts w:hint="default" w:ascii="Times New Roman" w:hAnsi="Times New Roman" w:eastAsia="方正仿宋_GBK" w:cs="Times New Roman"/>
          <w:b w:val="0"/>
          <w:bCs/>
          <w:color w:val="000000"/>
          <w:kern w:val="0"/>
          <w:sz w:val="32"/>
          <w:szCs w:val="32"/>
          <w:lang w:val="en-US" w:eastAsia="zh-CN" w:bidi="ar-SA"/>
        </w:rPr>
        <w:t>2022年度年末结转和结余0.54万元，较上年决算数减少512.60万元，下降99.9%。主要原因是支付</w:t>
      </w:r>
      <w:r>
        <w:rPr>
          <w:rStyle w:val="7"/>
          <w:rFonts w:hint="default" w:ascii="Times New Roman" w:hAnsi="Times New Roman" w:eastAsia="方正仿宋_GBK" w:cs="Times New Roman"/>
          <w:b w:val="0"/>
          <w:color w:val="000000"/>
          <w:kern w:val="0"/>
          <w:sz w:val="32"/>
          <w:szCs w:val="32"/>
          <w:lang w:val="en-US" w:eastAsia="zh-CN" w:bidi="ar-SA"/>
        </w:rPr>
        <w:t>金融扶贫小额信贷贴息资金</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（二）财政拨款收入支出决算总体情况说明</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2022年度财政拨款收、支总计2221.41万元。与2021年相比，财政拨款收、支总计各减少2498.95万元，下降52.9%。</w:t>
      </w:r>
      <w:r>
        <w:rPr>
          <w:rStyle w:val="7"/>
          <w:rFonts w:hint="default" w:ascii="Times New Roman" w:hAnsi="Times New Roman" w:eastAsia="方正仿宋_GBK" w:cs="Times New Roman"/>
          <w:b w:val="0"/>
          <w:color w:val="000000"/>
          <w:kern w:val="0"/>
          <w:sz w:val="32"/>
          <w:szCs w:val="32"/>
          <w:lang w:val="en-US" w:eastAsia="zh-CN" w:bidi="ar-SA"/>
        </w:rPr>
        <w:t>主要原因是巩固拓展脱贫攻坚成果同乡村振兴有效衔接项目资金和本单位工作经费等资金减少</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（三）一般公共预算财政拨款收入支出决算情况说明</w:t>
      </w:r>
    </w:p>
    <w:p>
      <w:pPr>
        <w:spacing w:line="570" w:lineRule="exact"/>
        <w:ind w:firstLine="643" w:firstLineChars="200"/>
        <w:rPr>
          <w:rStyle w:val="7"/>
          <w:rFonts w:hint="default" w:ascii="Times New Roman" w:hAnsi="Times New Roman" w:eastAsia="方正仿宋_GBK" w:cs="Times New Roman"/>
          <w:b/>
          <w:bCs w:val="0"/>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1.收入情况。</w:t>
      </w:r>
      <w:r>
        <w:rPr>
          <w:rStyle w:val="7"/>
          <w:rFonts w:hint="default" w:ascii="Times New Roman" w:hAnsi="Times New Roman" w:eastAsia="方正仿宋_GBK" w:cs="Times New Roman"/>
          <w:b w:val="0"/>
          <w:bCs/>
          <w:color w:val="000000"/>
          <w:kern w:val="0"/>
          <w:sz w:val="32"/>
          <w:szCs w:val="32"/>
          <w:lang w:val="en-US" w:eastAsia="zh-CN" w:bidi="ar-SA"/>
        </w:rPr>
        <w:t>2022年度一般公共预算财政拨款收入1708.28万元，较上年决算数减少2499.30万元，下降59.4%。主要原因是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巩固拓展脱贫攻坚成果同乡村振兴有效衔接项目资金和本单位工作经费等资金减少</w:t>
      </w:r>
      <w:r>
        <w:rPr>
          <w:rStyle w:val="7"/>
          <w:rFonts w:hint="default" w:ascii="Times New Roman" w:hAnsi="Times New Roman" w:eastAsia="方正仿宋_GBK" w:cs="Times New Roman"/>
          <w:b w:val="0"/>
          <w:bCs/>
          <w:color w:val="000000"/>
          <w:kern w:val="0"/>
          <w:sz w:val="32"/>
          <w:szCs w:val="32"/>
          <w:lang w:val="en-US" w:eastAsia="zh-CN" w:bidi="ar-SA"/>
        </w:rPr>
        <w:t>。较年初预算数减少12960.15万元，下降88.4%。主要原因是部分项目资金纳入年初预算的，而实际资金未到本单位未列支。此外，年初财政拨款结转和结余513.14万元。</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2.支出情况。</w:t>
      </w:r>
      <w:r>
        <w:rPr>
          <w:rStyle w:val="7"/>
          <w:rFonts w:hint="default" w:ascii="Times New Roman" w:hAnsi="Times New Roman" w:eastAsia="方正仿宋_GBK" w:cs="Times New Roman"/>
          <w:b w:val="0"/>
          <w:bCs/>
          <w:color w:val="000000"/>
          <w:kern w:val="0"/>
          <w:sz w:val="32"/>
          <w:szCs w:val="32"/>
          <w:lang w:val="en-US" w:eastAsia="zh-CN" w:bidi="ar-SA"/>
        </w:rPr>
        <w:t>2022年度一般公共预算财政拨款支出2220.88万元，较上年决算数减少1986.35万元，下降47.2%。主要原因是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巩固拓展脱贫攻坚成果同乡村振兴有效衔接项目资金和本单位工作经费等资金减少</w:t>
      </w:r>
      <w:r>
        <w:rPr>
          <w:rStyle w:val="7"/>
          <w:rFonts w:hint="default" w:ascii="Times New Roman" w:hAnsi="Times New Roman" w:eastAsia="方正仿宋_GBK" w:cs="Times New Roman"/>
          <w:b w:val="0"/>
          <w:bCs/>
          <w:color w:val="000000"/>
          <w:kern w:val="0"/>
          <w:sz w:val="32"/>
          <w:szCs w:val="32"/>
          <w:lang w:val="en-US" w:eastAsia="zh-CN" w:bidi="ar-SA"/>
        </w:rPr>
        <w:t>。较年初预算数减少12447.55万元，下降84.9%。主要原因是部分项目资金纳入年初预算的，而实际资金未到本单位未列支。</w:t>
      </w:r>
    </w:p>
    <w:p>
      <w:pPr>
        <w:spacing w:line="570" w:lineRule="exact"/>
        <w:ind w:firstLine="643" w:firstLineChars="200"/>
        <w:rPr>
          <w:rStyle w:val="7"/>
          <w:rFonts w:hint="default" w:ascii="Times New Roman" w:hAnsi="Times New Roman" w:eastAsia="方正仿宋_GBK" w:cs="Times New Roman"/>
          <w:b/>
          <w:bCs w:val="0"/>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3.结转结余情况。</w:t>
      </w:r>
      <w:r>
        <w:rPr>
          <w:rStyle w:val="7"/>
          <w:rFonts w:hint="default" w:ascii="Times New Roman" w:hAnsi="Times New Roman" w:eastAsia="方正仿宋_GBK" w:cs="Times New Roman"/>
          <w:b w:val="0"/>
          <w:bCs/>
          <w:color w:val="000000"/>
          <w:kern w:val="0"/>
          <w:sz w:val="32"/>
          <w:szCs w:val="32"/>
          <w:lang w:val="en-US" w:eastAsia="zh-CN" w:bidi="ar-SA"/>
        </w:rPr>
        <w:t>2022年度年末一般公共预算财政拨款结转和结余0.54万元，较上年决算数减少512.60万元，下降99.9%，主要原因是支付金融扶贫小额信贷贴息资金。</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val="0"/>
          <w:color w:val="000000"/>
          <w:kern w:val="0"/>
          <w:sz w:val="32"/>
          <w:szCs w:val="32"/>
          <w:lang w:val="en-US" w:eastAsia="zh-CN" w:bidi="ar-SA"/>
        </w:rPr>
        <w:t>4.比较情况。</w:t>
      </w:r>
      <w:r>
        <w:rPr>
          <w:rStyle w:val="7"/>
          <w:rFonts w:hint="default" w:ascii="Times New Roman" w:hAnsi="Times New Roman" w:eastAsia="方正仿宋_GBK" w:cs="Times New Roman"/>
          <w:b w:val="0"/>
          <w:bCs/>
          <w:color w:val="000000"/>
          <w:kern w:val="0"/>
          <w:sz w:val="32"/>
          <w:szCs w:val="32"/>
          <w:lang w:val="en-US" w:eastAsia="zh-CN" w:bidi="ar-SA"/>
        </w:rPr>
        <w:t>本单位2022年度一般公共预算财政拨款支出主要用于以下几个方面：</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（1）一般公共服务支出501.98万元，占22.6%，较年初预算数增加501.98万元，增长100%，主要原因是金融扶贫风险补偿金。</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（2）社会保障与就业支出18.37万元，占0.8%，较年初预算数减少0.73万元，下降3.8%，主要原因是人员变动，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（3）卫生健康支出8.36万元，占0.4%，较年初预算数减少0.70万元，下降7.7%，主要原因是人员变动，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（4）农林水支出1685.76万元，占75.9%，较年初预算数减少12945.87万元，下降88.5%，主要原因是</w:t>
      </w:r>
      <w:r>
        <w:rPr>
          <w:rStyle w:val="7"/>
          <w:rFonts w:hint="default"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（5）住房保障支出6.40万元，占0.3%，较年初预算数减少2.25万元，下降26%，主要原因是人员变动，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（四）一般公共预算财政拨款基本支出决算情况说明</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val="0"/>
          <w:bCs/>
          <w:color w:val="000000"/>
          <w:kern w:val="0"/>
          <w:sz w:val="32"/>
          <w:szCs w:val="32"/>
          <w:lang w:val="en-US" w:eastAsia="zh-CN" w:bidi="ar-SA"/>
        </w:rPr>
        <w:t>2022年度一般公共预算财政拨款基本支出187.28万元。其中：人员经费165.28万元，较上年决算数减少28.54万元，下降14.7%，主要原因是单位政策性调减人员经费和单位运行费用减少。人员经费用途主要包括</w:t>
      </w:r>
      <w:r>
        <w:rPr>
          <w:rStyle w:val="7"/>
          <w:rFonts w:hint="default" w:ascii="Times New Roman" w:hAnsi="Times New Roman" w:eastAsia="方正仿宋_GBK" w:cs="Times New Roman"/>
          <w:b w:val="0"/>
          <w:color w:val="000000"/>
          <w:kern w:val="0"/>
          <w:sz w:val="32"/>
          <w:szCs w:val="32"/>
          <w:lang w:val="en-US" w:eastAsia="zh-CN" w:bidi="ar-SA"/>
        </w:rPr>
        <w:t>基本工资、津贴补贴、奖金、基本医疗保险、机关事业单位基本养老保险、职业年金缴费、住房公积金等</w:t>
      </w:r>
      <w:r>
        <w:rPr>
          <w:rStyle w:val="7"/>
          <w:rFonts w:hint="default" w:ascii="Times New Roman" w:hAnsi="Times New Roman" w:eastAsia="方正仿宋_GBK" w:cs="Times New Roman"/>
          <w:b w:val="0"/>
          <w:bCs/>
          <w:color w:val="000000"/>
          <w:kern w:val="0"/>
          <w:sz w:val="32"/>
          <w:szCs w:val="32"/>
          <w:lang w:val="en-US" w:eastAsia="zh-CN" w:bidi="ar-SA"/>
        </w:rPr>
        <w:t>。公用经费22.00万元，较上年决算数减少145.52万元，下降86.9%，主要原因是本单位运行费用减少。公用经费用途主要包括</w:t>
      </w:r>
      <w:r>
        <w:rPr>
          <w:rStyle w:val="7"/>
          <w:rFonts w:hint="default" w:ascii="Times New Roman" w:hAnsi="Times New Roman" w:eastAsia="方正仿宋_GBK" w:cs="Times New Roman"/>
          <w:b w:val="0"/>
          <w:color w:val="000000"/>
          <w:kern w:val="0"/>
          <w:sz w:val="32"/>
          <w:szCs w:val="32"/>
          <w:lang w:val="en-US" w:eastAsia="zh-CN" w:bidi="ar-SA"/>
        </w:rPr>
        <w:t>办公费、维护费、水电费、邮电费、差旅费、劳务费、租赁费、其他交通费等</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楷体_GBK" w:cs="Times New Roman"/>
          <w:b w:val="0"/>
          <w:color w:val="000000"/>
          <w:sz w:val="32"/>
          <w:szCs w:val="32"/>
          <w:lang w:val="en-US" w:eastAsia="zh-CN"/>
        </w:rPr>
      </w:pPr>
      <w:r>
        <w:rPr>
          <w:rStyle w:val="7"/>
          <w:rFonts w:hint="default" w:ascii="Times New Roman" w:hAnsi="Times New Roman" w:eastAsia="方正楷体_GBK" w:cs="Times New Roman"/>
          <w:b w:val="0"/>
          <w:color w:val="000000"/>
          <w:sz w:val="32"/>
          <w:szCs w:val="32"/>
          <w:lang w:val="en-US" w:eastAsia="zh-CN"/>
        </w:rPr>
        <w:t>（五）政府性基金预算收支决算情况说明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sz w:val="32"/>
          <w:szCs w:val="32"/>
          <w:lang w:val="en-US" w:eastAsia="zh-CN"/>
        </w:rPr>
        <w:t> </w:t>
      </w:r>
      <w:r>
        <w:rPr>
          <w:rStyle w:val="7"/>
          <w:rFonts w:hint="default" w:ascii="Times New Roman" w:hAnsi="Times New Roman" w:eastAsia="方正仿宋_GBK" w:cs="Times New Roman"/>
          <w:b w:val="0"/>
          <w:color w:val="000000"/>
          <w:kern w:val="0"/>
          <w:sz w:val="32"/>
          <w:szCs w:val="32"/>
          <w:lang w:val="en-US" w:eastAsia="zh-CN" w:bidi="ar-SA"/>
        </w:rPr>
        <w:t>本单位2022年度无政府性基金预算财政拨款收支。</w:t>
      </w:r>
    </w:p>
    <w:p>
      <w:pPr>
        <w:numPr>
          <w:ilvl w:val="0"/>
          <w:numId w:val="1"/>
        </w:numPr>
        <w:spacing w:line="570" w:lineRule="exact"/>
        <w:ind w:firstLine="640" w:firstLineChars="200"/>
        <w:rPr>
          <w:rStyle w:val="7"/>
          <w:rFonts w:hint="default" w:ascii="Times New Roman" w:hAnsi="Times New Roman" w:eastAsia="方正楷体_GBK" w:cs="Times New Roman"/>
          <w:b w:val="0"/>
          <w:color w:val="000000"/>
          <w:sz w:val="32"/>
          <w:szCs w:val="32"/>
          <w:lang w:val="en-US" w:eastAsia="zh-CN"/>
        </w:rPr>
      </w:pPr>
      <w:r>
        <w:rPr>
          <w:rStyle w:val="7"/>
          <w:rFonts w:hint="default" w:ascii="Times New Roman" w:hAnsi="Times New Roman" w:eastAsia="方正楷体_GBK" w:cs="Times New Roman"/>
          <w:b w:val="0"/>
          <w:color w:val="000000"/>
          <w:sz w:val="32"/>
          <w:szCs w:val="32"/>
          <w:lang w:val="en-US" w:eastAsia="zh-CN"/>
        </w:rPr>
        <w:t>国有资本经营预算财政拨款支出决算情况说明</w:t>
      </w:r>
    </w:p>
    <w:p>
      <w:pPr>
        <w:numPr>
          <w:ilvl w:val="0"/>
          <w:numId w:val="0"/>
        </w:num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本单位2022年度无国有资本经营预算财政拨款支出。</w:t>
      </w:r>
    </w:p>
    <w:p>
      <w:pPr>
        <w:spacing w:line="57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三、“三公”经费情况说明</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（一）“三公”经费支出总体情况说明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2022年度“三公”经费支出共计0.22万元，较年初预算数增加0.02万元，增长10%，主要原因是根据实际工作开展，导致费用增加。较上年支出数减少9.78万元，下降97.8%，主要原因是认真执行财务制度、厉行节约，导致费用下降。</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（二）“三公”经费分项支出情况</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Cs/>
          <w:color w:val="000000"/>
          <w:sz w:val="32"/>
          <w:szCs w:val="32"/>
        </w:rPr>
        <w:t>本</w:t>
      </w:r>
      <w:r>
        <w:rPr>
          <w:rFonts w:hint="default" w:ascii="Times New Roman" w:hAnsi="Times New Roman" w:eastAsia="方正仿宋_GBK" w:cs="Times New Roman"/>
          <w:bCs/>
          <w:color w:val="000000"/>
          <w:sz w:val="32"/>
          <w:szCs w:val="32"/>
          <w:lang w:val="en-US" w:eastAsia="zh-CN"/>
        </w:rPr>
        <w:t>单位</w:t>
      </w:r>
      <w:r>
        <w:rPr>
          <w:rStyle w:val="7"/>
          <w:rFonts w:hint="default" w:ascii="Times New Roman" w:hAnsi="Times New Roman" w:eastAsia="方正仿宋_GBK" w:cs="Times New Roman"/>
          <w:b w:val="0"/>
          <w:color w:val="000000"/>
          <w:kern w:val="0"/>
          <w:sz w:val="32"/>
          <w:szCs w:val="32"/>
          <w:lang w:val="en-US" w:eastAsia="zh-CN" w:bidi="ar-SA"/>
        </w:rPr>
        <w:t> 2022年度</w:t>
      </w:r>
      <w:r>
        <w:rPr>
          <w:rFonts w:hint="default" w:ascii="Times New Roman" w:hAnsi="Times New Roman" w:eastAsia="方正仿宋_GBK" w:cs="Times New Roman"/>
          <w:bCs/>
          <w:color w:val="000000"/>
          <w:sz w:val="32"/>
          <w:szCs w:val="32"/>
          <w:lang w:val="en-US" w:eastAsia="zh-CN"/>
        </w:rPr>
        <w:t>未发生因</w:t>
      </w:r>
      <w:r>
        <w:rPr>
          <w:rFonts w:hint="default" w:ascii="Times New Roman" w:hAnsi="Times New Roman" w:eastAsia="方正仿宋_GBK" w:cs="Times New Roman"/>
          <w:bCs/>
          <w:color w:val="000000"/>
          <w:sz w:val="32"/>
          <w:szCs w:val="32"/>
        </w:rPr>
        <w:t>公出国（境）费用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本</w:t>
      </w:r>
      <w:r>
        <w:rPr>
          <w:rFonts w:hint="default" w:ascii="Times New Roman" w:hAnsi="Times New Roman" w:eastAsia="方正仿宋_GBK" w:cs="Times New Roman"/>
          <w:bCs/>
          <w:color w:val="000000"/>
          <w:sz w:val="32"/>
          <w:szCs w:val="32"/>
          <w:lang w:val="en-US" w:eastAsia="zh-CN"/>
        </w:rPr>
        <w:t>单位</w:t>
      </w:r>
      <w:r>
        <w:rPr>
          <w:rStyle w:val="7"/>
          <w:rFonts w:hint="default" w:ascii="Times New Roman" w:hAnsi="Times New Roman" w:eastAsia="方正仿宋_GBK" w:cs="Times New Roman"/>
          <w:b w:val="0"/>
          <w:color w:val="000000"/>
          <w:kern w:val="0"/>
          <w:sz w:val="32"/>
          <w:szCs w:val="32"/>
          <w:lang w:val="en-US" w:eastAsia="zh-CN" w:bidi="ar-SA"/>
        </w:rPr>
        <w:t>2022年度未发生</w:t>
      </w:r>
      <w:r>
        <w:rPr>
          <w:rFonts w:hint="default" w:ascii="Times New Roman" w:hAnsi="Times New Roman" w:eastAsia="方正仿宋_GBK" w:cs="Times New Roman"/>
          <w:bCs/>
          <w:color w:val="000000"/>
          <w:sz w:val="32"/>
          <w:szCs w:val="32"/>
        </w:rPr>
        <w:t>公务车购置费用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Cs/>
          <w:color w:val="000000"/>
          <w:sz w:val="32"/>
          <w:szCs w:val="32"/>
        </w:rPr>
      </w:pPr>
      <w:r>
        <w:rPr>
          <w:rStyle w:val="7"/>
          <w:rFonts w:hint="default" w:ascii="Times New Roman" w:hAnsi="Times New Roman" w:eastAsia="方正仿宋_GBK" w:cs="Times New Roman"/>
          <w:b w:val="0"/>
          <w:color w:val="000000"/>
          <w:kern w:val="0"/>
          <w:sz w:val="32"/>
          <w:szCs w:val="32"/>
          <w:lang w:val="en-US" w:eastAsia="zh-CN" w:bidi="ar-SA"/>
        </w:rPr>
        <w:t> </w:t>
      </w:r>
      <w:r>
        <w:rPr>
          <w:rFonts w:hint="default" w:ascii="Times New Roman" w:hAnsi="Times New Roman" w:eastAsia="方正仿宋_GBK" w:cs="Times New Roman"/>
          <w:bCs/>
          <w:color w:val="000000"/>
          <w:sz w:val="32"/>
          <w:szCs w:val="32"/>
        </w:rPr>
        <w:t>本单位202</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年度未发生公务车运行维护费用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2022年度公务接待费0.22万元，主要用于接待开展巩固拓展脱贫攻坚成果同乡村振兴有效衔接工作调研、督导等工作。费用支出较年初预算数增加0.02万元，增长10%，主要原因是根据实际工作开展，导致费用增加。较上年支出数减少9.78万元，下降97.8%，主要原因是认真执行财务制度、厉行节约，导致费用下降。</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（三）“三公”经费实物量情况</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2022年度本部门因公出国（境）共计0个团组，0人；公务用车购置0辆，公务车保有量为0辆；国内公务接待3批次23人，其中：国内外事接待0批次，0人；国（境）外公务接待0批次，0人。2022年本部门人均接待费97.30元，车均购置费0.00万元，车均维护费0.00万元。</w:t>
      </w:r>
    </w:p>
    <w:p>
      <w:pPr>
        <w:spacing w:line="570" w:lineRule="exact"/>
        <w:ind w:firstLine="640" w:firstLineChars="200"/>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四、其他需要说明的事项</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（一）财政拨款会议费和培训费情况说明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本年度会议费支出0.04万元，较上年决算数减少20.92万元，下降99.8%，主要原因是严格执行规定，工作会议召开次数减少，导致费用下降。</w:t>
      </w:r>
    </w:p>
    <w:p>
      <w:pPr>
        <w:spacing w:line="570" w:lineRule="exact"/>
        <w:ind w:firstLine="640" w:firstLineChars="200"/>
        <w:rPr>
          <w:rFonts w:hint="default" w:ascii="Times New Roman" w:hAnsi="Times New Roman" w:eastAsia="黑体" w:cs="Times New Roman"/>
          <w:bCs/>
          <w:sz w:val="32"/>
          <w:szCs w:val="32"/>
          <w:lang w:val="en-US" w:eastAsia="zh-CN"/>
        </w:rPr>
      </w:pPr>
      <w:r>
        <w:rPr>
          <w:rStyle w:val="7"/>
          <w:rFonts w:hint="default" w:ascii="Times New Roman" w:hAnsi="Times New Roman" w:eastAsia="方正仿宋_GBK" w:cs="Times New Roman"/>
          <w:b w:val="0"/>
          <w:color w:val="000000"/>
          <w:kern w:val="0"/>
          <w:sz w:val="32"/>
          <w:szCs w:val="32"/>
          <w:lang w:val="en-US" w:eastAsia="zh-CN" w:bidi="ar-SA"/>
        </w:rPr>
        <w:t>本年度培训费支出158.04万元，较上年决算数增加52.82万元，增长50.2%，主要原因是增加基地校开展就业技能培训项目，导致费用增加。</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（二）机关运行经费支出情况说明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2022年度本单位机关运行经费支出22.00万元，主要用于单位</w:t>
      </w:r>
      <w:r>
        <w:rPr>
          <w:rFonts w:hint="default" w:ascii="Times New Roman" w:hAnsi="Times New Roman" w:eastAsia="方正仿宋_GBK" w:cs="Times New Roman"/>
          <w:bCs/>
          <w:color w:val="000000"/>
          <w:sz w:val="32"/>
          <w:szCs w:val="32"/>
        </w:rPr>
        <w:t>日常运转</w:t>
      </w:r>
      <w:r>
        <w:rPr>
          <w:rStyle w:val="7"/>
          <w:rFonts w:hint="default" w:ascii="Times New Roman" w:hAnsi="Times New Roman" w:eastAsia="方正仿宋_GBK" w:cs="Times New Roman"/>
          <w:b w:val="0"/>
          <w:color w:val="000000"/>
          <w:kern w:val="0"/>
          <w:sz w:val="32"/>
          <w:szCs w:val="32"/>
          <w:lang w:val="en-US" w:eastAsia="zh-CN" w:bidi="ar-SA"/>
        </w:rPr>
        <w:t>开支办公费、维护费、水电费、邮电费、差旅费、劳务费、租赁费、其他交通费等</w:t>
      </w:r>
      <w:r>
        <w:rPr>
          <w:rStyle w:val="7"/>
          <w:rFonts w:hint="default" w:ascii="Times New Roman" w:hAnsi="Times New Roman" w:eastAsia="方正仿宋_GBK" w:cs="Times New Roman"/>
          <w:b w:val="0"/>
          <w:bCs/>
          <w:color w:val="000000"/>
          <w:kern w:val="0"/>
          <w:sz w:val="32"/>
          <w:szCs w:val="32"/>
          <w:lang w:val="en-US" w:eastAsia="zh-CN" w:bidi="ar-SA"/>
        </w:rPr>
        <w:t>。</w:t>
      </w:r>
      <w:r>
        <w:rPr>
          <w:rStyle w:val="7"/>
          <w:rFonts w:hint="default" w:ascii="Times New Roman" w:hAnsi="Times New Roman" w:eastAsia="方正仿宋_GBK" w:cs="Times New Roman"/>
          <w:b w:val="0"/>
          <w:color w:val="000000"/>
          <w:kern w:val="0"/>
          <w:sz w:val="32"/>
          <w:szCs w:val="32"/>
          <w:lang w:val="en-US" w:eastAsia="zh-CN" w:bidi="ar-SA"/>
        </w:rPr>
        <w:t>机关运行经费较上年决算数减少145.52万元，下降86.9%，主要原因是认真执行财务制度、厉行节约，导致费用下降。</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（三）国有资产占用情况说明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截至2022年12月31日，本单位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（四）政府采购支出说明</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Style w:val="7"/>
          <w:rFonts w:hint="default" w:ascii="Times New Roman" w:hAnsi="Times New Roman" w:eastAsia="方正仿宋_GBK" w:cs="Times New Roman"/>
          <w:b w:val="0"/>
          <w:color w:val="000000"/>
          <w:kern w:val="0"/>
          <w:sz w:val="32"/>
          <w:szCs w:val="32"/>
          <w:lang w:val="en-US" w:eastAsia="zh-CN" w:bidi="ar-SA"/>
        </w:rPr>
        <w:t>本单位2022年度未发生政府采购事项，无相关经费</w:t>
      </w:r>
      <w:r>
        <w:rPr>
          <w:rFonts w:hint="default" w:ascii="Times New Roman" w:hAnsi="Times New Roman" w:eastAsia="方正楷体_GBK" w:cs="Times New Roman"/>
          <w:bCs/>
          <w:sz w:val="32"/>
          <w:szCs w:val="32"/>
          <w:lang w:val="en-US" w:eastAsia="zh-CN"/>
        </w:rPr>
        <w:t>支出。</w:t>
      </w:r>
    </w:p>
    <w:p>
      <w:pPr>
        <w:spacing w:line="570" w:lineRule="exact"/>
        <w:ind w:firstLine="640" w:firstLineChars="200"/>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五、预算绩效管理情况说明</w:t>
      </w:r>
    </w:p>
    <w:p>
      <w:pPr>
        <w:pStyle w:val="4"/>
        <w:widowControl w:val="0"/>
        <w:spacing w:before="0" w:beforeAutospacing="0" w:after="0" w:afterAutospacing="0" w:line="570" w:lineRule="exact"/>
        <w:ind w:firstLine="643" w:firstLineChars="200"/>
        <w:jc w:val="both"/>
        <w:rPr>
          <w:rStyle w:val="7"/>
          <w:rFonts w:hint="default" w:ascii="Times New Roman" w:hAnsi="Times New Roman" w:eastAsia="方正楷体_GBK" w:cs="Times New Roman"/>
          <w:sz w:val="32"/>
          <w:szCs w:val="32"/>
        </w:rPr>
      </w:pPr>
      <w:r>
        <w:rPr>
          <w:rStyle w:val="7"/>
          <w:rFonts w:hint="default" w:ascii="Times New Roman" w:hAnsi="Times New Roman" w:eastAsia="方正楷体_GBK" w:cs="Times New Roman"/>
          <w:sz w:val="32"/>
          <w:szCs w:val="32"/>
        </w:rPr>
        <w:t> </w:t>
      </w:r>
      <w:r>
        <w:rPr>
          <w:rStyle w:val="7"/>
          <w:rFonts w:hint="default" w:ascii="Times New Roman" w:hAnsi="Times New Roman" w:eastAsia="方正楷体_GBK" w:cs="Times New Roman"/>
          <w:b w:val="0"/>
          <w:color w:val="000000"/>
          <w:kern w:val="0"/>
          <w:sz w:val="32"/>
          <w:szCs w:val="32"/>
          <w:lang w:val="en-US" w:eastAsia="zh-CN" w:bidi="ar-SA"/>
        </w:rPr>
        <w:t>（一）预算绩效管理工作开展情况</w:t>
      </w:r>
    </w:p>
    <w:p>
      <w:pPr>
        <w:pStyle w:val="4"/>
        <w:widowControl w:val="0"/>
        <w:spacing w:before="0" w:beforeAutospacing="0" w:after="0" w:afterAutospacing="0" w:line="240" w:lineRule="auto"/>
        <w:ind w:firstLine="640" w:firstLineChars="200"/>
        <w:jc w:val="both"/>
        <w:rPr>
          <w:rFonts w:hint="default" w:ascii="Times New Roman" w:hAnsi="Times New Roman" w:eastAsia="方正仿宋_GBK" w:cs="Times New Roman"/>
          <w:color w:val="000000"/>
          <w:sz w:val="32"/>
          <w:szCs w:val="32"/>
          <w:lang w:val="en-US" w:eastAsia="zh-CN"/>
        </w:rPr>
      </w:pPr>
      <w:r>
        <w:rPr>
          <w:rStyle w:val="7"/>
          <w:rFonts w:hint="default" w:ascii="Times New Roman" w:hAnsi="Times New Roman" w:eastAsia="方正仿宋_GBK" w:cs="Times New Roman"/>
          <w:b w:val="0"/>
          <w:color w:val="000000"/>
          <w:kern w:val="0"/>
          <w:sz w:val="32"/>
          <w:szCs w:val="32"/>
          <w:lang w:val="en-US" w:eastAsia="zh-CN" w:bidi="ar-SA"/>
        </w:rPr>
        <w:t>根据预算绩效管理要求，本部门对部门整体和</w:t>
      </w:r>
      <w:r>
        <w:rPr>
          <w:rFonts w:hint="default"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个项目</w:t>
      </w:r>
      <w:r>
        <w:rPr>
          <w:rStyle w:val="7"/>
          <w:rFonts w:hint="default" w:ascii="Times New Roman" w:hAnsi="Times New Roman" w:eastAsia="方正仿宋_GBK" w:cs="Times New Roman"/>
          <w:b w:val="0"/>
          <w:color w:val="000000"/>
          <w:kern w:val="0"/>
          <w:sz w:val="32"/>
          <w:szCs w:val="32"/>
          <w:lang w:val="en-US" w:eastAsia="zh-CN" w:bidi="ar-SA"/>
        </w:rPr>
        <w:t>开展了绩效自评，其中，以填报自评表形式开展自评18项，涉及资金</w:t>
      </w:r>
      <w:r>
        <w:rPr>
          <w:rFonts w:hint="default" w:ascii="Times New Roman" w:hAnsi="Times New Roman" w:eastAsia="方正仿宋_GBK" w:cs="Times New Roman"/>
          <w:sz w:val="32"/>
          <w:szCs w:val="32"/>
          <w:lang w:val="en-US" w:eastAsia="zh-CN"/>
        </w:rPr>
        <w:t>2221.8</w:t>
      </w:r>
      <w:r>
        <w:rPr>
          <w:rStyle w:val="7"/>
          <w:rFonts w:hint="default" w:ascii="Times New Roman" w:hAnsi="Times New Roman" w:eastAsia="方正仿宋_GBK" w:cs="Times New Roman"/>
          <w:b w:val="0"/>
          <w:color w:val="000000"/>
          <w:kern w:val="0"/>
          <w:sz w:val="32"/>
          <w:szCs w:val="32"/>
          <w:lang w:val="en-US" w:eastAsia="zh-CN" w:bidi="ar-SA"/>
        </w:rPr>
        <w:t>万元。</w:t>
      </w:r>
      <w:r>
        <w:rPr>
          <w:rFonts w:hint="default" w:ascii="Times New Roman" w:hAnsi="Times New Roman" w:eastAsia="方正仿宋_GBK" w:cs="Times New Roman"/>
          <w:color w:val="000000"/>
          <w:sz w:val="32"/>
          <w:szCs w:val="32"/>
        </w:rPr>
        <w:t>从评价情况来看，项目立项</w:t>
      </w:r>
      <w:r>
        <w:rPr>
          <w:rFonts w:hint="default" w:ascii="Times New Roman" w:hAnsi="Times New Roman" w:eastAsia="方正仿宋_GBK" w:cs="Times New Roman"/>
          <w:color w:val="000000"/>
          <w:sz w:val="32"/>
          <w:szCs w:val="32"/>
          <w:lang w:val="en-US" w:eastAsia="zh-CN"/>
        </w:rPr>
        <w:t>较为</w:t>
      </w:r>
      <w:r>
        <w:rPr>
          <w:rFonts w:hint="default" w:ascii="Times New Roman" w:hAnsi="Times New Roman" w:eastAsia="方正仿宋_GBK" w:cs="Times New Roman"/>
          <w:color w:val="000000"/>
          <w:sz w:val="32"/>
          <w:szCs w:val="32"/>
        </w:rPr>
        <w:t>规范，绩效目标明确，预算编制合理，</w:t>
      </w:r>
      <w:r>
        <w:rPr>
          <w:rFonts w:hint="default" w:ascii="Times New Roman" w:hAnsi="Times New Roman" w:eastAsia="方正仿宋_GBK" w:cs="Times New Roman"/>
          <w:color w:val="000000"/>
          <w:sz w:val="32"/>
          <w:szCs w:val="32"/>
          <w:lang w:val="en-US" w:eastAsia="zh-CN"/>
        </w:rPr>
        <w:t>管理科学规范</w:t>
      </w:r>
      <w:r>
        <w:rPr>
          <w:rFonts w:hint="default" w:ascii="Times New Roman" w:hAnsi="Times New Roman" w:eastAsia="方正仿宋_GBK" w:cs="Times New Roman"/>
          <w:color w:val="000000"/>
          <w:sz w:val="32"/>
          <w:szCs w:val="32"/>
        </w:rPr>
        <w:t>，资金到位及时，</w:t>
      </w:r>
      <w:r>
        <w:rPr>
          <w:rFonts w:hint="default" w:ascii="Times New Roman" w:hAnsi="Times New Roman" w:eastAsia="方正仿宋_GBK" w:cs="Times New Roman"/>
          <w:color w:val="000000"/>
          <w:sz w:val="32"/>
          <w:szCs w:val="32"/>
          <w:lang w:val="en-US" w:eastAsia="zh-CN"/>
        </w:rPr>
        <w:t>总体完成情况较好，</w:t>
      </w:r>
      <w:r>
        <w:rPr>
          <w:rFonts w:hint="default" w:ascii="Times New Roman" w:hAnsi="Times New Roman" w:eastAsia="方正仿宋_GBK" w:cs="Times New Roman"/>
          <w:color w:val="000000"/>
          <w:sz w:val="32"/>
          <w:szCs w:val="32"/>
        </w:rPr>
        <w:t>项目</w:t>
      </w:r>
      <w:r>
        <w:rPr>
          <w:rFonts w:hint="default" w:ascii="Times New Roman" w:hAnsi="Times New Roman" w:eastAsia="方正仿宋_GBK" w:cs="Times New Roman"/>
          <w:color w:val="000000"/>
          <w:sz w:val="32"/>
          <w:szCs w:val="32"/>
          <w:lang w:val="en-US" w:eastAsia="zh-CN"/>
        </w:rPr>
        <w:t>基本达到了预期绩效目标。</w:t>
      </w:r>
    </w:p>
    <w:p>
      <w:pPr>
        <w:pStyle w:val="4"/>
        <w:widowControl w:val="0"/>
        <w:spacing w:before="0" w:beforeAutospacing="0" w:after="0" w:afterAutospacing="0" w:line="570" w:lineRule="exact"/>
        <w:ind w:firstLine="640" w:firstLineChars="200"/>
        <w:jc w:val="both"/>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lang w:val="en-US" w:eastAsia="zh-CN"/>
        </w:rPr>
        <w:t>（二）</w:t>
      </w:r>
      <w:r>
        <w:rPr>
          <w:rStyle w:val="7"/>
          <w:rFonts w:hint="default" w:ascii="Times New Roman" w:hAnsi="Times New Roman" w:eastAsia="方正楷体_GBK" w:cs="Times New Roman"/>
          <w:b w:val="0"/>
          <w:bCs w:val="0"/>
          <w:sz w:val="32"/>
          <w:szCs w:val="32"/>
        </w:rPr>
        <w:t>绩效自评结果</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lang w:val="en-US" w:eastAsia="zh-CN"/>
        </w:rPr>
      </w:pPr>
      <w:r>
        <w:rPr>
          <w:rStyle w:val="7"/>
          <w:rFonts w:hint="default" w:ascii="Times New Roman" w:hAnsi="Times New Roman" w:eastAsia="方正仿宋_GBK" w:cs="Times New Roman"/>
          <w:b w:val="0"/>
          <w:color w:val="000000"/>
          <w:sz w:val="32"/>
          <w:szCs w:val="32"/>
          <w:lang w:val="en-US" w:eastAsia="zh-CN"/>
        </w:rPr>
        <w:t>1.绩效目标自评表</w:t>
      </w:r>
    </w:p>
    <w:tbl>
      <w:tblPr>
        <w:tblStyle w:val="5"/>
        <w:tblW w:w="10409" w:type="dxa"/>
        <w:jc w:val="center"/>
        <w:tblLayout w:type="fixed"/>
        <w:tblCellMar>
          <w:top w:w="0" w:type="dxa"/>
          <w:left w:w="108" w:type="dxa"/>
          <w:bottom w:w="0" w:type="dxa"/>
          <w:right w:w="108" w:type="dxa"/>
        </w:tblCellMar>
      </w:tblPr>
      <w:tblGrid>
        <w:gridCol w:w="1273"/>
        <w:gridCol w:w="659"/>
        <w:gridCol w:w="896"/>
        <w:gridCol w:w="848"/>
        <w:gridCol w:w="1031"/>
        <w:gridCol w:w="975"/>
        <w:gridCol w:w="1095"/>
        <w:gridCol w:w="600"/>
        <w:gridCol w:w="734"/>
        <w:gridCol w:w="989"/>
        <w:gridCol w:w="899"/>
        <w:gridCol w:w="410"/>
      </w:tblGrid>
      <w:tr>
        <w:tblPrEx>
          <w:tblCellMar>
            <w:top w:w="0" w:type="dxa"/>
            <w:left w:w="108" w:type="dxa"/>
            <w:bottom w:w="0" w:type="dxa"/>
            <w:right w:w="108" w:type="dxa"/>
          </w:tblCellMar>
        </w:tblPrEx>
        <w:trPr>
          <w:trHeight w:val="584" w:hRule="atLeast"/>
          <w:jc w:val="center"/>
        </w:trPr>
        <w:tc>
          <w:tcPr>
            <w:tcW w:w="1040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000000"/>
                <w:kern w:val="0"/>
                <w:sz w:val="36"/>
                <w:szCs w:val="40"/>
              </w:rPr>
            </w:pPr>
            <w:r>
              <w:rPr>
                <w:rFonts w:hint="default" w:ascii="Times New Roman" w:hAnsi="Times New Roman" w:eastAsia="微软雅黑" w:cs="Times New Roman"/>
                <w:b/>
                <w:bCs/>
                <w:color w:val="000000"/>
                <w:kern w:val="0"/>
                <w:sz w:val="32"/>
                <w:szCs w:val="40"/>
              </w:rPr>
              <w:t>2022年度项目绩效自评表</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项目名称：</w:t>
            </w:r>
          </w:p>
        </w:tc>
        <w:tc>
          <w:tcPr>
            <w:tcW w:w="155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雨露计划中高职教育资助　</w:t>
            </w:r>
          </w:p>
        </w:tc>
        <w:tc>
          <w:tcPr>
            <w:tcW w:w="84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项目编码：</w:t>
            </w:r>
          </w:p>
        </w:tc>
        <w:tc>
          <w:tcPr>
            <w:tcW w:w="200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50023022T000002169710</w:t>
            </w:r>
          </w:p>
        </w:tc>
        <w:tc>
          <w:tcPr>
            <w:tcW w:w="109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自评总分：</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eastAsiaTheme="minorEastAsia"/>
                <w:color w:val="000000"/>
                <w:kern w:val="0"/>
                <w:sz w:val="16"/>
                <w:szCs w:val="16"/>
                <w:lang w:val="en-US" w:eastAsia="zh-CN"/>
              </w:rPr>
            </w:pPr>
            <w:r>
              <w:rPr>
                <w:rFonts w:hint="default" w:ascii="Times New Roman" w:hAnsi="Times New Roman" w:cs="Times New Roman"/>
                <w:color w:val="000000"/>
                <w:kern w:val="0"/>
                <w:sz w:val="16"/>
                <w:szCs w:val="16"/>
              </w:rPr>
              <w:t>　</w:t>
            </w:r>
            <w:r>
              <w:rPr>
                <w:rFonts w:hint="default" w:ascii="Times New Roman" w:hAnsi="Times New Roman" w:cs="Times New Roman"/>
                <w:color w:val="000000"/>
                <w:kern w:val="0"/>
                <w:sz w:val="16"/>
                <w:szCs w:val="16"/>
                <w:lang w:val="en-US" w:eastAsia="zh-CN"/>
              </w:rPr>
              <w:t>100</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84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项目主管部门：</w:t>
            </w:r>
          </w:p>
        </w:tc>
        <w:tc>
          <w:tcPr>
            <w:tcW w:w="15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丰都县乡村振兴局</w:t>
            </w:r>
          </w:p>
        </w:tc>
        <w:tc>
          <w:tcPr>
            <w:tcW w:w="84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财政归口处室：</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农业科</w:t>
            </w:r>
          </w:p>
        </w:tc>
        <w:tc>
          <w:tcPr>
            <w:tcW w:w="1095"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483"/>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部门</w:t>
            </w:r>
          </w:p>
          <w:p>
            <w:pPr>
              <w:widowControl/>
              <w:spacing w:line="240" w:lineRule="atLeast"/>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联系人：</w:t>
            </w:r>
          </w:p>
        </w:tc>
        <w:tc>
          <w:tcPr>
            <w:tcW w:w="13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江科</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w:t>
            </w:r>
          </w:p>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电话</w:t>
            </w:r>
          </w:p>
        </w:tc>
        <w:tc>
          <w:tcPr>
            <w:tcW w:w="13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eastAsiaTheme="minorEastAsia"/>
                <w:color w:val="000000"/>
                <w:kern w:val="0"/>
                <w:sz w:val="16"/>
                <w:szCs w:val="16"/>
                <w:lang w:val="en-US" w:eastAsia="zh-CN"/>
              </w:rPr>
            </w:pPr>
            <w:r>
              <w:rPr>
                <w:rFonts w:hint="default" w:ascii="Times New Roman" w:hAnsi="Times New Roman" w:cs="Times New Roman"/>
                <w:color w:val="000000"/>
                <w:kern w:val="0"/>
                <w:sz w:val="16"/>
                <w:szCs w:val="16"/>
              </w:rPr>
              <w:t>　</w:t>
            </w:r>
            <w:r>
              <w:rPr>
                <w:rFonts w:hint="default" w:ascii="Times New Roman" w:hAnsi="Times New Roman" w:cs="Times New Roman"/>
                <w:color w:val="000000"/>
                <w:kern w:val="0"/>
                <w:sz w:val="16"/>
                <w:szCs w:val="16"/>
                <w:lang w:val="en-US" w:eastAsia="zh-CN"/>
              </w:rPr>
              <w:t>023-70605722</w:t>
            </w:r>
          </w:p>
        </w:tc>
      </w:tr>
      <w:tr>
        <w:tblPrEx>
          <w:tblCellMar>
            <w:top w:w="0" w:type="dxa"/>
            <w:left w:w="108" w:type="dxa"/>
            <w:bottom w:w="0" w:type="dxa"/>
            <w:right w:w="108" w:type="dxa"/>
          </w:tblCellMar>
        </w:tblPrEx>
        <w:trPr>
          <w:trHeight w:val="469" w:hRule="atLeast"/>
          <w:jc w:val="center"/>
        </w:trPr>
        <w:tc>
          <w:tcPr>
            <w:tcW w:w="1040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93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74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724"/>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年初预算数</w:t>
            </w:r>
          </w:p>
        </w:tc>
        <w:tc>
          <w:tcPr>
            <w:tcW w:w="200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预算数</w:t>
            </w:r>
          </w:p>
        </w:tc>
        <w:tc>
          <w:tcPr>
            <w:tcW w:w="169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全年执行数</w:t>
            </w:r>
          </w:p>
        </w:tc>
        <w:tc>
          <w:tcPr>
            <w:tcW w:w="172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322"/>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tc>
        <w:tc>
          <w:tcPr>
            <w:tcW w:w="89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权重</w:t>
            </w:r>
          </w:p>
        </w:tc>
        <w:tc>
          <w:tcPr>
            <w:tcW w:w="4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得分</w:t>
            </w:r>
          </w:p>
        </w:tc>
      </w:tr>
      <w:tr>
        <w:tblPrEx>
          <w:tblCellMar>
            <w:top w:w="0" w:type="dxa"/>
            <w:left w:w="108" w:type="dxa"/>
            <w:bottom w:w="0" w:type="dxa"/>
            <w:right w:w="108" w:type="dxa"/>
          </w:tblCellMar>
        </w:tblPrEx>
        <w:trPr>
          <w:trHeight w:val="679" w:hRule="atLeast"/>
          <w:jc w:val="center"/>
        </w:trPr>
        <w:tc>
          <w:tcPr>
            <w:tcW w:w="19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eastAsia="zh-CN"/>
              </w:rPr>
            </w:pPr>
            <w:r>
              <w:rPr>
                <w:rFonts w:hint="default" w:ascii="Times New Roman" w:hAnsi="Times New Roman" w:cs="Times New Roman"/>
                <w:color w:val="000000"/>
                <w:kern w:val="0"/>
                <w:sz w:val="16"/>
                <w:szCs w:val="16"/>
              </w:rPr>
              <w:t>年度总金额</w:t>
            </w:r>
            <w:r>
              <w:rPr>
                <w:rFonts w:hint="default" w:ascii="Times New Roman" w:hAnsi="Times New Roman" w:cs="Times New Roman"/>
                <w:color w:val="000000"/>
                <w:kern w:val="0"/>
                <w:sz w:val="16"/>
                <w:szCs w:val="16"/>
                <w:lang w:eastAsia="zh-CN"/>
              </w:rPr>
              <w:t>（</w:t>
            </w:r>
            <w:r>
              <w:rPr>
                <w:rFonts w:hint="default" w:ascii="Times New Roman" w:hAnsi="Times New Roman" w:cs="Times New Roman"/>
                <w:color w:val="000000"/>
                <w:kern w:val="0"/>
                <w:sz w:val="16"/>
                <w:szCs w:val="16"/>
                <w:lang w:val="en-US" w:eastAsia="zh-CN"/>
              </w:rPr>
              <w:t>万元</w:t>
            </w:r>
            <w:r>
              <w:rPr>
                <w:rFonts w:hint="default" w:ascii="Times New Roman" w:hAnsi="Times New Roman" w:cs="Times New Roman"/>
                <w:color w:val="000000"/>
                <w:kern w:val="0"/>
                <w:sz w:val="16"/>
                <w:szCs w:val="16"/>
                <w:lang w:eastAsia="zh-CN"/>
              </w:rPr>
              <w:t>）</w:t>
            </w:r>
          </w:p>
        </w:tc>
        <w:tc>
          <w:tcPr>
            <w:tcW w:w="17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306.6</w:t>
            </w:r>
          </w:p>
        </w:tc>
        <w:tc>
          <w:tcPr>
            <w:tcW w:w="1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val="en-US" w:eastAsia="zh-CN" w:bidi="ar-SA"/>
              </w:rPr>
            </w:pPr>
            <w:r>
              <w:rPr>
                <w:rFonts w:hint="default" w:ascii="Times New Roman" w:hAnsi="Times New Roman" w:cs="Times New Roman"/>
                <w:color w:val="000000"/>
                <w:kern w:val="0"/>
                <w:sz w:val="16"/>
                <w:szCs w:val="16"/>
                <w:lang w:val="en-US" w:eastAsia="zh-CN"/>
              </w:rPr>
              <w:t>306.6</w:t>
            </w:r>
          </w:p>
        </w:tc>
        <w:tc>
          <w:tcPr>
            <w:tcW w:w="1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100%</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1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CellMar>
            <w:top w:w="0" w:type="dxa"/>
            <w:left w:w="108" w:type="dxa"/>
            <w:bottom w:w="0" w:type="dxa"/>
            <w:right w:w="108" w:type="dxa"/>
          </w:tblCellMar>
        </w:tblPrEx>
        <w:trPr>
          <w:trHeight w:val="595" w:hRule="atLeast"/>
          <w:jc w:val="center"/>
        </w:trPr>
        <w:tc>
          <w:tcPr>
            <w:tcW w:w="19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其中：财政拨款</w:t>
            </w:r>
          </w:p>
        </w:tc>
        <w:tc>
          <w:tcPr>
            <w:tcW w:w="17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306.6</w:t>
            </w:r>
          </w:p>
        </w:tc>
        <w:tc>
          <w:tcPr>
            <w:tcW w:w="1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val="en-US" w:eastAsia="zh-CN" w:bidi="ar-SA"/>
              </w:rPr>
            </w:pPr>
            <w:r>
              <w:rPr>
                <w:rFonts w:hint="default" w:ascii="Times New Roman" w:hAnsi="Times New Roman" w:cs="Times New Roman"/>
                <w:color w:val="000000"/>
                <w:kern w:val="0"/>
                <w:sz w:val="16"/>
                <w:szCs w:val="16"/>
                <w:lang w:val="en-US" w:eastAsia="zh-CN"/>
              </w:rPr>
              <w:t>306.6</w:t>
            </w:r>
          </w:p>
        </w:tc>
        <w:tc>
          <w:tcPr>
            <w:tcW w:w="1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100%</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10</w:t>
            </w:r>
          </w:p>
        </w:tc>
        <w:tc>
          <w:tcPr>
            <w:tcW w:w="41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10</w:t>
            </w:r>
          </w:p>
        </w:tc>
      </w:tr>
      <w:tr>
        <w:tblPrEx>
          <w:tblCellMar>
            <w:top w:w="0" w:type="dxa"/>
            <w:left w:w="108" w:type="dxa"/>
            <w:bottom w:w="0" w:type="dxa"/>
            <w:right w:w="108" w:type="dxa"/>
          </w:tblCellMar>
        </w:tblPrEx>
        <w:trPr>
          <w:trHeight w:val="600" w:hRule="atLeast"/>
          <w:jc w:val="center"/>
        </w:trPr>
        <w:tc>
          <w:tcPr>
            <w:tcW w:w="1040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绩效目标</w:t>
            </w:r>
          </w:p>
        </w:tc>
      </w:tr>
      <w:tr>
        <w:tblPrEx>
          <w:tblCellMar>
            <w:top w:w="0" w:type="dxa"/>
            <w:left w:w="108" w:type="dxa"/>
            <w:bottom w:w="0" w:type="dxa"/>
            <w:right w:w="108" w:type="dxa"/>
          </w:tblCellMar>
        </w:tblPrEx>
        <w:trPr>
          <w:trHeight w:val="819" w:hRule="atLeast"/>
          <w:jc w:val="center"/>
        </w:trPr>
        <w:tc>
          <w:tcPr>
            <w:tcW w:w="36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年初绩效目标</w:t>
            </w:r>
          </w:p>
        </w:tc>
        <w:tc>
          <w:tcPr>
            <w:tcW w:w="370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全年（调整）绩效目标</w:t>
            </w:r>
          </w:p>
        </w:tc>
        <w:tc>
          <w:tcPr>
            <w:tcW w:w="303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全年目标实际完成情况</w:t>
            </w:r>
          </w:p>
        </w:tc>
      </w:tr>
      <w:tr>
        <w:tblPrEx>
          <w:tblCellMar>
            <w:top w:w="0" w:type="dxa"/>
            <w:left w:w="108" w:type="dxa"/>
            <w:bottom w:w="0" w:type="dxa"/>
            <w:right w:w="108" w:type="dxa"/>
          </w:tblCellMar>
        </w:tblPrEx>
        <w:trPr>
          <w:trHeight w:val="1930" w:hRule="atLeast"/>
          <w:jc w:val="center"/>
        </w:trPr>
        <w:tc>
          <w:tcPr>
            <w:tcW w:w="3676"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3701"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全县农村建档立卡脱贫户（以下简称脱贫户）、监测对象户（含脱贫不稳定户、边缘易致贫户、突发严重困难户）家庭中符合“雨露计划”职业教育补助条件的子女，要做到“应补尽补”。</w:t>
            </w:r>
          </w:p>
        </w:tc>
        <w:tc>
          <w:tcPr>
            <w:tcW w:w="3032"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全县农村建档立卡脱贫户（以下简称脱贫户）、监测对象户（含脱贫不稳定户、边缘易致贫户、突发严重困难户）家庭中符合“雨露计划”职业教育补助条件的子女，要做到“应补尽补”。</w:t>
            </w:r>
          </w:p>
        </w:tc>
      </w:tr>
      <w:tr>
        <w:tblPrEx>
          <w:tblCellMar>
            <w:top w:w="0" w:type="dxa"/>
            <w:left w:w="108" w:type="dxa"/>
            <w:bottom w:w="0" w:type="dxa"/>
            <w:right w:w="108" w:type="dxa"/>
          </w:tblCellMar>
        </w:tblPrEx>
        <w:trPr>
          <w:trHeight w:val="194" w:hRule="atLeast"/>
          <w:jc w:val="center"/>
        </w:trPr>
        <w:tc>
          <w:tcPr>
            <w:tcW w:w="1040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名称</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计量单位</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性质</w:t>
            </w:r>
          </w:p>
        </w:tc>
        <w:tc>
          <w:tcPr>
            <w:tcW w:w="8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指标值</w:t>
            </w:r>
          </w:p>
        </w:tc>
        <w:tc>
          <w:tcPr>
            <w:tcW w:w="103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全年完成值</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偏离度（%）</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得分系数（%）</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权重</w:t>
            </w:r>
          </w:p>
        </w:tc>
        <w:tc>
          <w:tcPr>
            <w:tcW w:w="7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是否核心指标</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全县中、高职雨露计划职业教育补助人数</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人</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1691</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b w:val="0"/>
                <w:bCs w:val="0"/>
                <w:color w:val="000000"/>
                <w:kern w:val="0"/>
                <w:sz w:val="16"/>
                <w:szCs w:val="16"/>
                <w:lang w:val="en-US" w:eastAsia="zh-CN"/>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cs="Times New Roman" w:eastAsiaTheme="minorEastAsia"/>
                <w:b/>
                <w:bCs/>
                <w:color w:val="000000"/>
                <w:kern w:val="0"/>
                <w:sz w:val="16"/>
                <w:szCs w:val="16"/>
                <w:lang w:eastAsia="zh-CN"/>
              </w:rPr>
            </w:pPr>
            <w:r>
              <w:rPr>
                <w:rFonts w:hint="default" w:ascii="Times New Roman" w:hAnsi="Times New Roman" w:cs="Times New Roman"/>
                <w:b w:val="0"/>
                <w:bCs w:val="0"/>
                <w:color w:val="000000"/>
                <w:kern w:val="0"/>
                <w:sz w:val="16"/>
                <w:szCs w:val="16"/>
              </w:rPr>
              <w:t>根据工作开展实际教育资助人数1691人</w:t>
            </w:r>
            <w:r>
              <w:rPr>
                <w:rFonts w:hint="eastAsia" w:ascii="Times New Roman" w:hAnsi="Times New Roman" w:cs="Times New Roman"/>
                <w:b w:val="0"/>
                <w:bCs w:val="0"/>
                <w:color w:val="000000"/>
                <w:kern w:val="0"/>
                <w:sz w:val="16"/>
                <w:szCs w:val="16"/>
                <w:lang w:eastAsia="zh-CN"/>
              </w:rPr>
              <w:t>。</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雨露计划职业教育补助发放准确率</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补助资金在规定时间内支付到位率</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高职学生每生每年补助</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元/年</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中职学生每生每年补助</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元/年</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促进稳定就业，脱贫人口年收入增长</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受益建档立卡脱贫户、监测对象户满意度</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65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896"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848"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31"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75"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95"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60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734"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3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rPr>
      </w:pPr>
      <w:r>
        <w:rPr>
          <w:rFonts w:hint="default" w:ascii="Times New Roman" w:hAnsi="Times New Roman" w:eastAsia="方正仿宋_GBK" w:cs="Times New Roman"/>
          <w:sz w:val="32"/>
          <w:szCs w:val="32"/>
        </w:rPr>
        <w:pict>
          <v:shape id="_x0000_s2050" o:spid="_x0000_s2050" o:spt="32" type="#_x0000_t32" style="position:absolute;left:0pt;margin-left:-20.6pt;margin-top:-552.05pt;height:0pt;width:36pt;z-index:251660288;mso-width-relative:page;mso-height-relative:page;" o:connectortype="straight" filled="f" coordsize="21600,21600">
            <v:path arrowok="t"/>
            <v:fill on="f" focussize="0,0"/>
            <v:stroke/>
            <v:imagedata o:title=""/>
            <o:lock v:ext="edit"/>
          </v:shape>
        </w:pict>
      </w:r>
      <w:r>
        <w:rPr>
          <w:rStyle w:val="7"/>
          <w:rFonts w:hint="default" w:ascii="Times New Roman" w:hAnsi="Times New Roman" w:eastAsia="方正仿宋_GBK" w:cs="Times New Roman"/>
          <w:b w:val="0"/>
          <w:color w:val="000000"/>
          <w:sz w:val="32"/>
          <w:szCs w:val="32"/>
          <w:lang w:val="en-US" w:eastAsia="zh-CN"/>
        </w:rPr>
        <w:t>2.</w:t>
      </w:r>
      <w:r>
        <w:rPr>
          <w:rStyle w:val="7"/>
          <w:rFonts w:hint="default" w:ascii="Times New Roman" w:hAnsi="Times New Roman" w:eastAsia="方正仿宋_GBK" w:cs="Times New Roman"/>
          <w:b w:val="0"/>
          <w:color w:val="000000"/>
          <w:sz w:val="32"/>
          <w:szCs w:val="32"/>
        </w:rPr>
        <w:t>绩效自评报告或案例</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rPr>
      </w:pPr>
      <w:r>
        <w:rPr>
          <w:rStyle w:val="7"/>
          <w:rFonts w:hint="default" w:ascii="Times New Roman" w:hAnsi="Times New Roman" w:eastAsia="方正仿宋_GBK" w:cs="Times New Roman"/>
          <w:b w:val="0"/>
          <w:color w:val="000000"/>
          <w:sz w:val="32"/>
          <w:szCs w:val="32"/>
          <w:lang w:val="en-US" w:eastAsia="zh-CN"/>
        </w:rPr>
        <w:t>我单位</w:t>
      </w:r>
      <w:r>
        <w:rPr>
          <w:rStyle w:val="7"/>
          <w:rFonts w:hint="default" w:ascii="Times New Roman" w:hAnsi="Times New Roman" w:eastAsia="方正仿宋_GBK" w:cs="Times New Roman"/>
          <w:b w:val="0"/>
          <w:color w:val="000000"/>
          <w:sz w:val="32"/>
          <w:szCs w:val="32"/>
        </w:rPr>
        <w:t>未委托第三方开展绩效自评。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关于绩效自评结果的说明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我单位绩效自评均已完成年度绩效目标。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320" w:firstLineChars="100"/>
        <w:jc w:val="both"/>
        <w:textAlignment w:val="auto"/>
        <w:rPr>
          <w:rStyle w:val="7"/>
          <w:rFonts w:hint="default" w:ascii="Times New Roman" w:hAnsi="Times New Roman" w:eastAsia="方正楷体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（三）重点绩效评价结果</w:t>
      </w:r>
    </w:p>
    <w:p>
      <w:pPr>
        <w:pStyle w:val="4"/>
        <w:widowControl w:val="0"/>
        <w:spacing w:before="0" w:beforeAutospacing="0" w:after="0" w:afterAutospacing="0" w:line="570" w:lineRule="exact"/>
        <w:ind w:firstLine="640" w:firstLineChars="200"/>
        <w:jc w:val="both"/>
        <w:rPr>
          <w:rStyle w:val="7"/>
          <w:rFonts w:hint="default" w:ascii="Times New Roman" w:hAnsi="Times New Roman" w:cs="Times New Roman" w:eastAsiaTheme="minorEastAsia"/>
          <w:sz w:val="27"/>
          <w:szCs w:val="27"/>
        </w:rPr>
      </w:pPr>
      <w:r>
        <w:rPr>
          <w:rStyle w:val="7"/>
          <w:rFonts w:hint="default" w:ascii="Times New Roman" w:hAnsi="Times New Roman" w:eastAsia="方正仿宋_GBK" w:cs="Times New Roman"/>
          <w:b w:val="0"/>
          <w:color w:val="000000"/>
          <w:sz w:val="32"/>
          <w:szCs w:val="32"/>
          <w:lang w:val="en-US" w:eastAsia="zh-CN"/>
        </w:rPr>
        <w:t>我单位</w:t>
      </w:r>
      <w:r>
        <w:rPr>
          <w:rStyle w:val="7"/>
          <w:rFonts w:hint="default" w:ascii="Times New Roman" w:hAnsi="Times New Roman" w:eastAsia="方正仿宋_GBK" w:cs="Times New Roman"/>
          <w:b w:val="0"/>
          <w:color w:val="000000"/>
          <w:sz w:val="32"/>
          <w:szCs w:val="32"/>
        </w:rPr>
        <w:t>未委托第三方开展重点绩效评价。</w:t>
      </w:r>
      <w:r>
        <w:rPr>
          <w:rStyle w:val="7"/>
          <w:rFonts w:hint="default" w:ascii="Times New Roman" w:hAnsi="Times New Roman" w:cs="Times New Roman" w:eastAsiaTheme="minorEastAsia"/>
          <w:sz w:val="27"/>
          <w:szCs w:val="27"/>
        </w:rPr>
        <w:t> </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黑体" w:cs="Times New Roman"/>
          <w:b w:val="0"/>
          <w:color w:val="000000"/>
          <w:kern w:val="0"/>
          <w:sz w:val="32"/>
          <w:szCs w:val="32"/>
          <w:lang w:val="en-US" w:eastAsia="zh-CN" w:bidi="ar-SA"/>
        </w:rPr>
      </w:pPr>
      <w:r>
        <w:rPr>
          <w:rStyle w:val="7"/>
          <w:rFonts w:hint="default" w:ascii="Times New Roman" w:hAnsi="Times New Roman" w:eastAsia="黑体" w:cs="Times New Roman"/>
          <w:b w:val="0"/>
          <w:color w:val="000000"/>
          <w:kern w:val="0"/>
          <w:sz w:val="32"/>
          <w:szCs w:val="32"/>
          <w:lang w:val="en-US" w:eastAsia="zh-CN" w:bidi="ar-SA"/>
        </w:rPr>
        <w:t>六、专业名词解释</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（一）财政拨款收入：</w:t>
      </w:r>
      <w:r>
        <w:rPr>
          <w:rStyle w:val="7"/>
          <w:rFonts w:hint="default" w:ascii="Times New Roman" w:hAnsi="Times New Roman" w:eastAsia="方正仿宋_GBK" w:cs="Times New Roman"/>
          <w:b w:val="0"/>
          <w:color w:val="000000"/>
          <w:kern w:val="0"/>
          <w:sz w:val="32"/>
          <w:szCs w:val="32"/>
          <w:lang w:val="en-US" w:eastAsia="zh-CN" w:bidi="ar-SA"/>
        </w:rPr>
        <w:t>指本年度从本级财政部门取得的财政拨款，包括一般公共预算财政拨款和政府性基金预算财政拨款。</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（二）经营收入：</w:t>
      </w:r>
      <w:r>
        <w:rPr>
          <w:rStyle w:val="7"/>
          <w:rFonts w:hint="default" w:ascii="Times New Roman" w:hAnsi="Times New Roman" w:eastAsia="方正仿宋_GBK" w:cs="Times New Roman"/>
          <w:b w:val="0"/>
          <w:color w:val="000000"/>
          <w:kern w:val="0"/>
          <w:sz w:val="32"/>
          <w:szCs w:val="32"/>
          <w:lang w:val="en-US" w:eastAsia="zh-CN" w:bidi="ar-SA"/>
        </w:rPr>
        <w:t>指事业单位在专业业务活动及其辅助活动之外开展非独立核算经营活动取得的现金流入。</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（三）其他收入：</w:t>
      </w:r>
      <w:r>
        <w:rPr>
          <w:rStyle w:val="7"/>
          <w:rFonts w:hint="default" w:ascii="Times New Roman" w:hAnsi="Times New Roman" w:eastAsia="方正仿宋_GBK" w:cs="Times New Roman"/>
          <w:b w:val="0"/>
          <w:color w:val="000000"/>
          <w:kern w:val="0"/>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（四）使用非财政拨款结余：</w:t>
      </w:r>
      <w:r>
        <w:rPr>
          <w:rStyle w:val="7"/>
          <w:rFonts w:hint="default" w:ascii="Times New Roman" w:hAnsi="Times New Roman" w:eastAsia="方正仿宋_GBK" w:cs="Times New Roman"/>
          <w:b w:val="0"/>
          <w:color w:val="000000"/>
          <w:kern w:val="0"/>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（五）年初结转和结余：</w:t>
      </w:r>
      <w:r>
        <w:rPr>
          <w:rStyle w:val="7"/>
          <w:rFonts w:hint="default" w:ascii="Times New Roman" w:hAnsi="Times New Roman" w:eastAsia="方正仿宋_GBK" w:cs="Times New Roman"/>
          <w:b w:val="0"/>
          <w:color w:val="000000"/>
          <w:kern w:val="0"/>
          <w:sz w:val="32"/>
          <w:szCs w:val="32"/>
          <w:lang w:val="en-US" w:eastAsia="zh-CN" w:bidi="ar-SA"/>
        </w:rPr>
        <w:t>指单位上年结转本年使用的基本支出结转、项目支出结转和结余、经营结余。</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（六）结余分配：</w:t>
      </w:r>
      <w:r>
        <w:rPr>
          <w:rStyle w:val="7"/>
          <w:rFonts w:hint="default" w:ascii="Times New Roman" w:hAnsi="Times New Roman" w:eastAsia="方正仿宋_GBK" w:cs="Times New Roman"/>
          <w:b w:val="0"/>
          <w:color w:val="000000"/>
          <w:kern w:val="0"/>
          <w:sz w:val="32"/>
          <w:szCs w:val="32"/>
          <w:lang w:val="en-US" w:eastAsia="zh-CN" w:bidi="ar-SA"/>
        </w:rPr>
        <w:t>指单位按照国家有关规定，缴纳所得税、提取专用基金、转入非财政拨款结余等当年结余的分配情况。</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（七）年末结转和结余：</w:t>
      </w:r>
      <w:r>
        <w:rPr>
          <w:rStyle w:val="7"/>
          <w:rFonts w:hint="default" w:ascii="Times New Roman" w:hAnsi="Times New Roman" w:eastAsia="方正仿宋_GBK" w:cs="Times New Roman"/>
          <w:b w:val="0"/>
          <w:color w:val="000000"/>
          <w:kern w:val="0"/>
          <w:sz w:val="32"/>
          <w:szCs w:val="32"/>
          <w:lang w:val="en-US" w:eastAsia="zh-CN" w:bidi="ar-SA"/>
        </w:rPr>
        <w:t>指单位结转下年的基本支出结转、项目支出结转和结余、经营结余。</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（八）基本支出：</w:t>
      </w:r>
      <w:r>
        <w:rPr>
          <w:rStyle w:val="7"/>
          <w:rFonts w:hint="default" w:ascii="Times New Roman" w:hAnsi="Times New Roman" w:eastAsia="方正仿宋_GBK" w:cs="Times New Roman"/>
          <w:b w:val="0"/>
          <w:color w:val="000000"/>
          <w:kern w:val="0"/>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（九）项目支出：</w:t>
      </w:r>
      <w:r>
        <w:rPr>
          <w:rStyle w:val="7"/>
          <w:rFonts w:hint="default" w:ascii="Times New Roman" w:hAnsi="Times New Roman" w:eastAsia="方正仿宋_GBK" w:cs="Times New Roman"/>
          <w:b w:val="0"/>
          <w:color w:val="000000"/>
          <w:kern w:val="0"/>
          <w:sz w:val="32"/>
          <w:szCs w:val="32"/>
          <w:lang w:val="en-US" w:eastAsia="zh-CN" w:bidi="ar-SA"/>
        </w:rPr>
        <w:t>指在基本支出之外为完成特定行政任务和事业发展目标所发生的支出。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（十）经营支出：</w:t>
      </w:r>
      <w:r>
        <w:rPr>
          <w:rStyle w:val="7"/>
          <w:rFonts w:hint="default" w:ascii="Times New Roman" w:hAnsi="Times New Roman" w:eastAsia="方正仿宋_GBK" w:cs="Times New Roman"/>
          <w:b w:val="0"/>
          <w:color w:val="000000"/>
          <w:kern w:val="0"/>
          <w:sz w:val="32"/>
          <w:szCs w:val="32"/>
          <w:lang w:val="en-US" w:eastAsia="zh-CN" w:bidi="ar-SA"/>
        </w:rPr>
        <w:t>指事业单位在专业业务活动及其辅助活动之外开展非独立核算经营活动发生的支出。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（十一）“三公”经费：</w:t>
      </w:r>
      <w:r>
        <w:rPr>
          <w:rStyle w:val="7"/>
          <w:rFonts w:hint="default" w:ascii="Times New Roman" w:hAnsi="Times New Roman" w:eastAsia="方正仿宋_GBK" w:cs="Times New Roman"/>
          <w:b w:val="0"/>
          <w:color w:val="000000"/>
          <w:kern w:val="0"/>
          <w:sz w:val="32"/>
          <w:szCs w:val="32"/>
          <w:lang w:val="en-US" w:eastAsia="zh-CN" w:bidi="ar-SA"/>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（十二）机关运行经费：</w:t>
      </w:r>
      <w:r>
        <w:rPr>
          <w:rStyle w:val="7"/>
          <w:rFonts w:hint="default" w:ascii="Times New Roman" w:hAnsi="Times New Roman" w:eastAsia="方正仿宋_GBK" w:cs="Times New Roman"/>
          <w:b w:val="0"/>
          <w:color w:val="000000"/>
          <w:kern w:val="0"/>
          <w:sz w:val="32"/>
          <w:szCs w:val="32"/>
          <w:lang w:val="en-US"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（十三）工资福利支出（支出经济分类科目类级）</w:t>
      </w:r>
      <w:r>
        <w:rPr>
          <w:rStyle w:val="7"/>
          <w:rFonts w:hint="default" w:ascii="Times New Roman" w:hAnsi="Times New Roman" w:eastAsia="方正仿宋_GBK" w:cs="Times New Roman"/>
          <w:b w:val="0"/>
          <w:color w:val="000000"/>
          <w:kern w:val="0"/>
          <w:sz w:val="32"/>
          <w:szCs w:val="32"/>
          <w:lang w:val="en-US" w:eastAsia="zh-CN" w:bidi="ar-SA"/>
        </w:rPr>
        <w:t>：反映单位开支的在职职工和编制外长期聘用人员的各类劳动报酬，以及为上述人员缴纳的各项社会保险费等。</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（十四）商品和服务支出（支出经济分类科目类级）：</w:t>
      </w:r>
      <w:r>
        <w:rPr>
          <w:rStyle w:val="7"/>
          <w:rFonts w:hint="default" w:ascii="Times New Roman" w:hAnsi="Times New Roman" w:eastAsia="方正仿宋_GBK" w:cs="Times New Roman"/>
          <w:b w:val="0"/>
          <w:color w:val="000000"/>
          <w:kern w:val="0"/>
          <w:sz w:val="32"/>
          <w:szCs w:val="32"/>
          <w:lang w:val="en-US" w:eastAsia="zh-CN" w:bidi="ar-SA"/>
        </w:rPr>
        <w:t>反映单位购买商品和服务的支出（不包括用于购置固定资产的支出、战略性和应急储备支出）。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（十五）对个人和家庭的补助（支出经济分类科目类级）：</w:t>
      </w:r>
      <w:r>
        <w:rPr>
          <w:rStyle w:val="7"/>
          <w:rFonts w:hint="default" w:ascii="Times New Roman" w:hAnsi="Times New Roman" w:eastAsia="方正仿宋_GBK" w:cs="Times New Roman"/>
          <w:b w:val="0"/>
          <w:color w:val="000000"/>
          <w:kern w:val="0"/>
          <w:sz w:val="32"/>
          <w:szCs w:val="32"/>
          <w:lang w:val="en-US" w:eastAsia="zh-CN" w:bidi="ar-SA"/>
        </w:rPr>
        <w:t>反映用于对个人和家庭的补助支出。</w:t>
      </w:r>
    </w:p>
    <w:p>
      <w:pPr>
        <w:pStyle w:val="4"/>
        <w:widowControl w:val="0"/>
        <w:spacing w:before="0" w:beforeAutospacing="0" w:after="0" w:afterAutospacing="0" w:line="240" w:lineRule="auto"/>
        <w:ind w:firstLine="640" w:firstLineChars="200"/>
        <w:jc w:val="both"/>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（十六）其他资本性支出（支出经济分类科目类级）：</w:t>
      </w:r>
      <w:r>
        <w:rPr>
          <w:rStyle w:val="7"/>
          <w:rFonts w:hint="default" w:ascii="Times New Roman" w:hAnsi="Times New Roman" w:eastAsia="方正仿宋_GBK" w:cs="Times New Roman"/>
          <w:b w:val="0"/>
          <w:color w:val="000000"/>
          <w:kern w:val="0"/>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黑体" w:cs="Times New Roman"/>
          <w:b w:val="0"/>
          <w:color w:val="000000"/>
          <w:sz w:val="32"/>
          <w:szCs w:val="32"/>
        </w:rPr>
      </w:pPr>
      <w:r>
        <w:rPr>
          <w:rStyle w:val="7"/>
          <w:rFonts w:hint="default" w:ascii="Times New Roman" w:hAnsi="Times New Roman" w:eastAsia="黑体" w:cs="Times New Roman"/>
          <w:b w:val="0"/>
          <w:color w:val="000000"/>
          <w:sz w:val="32"/>
          <w:szCs w:val="32"/>
        </w:rPr>
        <w:t>七、决算公开联系方式及信息反馈渠道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本部门决算公开信息反馈和联系方式：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cs="Times New Roman"/>
        </w:rPr>
      </w:pPr>
      <w:r>
        <w:rPr>
          <w:rFonts w:hint="eastAsia" w:ascii="Times New Roman" w:hAnsi="Times New Roman" w:eastAsia="方正仿宋_GBK" w:cs="Times New Roman"/>
          <w:sz w:val="32"/>
          <w:szCs w:val="32"/>
          <w:lang w:val="en-US" w:eastAsia="zh-CN"/>
        </w:rPr>
        <w:t xml:space="preserve">彭喜梅      </w:t>
      </w:r>
      <w:r>
        <w:rPr>
          <w:rFonts w:hint="default" w:ascii="Times New Roman" w:hAnsi="Times New Roman" w:eastAsia="方正仿宋_GBK" w:cs="Times New Roman"/>
          <w:sz w:val="32"/>
          <w:szCs w:val="32"/>
          <w:lang w:val="en-US" w:eastAsia="zh-CN"/>
        </w:rPr>
        <w:t xml:space="preserve"> 023-70605715</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0FDC9"/>
    <w:multiLevelType w:val="singleLevel"/>
    <w:tmpl w:val="5B60FDC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4YzE3OWZjYTMzZjI3M2U0MDU0NjUyYjRjMGNlNzYifQ=="/>
  </w:docVars>
  <w:rsids>
    <w:rsidRoot w:val="00954AA5"/>
    <w:rsid w:val="006107EF"/>
    <w:rsid w:val="00954AA5"/>
    <w:rsid w:val="0119677B"/>
    <w:rsid w:val="01477AF0"/>
    <w:rsid w:val="05866FB1"/>
    <w:rsid w:val="08584AFA"/>
    <w:rsid w:val="0CB67574"/>
    <w:rsid w:val="0E8E7018"/>
    <w:rsid w:val="0EB364ED"/>
    <w:rsid w:val="10436CFF"/>
    <w:rsid w:val="131E5E73"/>
    <w:rsid w:val="13E470BD"/>
    <w:rsid w:val="15323E58"/>
    <w:rsid w:val="15895679"/>
    <w:rsid w:val="16D36F75"/>
    <w:rsid w:val="173D7210"/>
    <w:rsid w:val="193463F1"/>
    <w:rsid w:val="197555D6"/>
    <w:rsid w:val="1A5422EA"/>
    <w:rsid w:val="1AF916A0"/>
    <w:rsid w:val="1C837E6F"/>
    <w:rsid w:val="277A7965"/>
    <w:rsid w:val="287B7B98"/>
    <w:rsid w:val="28CB21A2"/>
    <w:rsid w:val="28D21782"/>
    <w:rsid w:val="2B0A0D5F"/>
    <w:rsid w:val="2D4875BA"/>
    <w:rsid w:val="2E7D7A9A"/>
    <w:rsid w:val="322F37A1"/>
    <w:rsid w:val="33AD2BD0"/>
    <w:rsid w:val="35BB5A78"/>
    <w:rsid w:val="37711B1A"/>
    <w:rsid w:val="379529C1"/>
    <w:rsid w:val="3A856654"/>
    <w:rsid w:val="3B7A4468"/>
    <w:rsid w:val="3BF75330"/>
    <w:rsid w:val="3EFD068E"/>
    <w:rsid w:val="40BC190D"/>
    <w:rsid w:val="418807D8"/>
    <w:rsid w:val="42E50FC6"/>
    <w:rsid w:val="43A22025"/>
    <w:rsid w:val="44AD1158"/>
    <w:rsid w:val="464E3D9E"/>
    <w:rsid w:val="469A3487"/>
    <w:rsid w:val="47C06F1E"/>
    <w:rsid w:val="4C02462D"/>
    <w:rsid w:val="4CC50B32"/>
    <w:rsid w:val="4D6B792C"/>
    <w:rsid w:val="4FD07F1A"/>
    <w:rsid w:val="52341F73"/>
    <w:rsid w:val="525C3CE7"/>
    <w:rsid w:val="55674E7D"/>
    <w:rsid w:val="58415D80"/>
    <w:rsid w:val="58A4192B"/>
    <w:rsid w:val="5BE74621"/>
    <w:rsid w:val="5C797243"/>
    <w:rsid w:val="60B8658C"/>
    <w:rsid w:val="61A42FB4"/>
    <w:rsid w:val="67C25F42"/>
    <w:rsid w:val="6D0F1C2A"/>
    <w:rsid w:val="6D4F64CA"/>
    <w:rsid w:val="6D532F5F"/>
    <w:rsid w:val="6E2B35D6"/>
    <w:rsid w:val="6E647D53"/>
    <w:rsid w:val="6F9660E2"/>
    <w:rsid w:val="70DE203F"/>
    <w:rsid w:val="716D6F1F"/>
    <w:rsid w:val="718F3339"/>
    <w:rsid w:val="76674885"/>
    <w:rsid w:val="7A6A4943"/>
    <w:rsid w:val="7DE95B7F"/>
    <w:rsid w:val="7E0230E5"/>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5863</Words>
  <Characters>6415</Characters>
  <Lines>64</Lines>
  <Paragraphs>18</Paragraphs>
  <TotalTime>0</TotalTime>
  <ScaleCrop>false</ScaleCrop>
  <LinksUpToDate>false</LinksUpToDate>
  <CharactersWithSpaces>6438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2023-09-11T02:08:00Z</dcterms:created>
  <dc:creator>微软用户</dc:creator>
  <cp:lastModifiedBy>Administrator</cp:lastModifiedBy>
  <dcterms:modified xsi:type="dcterms:W3CDTF">2023-09-13T07:55:03Z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0BEFA71C06B94C82A3ADFFF98E39C403_12</vt:lpwstr>
  </property>
</Properties>
</file>