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570" w:lineRule="exact"/>
        <w:jc w:val="center"/>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重庆市丰都县乡村振兴局</w:t>
      </w:r>
    </w:p>
    <w:p>
      <w:pPr>
        <w:pStyle w:val="4"/>
        <w:widowControl w:val="0"/>
        <w:spacing w:before="0" w:beforeAutospacing="0" w:after="0" w:afterAutospacing="0" w:line="570" w:lineRule="exact"/>
        <w:jc w:val="center"/>
        <w:rPr>
          <w:rFonts w:hint="eastAsia" w:ascii="Times New Roman" w:hAnsi="Times New Roman" w:eastAsia="方正小标宋_GBK" w:cs="Times New Roman"/>
          <w:color w:val="000000"/>
          <w:sz w:val="44"/>
          <w:szCs w:val="44"/>
        </w:rPr>
      </w:pPr>
      <w:bookmarkStart w:id="0" w:name="_GoBack"/>
      <w:r>
        <w:rPr>
          <w:rFonts w:hint="eastAsia" w:ascii="Times New Roman" w:hAnsi="Times New Roman" w:eastAsia="方正小标宋_GBK" w:cs="Times New Roman"/>
          <w:color w:val="000000"/>
          <w:sz w:val="44"/>
          <w:szCs w:val="44"/>
        </w:rPr>
        <w:t>2021年度部门决算情况说明</w:t>
      </w:r>
    </w:p>
    <w:bookmarkEnd w:id="0"/>
    <w:p>
      <w:pPr>
        <w:spacing w:line="570" w:lineRule="exact"/>
        <w:rPr>
          <w:rFonts w:hint="eastAsia" w:ascii="黑体" w:hAnsi="黑体" w:eastAsia="黑体" w:cs="仿宋_GB2312"/>
          <w:sz w:val="32"/>
          <w:szCs w:val="32"/>
          <w:lang w:val="en-US" w:eastAsia="zh-CN"/>
        </w:rPr>
      </w:pPr>
    </w:p>
    <w:p>
      <w:pPr>
        <w:spacing w:line="57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部门基本情况</w:t>
      </w:r>
    </w:p>
    <w:p>
      <w:pPr>
        <w:spacing w:line="570" w:lineRule="exact"/>
        <w:ind w:firstLine="320" w:firstLineChars="100"/>
        <w:rPr>
          <w:rFonts w:hint="eastAsia" w:ascii="方正楷体_GBK" w:hAnsi="Times New Roman" w:eastAsia="方正楷体_GBK" w:cs="仿宋_GB2312"/>
          <w:bCs/>
          <w:sz w:val="32"/>
          <w:szCs w:val="32"/>
        </w:rPr>
      </w:pPr>
      <w:r>
        <w:rPr>
          <w:rFonts w:hint="eastAsia" w:ascii="方正楷体_GBK" w:hAnsi="Times New Roman" w:eastAsia="方正楷体_GBK" w:cs="仿宋_GB2312"/>
          <w:bCs/>
          <w:sz w:val="32"/>
          <w:szCs w:val="32"/>
        </w:rPr>
        <w:t>（一）职能职责</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方正仿宋_GBK" w:cs="Times New Roman"/>
          <w:b w:val="0"/>
          <w:bCs w:val="0"/>
          <w:sz w:val="32"/>
          <w:szCs w:val="32"/>
        </w:rPr>
        <w:t>1.</w:t>
      </w:r>
      <w:r>
        <w:rPr>
          <w:rStyle w:val="7"/>
          <w:rFonts w:hint="eastAsia" w:ascii="Times New Roman" w:hAnsi="Times New Roman" w:eastAsia="方正仿宋_GBK" w:cs="Times New Roman"/>
          <w:b w:val="0"/>
          <w:color w:val="000000"/>
          <w:kern w:val="0"/>
          <w:sz w:val="32"/>
          <w:szCs w:val="32"/>
          <w:lang w:val="en-US" w:eastAsia="zh-CN" w:bidi="ar-SA"/>
        </w:rPr>
        <w:t>丰都县乡村振兴局（原丰都县扶贫开发办公室）职能职责：根据《丰都县人民政府办公室关于印发丰都县扶贫开发办公室主要职责内设机构和人员编制规定的通知》（丰都府办发〔2015〕93号）及《中共丰都县委办公室丰都县人民政府办公室关于调整丰都县扶贫开发办公室职能配置、内设机构和人员编制的通知》(丰委办发〔2019〕7号）文件规定职能职责：一是贯彻执行党和国家有关扶贫开发的法律、法规和方针政策，负责全县扶贫开发工作的统筹协调、资金筹集、指导服务和监督管理工作。二是拟订全县扶贫开发的发展战略、目标任务和年度计划、政策措施和意见建议，经批准后组织实施；参与拟订涉及贫困地区经济社会发展的政策和规划。三是负责扶贫行政执法；负责分配和管理全县扶贫资金和物资；负责监督扶贫资金、物资的使用管理；负责管理扶贫开发项目，指导扶贫开发项目的实施；牵头组织扶贫资金使用的绩效考评。四是负责扶贫开发情况的统计和动态监测；负责全县扶贫系统统计信息工作和贫困对象的动态调整。五是组织贫困地区开展产业扶贫、科技扶贫、人力资源开发工作，组织和实施小片区扶贫开发，开展贫困地区干部有关扶贫政策和扶贫开发培训的监管工作。六是组织、协调和指导社会扶贫工作，联系中央国家机关定点扶贫和东部发达地区对本县的扶贫协作工作，组织、协调市级党政机关为主体的集团扶贫工作，组织、指导、协调本县机关企事业单位和民间力量参与扶贫开发工作。七是负责扶贫工作的县内外交流与合作；负责外资和外援扶贫项目的引进和实施。八是负责扶贫开发宣传工作及信息化建设。九是负责全县扶贫项目建设的安全生产管理和监督检查；负责办机关及所属单位的安全监管和信访稳定工作。十是承办县政府交办的其他事项。加强扶贫开发项目管理工作；加强社会扶贫工作；加强扶贫小额信贷工作；加强扶志扶智工作；加强扶贫对象动态调整。</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2.丰都县扶贫开发培训中心职责：根据丰都县机构编制委员会办公室关于县扶贫开发办公室所属事业单位宗旨和职责任务的批复（丰编办〔2014〕76号）文件规定；受县扶贫办委托，宣传贯彻中市县扶贫开发政策; 开展扶贫项目预算评估和效益分析；规划实施扶贫开发培训和劳动力转移就业服务；实施技能智力指导和科技扶贫工作；负责扶贫对象户的学生救助；组织协调贫困地区人才引进与培训。</w:t>
      </w:r>
    </w:p>
    <w:p>
      <w:pPr>
        <w:spacing w:line="570" w:lineRule="exact"/>
        <w:ind w:firstLine="640" w:firstLineChars="200"/>
        <w:rPr>
          <w:rFonts w:hint="eastAsia" w:ascii="方正楷体_GBK" w:hAnsi="Times New Roman" w:eastAsia="方正楷体_GBK" w:cs="仿宋_GB2312"/>
          <w:bCs/>
          <w:sz w:val="32"/>
          <w:szCs w:val="32"/>
        </w:rPr>
      </w:pPr>
      <w:r>
        <w:rPr>
          <w:rFonts w:hint="eastAsia" w:ascii="方正楷体_GBK" w:hAnsi="Times New Roman" w:eastAsia="方正楷体_GBK" w:cs="仿宋_GB2312"/>
          <w:bCs/>
          <w:sz w:val="32"/>
          <w:szCs w:val="32"/>
        </w:rPr>
        <w:t>（二）机构设置</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丰都县乡村振兴局</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原丰都县扶贫开发办公室）</w:t>
      </w:r>
      <w:r>
        <w:rPr>
          <w:rFonts w:hint="eastAsia" w:ascii="Times New Roman" w:hAnsi="Times New Roman" w:eastAsia="方正仿宋_GBK"/>
          <w:sz w:val="32"/>
          <w:szCs w:val="32"/>
        </w:rPr>
        <w:t>内设3个职能科室</w:t>
      </w:r>
      <w:r>
        <w:rPr>
          <w:rFonts w:hint="eastAsia" w:ascii="Times New Roman" w:hAnsi="Times New Roman" w:eastAsia="方正仿宋_GBK"/>
          <w:sz w:val="32"/>
          <w:szCs w:val="32"/>
          <w:lang w:eastAsia="zh-CN"/>
        </w:rPr>
        <w:t>（</w:t>
      </w:r>
      <w:r>
        <w:rPr>
          <w:rStyle w:val="7"/>
          <w:rFonts w:hint="eastAsia" w:ascii="Times New Roman" w:hAnsi="Times New Roman" w:eastAsia="方正仿宋_GBK" w:cs="Times New Roman"/>
          <w:b w:val="0"/>
          <w:color w:val="000000"/>
          <w:kern w:val="0"/>
          <w:sz w:val="32"/>
          <w:szCs w:val="32"/>
          <w:lang w:val="en-US" w:eastAsia="zh-CN" w:bidi="ar-SA"/>
        </w:rPr>
        <w:t>综合科、项目计划与产业发展科、社会扶贫与资金监管科）</w:t>
      </w:r>
      <w:r>
        <w:rPr>
          <w:rFonts w:hint="eastAsia" w:ascii="Times New Roman" w:hAnsi="Times New Roman" w:eastAsia="方正仿宋_GBK"/>
          <w:sz w:val="32"/>
          <w:szCs w:val="32"/>
        </w:rPr>
        <w:t>，1个下属事业单位，事业单位为丰都县扶贫开发培训中心。</w:t>
      </w:r>
    </w:p>
    <w:p>
      <w:pPr>
        <w:spacing w:line="570" w:lineRule="exact"/>
        <w:ind w:firstLine="640" w:firstLineChars="200"/>
        <w:rPr>
          <w:rFonts w:hint="eastAsia" w:ascii="方正楷体_GBK" w:hAnsi="Times New Roman" w:eastAsia="方正楷体_GBK" w:cs="仿宋_GB2312"/>
          <w:bCs/>
          <w:sz w:val="32"/>
          <w:szCs w:val="32"/>
        </w:rPr>
      </w:pPr>
      <w:r>
        <w:rPr>
          <w:rFonts w:hint="eastAsia" w:ascii="方正楷体_GBK" w:hAnsi="Times New Roman" w:eastAsia="方正楷体_GBK" w:cs="仿宋_GB2312"/>
          <w:bCs/>
          <w:sz w:val="32"/>
          <w:szCs w:val="32"/>
        </w:rPr>
        <w:t>（三）单位构成</w:t>
      </w:r>
    </w:p>
    <w:p>
      <w:pPr>
        <w:spacing w:line="600" w:lineRule="exact"/>
        <w:ind w:firstLine="640" w:firstLineChars="200"/>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从预算单位构成看，纳入本部门2021年度决算编制的二级预算单位主要包括丰都县乡村振兴局（原丰都县扶贫开发办公室）本级、下属事业单位丰都县扶贫开发培训中心。</w:t>
      </w:r>
    </w:p>
    <w:p>
      <w:pPr>
        <w:pStyle w:val="4"/>
        <w:widowControl w:val="0"/>
        <w:shd w:val="clear" w:color="auto" w:fill="FFFFFF"/>
        <w:spacing w:before="0" w:beforeAutospacing="0" w:after="0" w:afterAutospacing="0" w:line="600" w:lineRule="exact"/>
        <w:ind w:firstLine="640" w:firstLineChars="200"/>
        <w:jc w:val="both"/>
        <w:rPr>
          <w:rStyle w:val="7"/>
          <w:rFonts w:hint="eastAsia" w:ascii="方正黑体_GBK" w:hAnsi="Times New Roman" w:eastAsia="方正黑体_GBK" w:cs="Times New Roman"/>
          <w:b w:val="0"/>
          <w:sz w:val="32"/>
          <w:szCs w:val="32"/>
        </w:rPr>
      </w:pPr>
      <w:r>
        <w:rPr>
          <w:rStyle w:val="7"/>
          <w:rFonts w:hint="eastAsia" w:ascii="方正黑体_GBK" w:hAnsi="Times New Roman" w:eastAsia="方正黑体_GBK" w:cs="Times New Roman"/>
          <w:b w:val="0"/>
          <w:sz w:val="32"/>
          <w:szCs w:val="32"/>
        </w:rPr>
        <w:t xml:space="preserve"> 二、部门决算情况说明</w:t>
      </w:r>
    </w:p>
    <w:p>
      <w:pPr>
        <w:pStyle w:val="4"/>
        <w:widowControl w:val="0"/>
        <w:shd w:val="clear" w:color="auto" w:fill="FFFFFF"/>
        <w:spacing w:before="0" w:beforeAutospacing="0" w:after="0" w:afterAutospacing="0" w:line="600" w:lineRule="exact"/>
        <w:ind w:firstLine="640" w:firstLineChars="200"/>
        <w:jc w:val="both"/>
        <w:rPr>
          <w:rStyle w:val="7"/>
          <w:rFonts w:hint="eastAsia" w:ascii="楷体" w:hAnsi="楷体" w:eastAsia="楷体" w:cs="Times New Roman"/>
          <w:b w:val="0"/>
          <w:sz w:val="32"/>
          <w:szCs w:val="32"/>
        </w:rPr>
      </w:pPr>
      <w:r>
        <w:rPr>
          <w:rStyle w:val="7"/>
          <w:rFonts w:hint="eastAsia" w:ascii="楷体" w:hAnsi="楷体" w:eastAsia="楷体" w:cs="Times New Roman"/>
          <w:b w:val="0"/>
          <w:sz w:val="32"/>
          <w:szCs w:val="32"/>
        </w:rPr>
        <w:t> （一）收入支出决算总体情况说明</w:t>
      </w:r>
    </w:p>
    <w:p>
      <w:pPr>
        <w:pStyle w:val="4"/>
        <w:widowControl w:val="0"/>
        <w:shd w:val="clear" w:color="auto" w:fill="FFFFFF"/>
        <w:spacing w:before="0" w:beforeAutospacing="0" w:after="0" w:afterAutospacing="0" w:line="600" w:lineRule="exact"/>
        <w:ind w:firstLine="642" w:firstLineChars="200"/>
        <w:jc w:val="both"/>
        <w:rPr>
          <w:rFonts w:ascii="Times New Roman" w:hAnsi="Times New Roman" w:eastAsia="方正仿宋_GBK" w:cs="Times New Roman"/>
          <w:sz w:val="32"/>
          <w:szCs w:val="32"/>
        </w:rPr>
      </w:pPr>
      <w:r>
        <w:rPr>
          <w:rStyle w:val="7"/>
          <w:rFonts w:ascii="Times New Roman" w:hAnsi="Times New Roman" w:eastAsia="方正仿宋_GBK" w:cs="Times New Roman"/>
          <w:sz w:val="32"/>
          <w:szCs w:val="32"/>
        </w:rPr>
        <w:t xml:space="preserve"> 1.总体情况。</w:t>
      </w:r>
      <w:r>
        <w:rPr>
          <w:rFonts w:ascii="Times New Roman" w:hAnsi="Times New Roman" w:eastAsia="方正仿宋_GBK" w:cs="Times New Roman"/>
          <w:sz w:val="32"/>
          <w:szCs w:val="32"/>
        </w:rPr>
        <w:t>2021年度收入总计4,880.70万元，支出总计4,880.70万元。收支较上年决算数增加1,068.00万元、增长28%，主要原因是</w:t>
      </w:r>
      <w:r>
        <w:rPr>
          <w:rFonts w:hint="eastAsia" w:ascii="Times New Roman" w:hAnsi="Times New Roman" w:eastAsia="方正仿宋_GBK" w:cs="Times New Roman"/>
          <w:sz w:val="32"/>
          <w:szCs w:val="32"/>
          <w:lang w:val="en-US" w:eastAsia="zh-CN"/>
        </w:rPr>
        <w:t>政策性调资晋级、巩固拓展脱贫攻坚成果同乡村振兴有效衔接项目资金投入增加等</w:t>
      </w:r>
      <w:r>
        <w:rPr>
          <w:rFonts w:hint="default" w:ascii="Times New Roman" w:hAnsi="Times New Roman" w:eastAsia="方正仿宋_GBK" w:cs="Times New Roman"/>
          <w:sz w:val="32"/>
          <w:szCs w:val="32"/>
          <w:lang w:val="en-US" w:eastAsia="zh-CN"/>
        </w:rPr>
        <w:t>。</w:t>
      </w:r>
    </w:p>
    <w:p>
      <w:pPr>
        <w:pStyle w:val="4"/>
        <w:widowControl w:val="0"/>
        <w:shd w:val="clear" w:color="auto" w:fill="FFFFFF"/>
        <w:spacing w:before="0" w:beforeAutospacing="0" w:after="0" w:afterAutospacing="0" w:line="600" w:lineRule="exact"/>
        <w:ind w:firstLine="642" w:firstLineChars="200"/>
        <w:jc w:val="both"/>
        <w:rPr>
          <w:rFonts w:ascii="Times New Roman" w:hAnsi="Times New Roman" w:eastAsia="方正仿宋_GBK" w:cs="Times New Roman"/>
          <w:sz w:val="32"/>
          <w:szCs w:val="32"/>
        </w:rPr>
      </w:pPr>
      <w:r>
        <w:rPr>
          <w:rStyle w:val="7"/>
          <w:rFonts w:ascii="Times New Roman" w:hAnsi="Times New Roman" w:eastAsia="方正仿宋_GBK" w:cs="Times New Roman"/>
          <w:sz w:val="32"/>
          <w:szCs w:val="32"/>
        </w:rPr>
        <w:t>  2.收入情况。</w:t>
      </w:r>
      <w:r>
        <w:rPr>
          <w:rFonts w:ascii="Times New Roman" w:hAnsi="Times New Roman" w:eastAsia="方正仿宋_GBK" w:cs="Times New Roman"/>
          <w:sz w:val="32"/>
          <w:szCs w:val="32"/>
        </w:rPr>
        <w:t>2021年度收入合计4,366.78万元，较上年决算数增加1,616.68万元，增长58.8%，主要原因是</w:t>
      </w:r>
      <w:r>
        <w:rPr>
          <w:rFonts w:hint="eastAsia" w:ascii="Times New Roman" w:hAnsi="Times New Roman" w:eastAsia="方正仿宋_GBK" w:cs="Times New Roman"/>
          <w:sz w:val="32"/>
          <w:szCs w:val="32"/>
          <w:lang w:val="en-US" w:eastAsia="zh-CN"/>
        </w:rPr>
        <w:t>政策性调资晋级、巩固拓展脱贫攻坚成果同乡村振兴有效衔接项目资金投入增加等</w:t>
      </w:r>
      <w:r>
        <w:rPr>
          <w:rFonts w:ascii="Times New Roman" w:hAnsi="Times New Roman" w:eastAsia="方正仿宋_GBK" w:cs="Times New Roman"/>
          <w:sz w:val="32"/>
          <w:szCs w:val="32"/>
        </w:rPr>
        <w:t>。其中：财政拨款收入4,366.78万元，占100%。此外，使用非财政拨款结余0.00万元，年初结转和结余513.92万元。</w:t>
      </w:r>
    </w:p>
    <w:p>
      <w:pPr>
        <w:pStyle w:val="4"/>
        <w:widowControl w:val="0"/>
        <w:shd w:val="clear" w:color="auto" w:fill="FFFFFF"/>
        <w:spacing w:before="0" w:beforeAutospacing="0" w:after="0" w:afterAutospacing="0" w:line="600" w:lineRule="exact"/>
        <w:ind w:firstLine="642" w:firstLineChars="200"/>
        <w:jc w:val="both"/>
        <w:rPr>
          <w:rFonts w:ascii="Times New Roman" w:hAnsi="Times New Roman" w:eastAsia="方正仿宋_GBK" w:cs="Times New Roman"/>
          <w:sz w:val="32"/>
          <w:szCs w:val="32"/>
        </w:rPr>
      </w:pPr>
      <w:r>
        <w:rPr>
          <w:rStyle w:val="7"/>
          <w:rFonts w:ascii="Times New Roman" w:hAnsi="Times New Roman" w:eastAsia="方正仿宋_GBK" w:cs="Times New Roman"/>
          <w:sz w:val="32"/>
          <w:szCs w:val="32"/>
        </w:rPr>
        <w:t>  3.支出情况。</w:t>
      </w:r>
      <w:r>
        <w:rPr>
          <w:rFonts w:ascii="Times New Roman" w:hAnsi="Times New Roman" w:eastAsia="方正仿宋_GBK" w:cs="Times New Roman"/>
          <w:sz w:val="32"/>
          <w:szCs w:val="32"/>
        </w:rPr>
        <w:t>2021年度支出合计4,366.43万元，较上年决算数增加1,067.64万元，增长32.4%，主要原因是</w:t>
      </w:r>
      <w:r>
        <w:rPr>
          <w:rFonts w:hint="eastAsia" w:ascii="Times New Roman" w:hAnsi="Times New Roman" w:eastAsia="方正仿宋_GBK" w:cs="Times New Roman"/>
          <w:sz w:val="32"/>
          <w:szCs w:val="32"/>
          <w:lang w:val="en-US" w:eastAsia="zh-CN"/>
        </w:rPr>
        <w:t>政策性调资晋级、巩固拓展脱贫攻坚成果同乡村振兴有效衔接项目资金投入增加等</w:t>
      </w:r>
      <w:r>
        <w:rPr>
          <w:rStyle w:val="7"/>
          <w:rFonts w:hint="default" w:ascii="Times New Roman" w:hAnsi="Times New Roman" w:eastAsia="方正仿宋_GBK" w:cs="Times New Roman"/>
          <w:b w:val="0"/>
          <w:color w:val="000000"/>
          <w:kern w:val="0"/>
          <w:sz w:val="32"/>
          <w:szCs w:val="32"/>
          <w:lang w:val="en-US" w:eastAsia="zh-CN" w:bidi="ar-SA"/>
        </w:rPr>
        <w:t>。</w:t>
      </w:r>
      <w:r>
        <w:rPr>
          <w:rFonts w:ascii="Times New Roman" w:hAnsi="Times New Roman" w:eastAsia="方正仿宋_GBK" w:cs="Times New Roman"/>
          <w:sz w:val="32"/>
          <w:szCs w:val="32"/>
        </w:rPr>
        <w:t>其中：基本支出520.54万元，占11.9%；项目支出3,845.89万元，占88.1%。此外，结余分配0.00万元。</w:t>
      </w:r>
    </w:p>
    <w:p>
      <w:pPr>
        <w:pStyle w:val="4"/>
        <w:widowControl w:val="0"/>
        <w:shd w:val="clear" w:color="auto" w:fill="FFFFFF"/>
        <w:spacing w:before="0" w:beforeAutospacing="0" w:after="0" w:afterAutospacing="0" w:line="600" w:lineRule="exact"/>
        <w:ind w:firstLine="642" w:firstLineChars="200"/>
        <w:jc w:val="both"/>
        <w:rPr>
          <w:rFonts w:ascii="Times New Roman" w:hAnsi="Times New Roman" w:eastAsia="方正仿宋_GBK" w:cs="Times New Roman"/>
          <w:sz w:val="32"/>
          <w:szCs w:val="32"/>
        </w:rPr>
      </w:pPr>
      <w:r>
        <w:rPr>
          <w:rStyle w:val="7"/>
          <w:rFonts w:ascii="Times New Roman" w:hAnsi="Times New Roman" w:eastAsia="方正仿宋_GBK" w:cs="Times New Roman"/>
          <w:sz w:val="32"/>
          <w:szCs w:val="32"/>
        </w:rPr>
        <w:t>  4.结转结余情况。</w:t>
      </w:r>
      <w:r>
        <w:rPr>
          <w:rFonts w:ascii="Times New Roman" w:hAnsi="Times New Roman" w:eastAsia="方正仿宋_GBK" w:cs="Times New Roman"/>
          <w:sz w:val="32"/>
          <w:szCs w:val="32"/>
        </w:rPr>
        <w:t>2021年度年末结转和结余514.27万元，较上年决算数增加0.35万元，增长0.1%，主要原因是</w:t>
      </w:r>
      <w:r>
        <w:rPr>
          <w:rStyle w:val="7"/>
          <w:rFonts w:hint="eastAsia" w:ascii="Times New Roman" w:hAnsi="Times New Roman" w:eastAsia="方正仿宋_GBK" w:cs="Times New Roman"/>
          <w:b w:val="0"/>
          <w:color w:val="000000"/>
          <w:kern w:val="0"/>
          <w:sz w:val="32"/>
          <w:szCs w:val="32"/>
          <w:lang w:val="en-US" w:eastAsia="zh-CN" w:bidi="ar-SA"/>
        </w:rPr>
        <w:t>金融扶贫小额信贷风险补偿金。</w:t>
      </w:r>
    </w:p>
    <w:p>
      <w:pPr>
        <w:pStyle w:val="4"/>
        <w:widowControl w:val="0"/>
        <w:shd w:val="clear" w:color="auto" w:fill="FFFFFF"/>
        <w:spacing w:before="0" w:beforeAutospacing="0" w:after="0" w:afterAutospacing="0" w:line="600" w:lineRule="exact"/>
        <w:ind w:firstLine="640" w:firstLineChars="200"/>
        <w:jc w:val="both"/>
        <w:rPr>
          <w:rStyle w:val="7"/>
          <w:rFonts w:hint="eastAsia" w:ascii="楷体" w:hAnsi="楷体" w:eastAsia="楷体" w:cs="Times New Roman"/>
          <w:b w:val="0"/>
          <w:sz w:val="32"/>
          <w:szCs w:val="32"/>
        </w:rPr>
      </w:pPr>
      <w:r>
        <w:rPr>
          <w:rStyle w:val="7"/>
          <w:rFonts w:hint="eastAsia" w:ascii="楷体" w:hAnsi="楷体" w:eastAsia="楷体" w:cs="Times New Roman"/>
          <w:b w:val="0"/>
          <w:sz w:val="32"/>
          <w:szCs w:val="32"/>
        </w:rPr>
        <w:t>（二）财政拨款收入支出决算总体情况说明</w:t>
      </w:r>
    </w:p>
    <w:p>
      <w:pPr>
        <w:pStyle w:val="4"/>
        <w:widowControl w:val="0"/>
        <w:shd w:val="clear" w:color="auto" w:fill="FFFFFF"/>
        <w:spacing w:before="0" w:beforeAutospacing="0" w:after="0" w:afterAutospacing="0" w:line="600" w:lineRule="exact"/>
        <w:ind w:firstLine="640" w:firstLineChars="200"/>
        <w:jc w:val="both"/>
        <w:rPr>
          <w:rFonts w:hint="eastAsia" w:ascii="Times New Roman" w:hAnsi="Times New Roman" w:eastAsia="方正仿宋_GBK" w:cs="Times New Roman"/>
          <w:sz w:val="32"/>
          <w:szCs w:val="32"/>
          <w:lang w:val="en-US" w:eastAsia="zh-CN"/>
        </w:rPr>
      </w:pPr>
      <w:r>
        <w:rPr>
          <w:rFonts w:ascii="Times New Roman" w:hAnsi="Times New Roman" w:eastAsia="方正仿宋_GBK" w:cs="Times New Roman"/>
          <w:sz w:val="32"/>
          <w:szCs w:val="32"/>
        </w:rPr>
        <w:t>2021年度财政拨款收、支总计4,880.70万元。与2020年相比，财政拨款收、支总计各增加1,068.00万元，增长28%。</w:t>
      </w:r>
      <w:r>
        <w:rPr>
          <w:rFonts w:hint="eastAsia" w:ascii="Times New Roman" w:hAnsi="Times New Roman" w:eastAsia="方正仿宋_GBK" w:cs="Times New Roman"/>
          <w:sz w:val="32"/>
          <w:szCs w:val="32"/>
          <w:lang w:val="en-US" w:eastAsia="zh-CN"/>
        </w:rPr>
        <w:t>主要原因是政策性调资晋级、巩固拓展脱贫攻坚成果同乡村振兴有效衔接项目资金投入增加等。</w:t>
      </w:r>
    </w:p>
    <w:p>
      <w:pPr>
        <w:pStyle w:val="4"/>
        <w:widowControl w:val="0"/>
        <w:shd w:val="clear" w:color="auto" w:fill="FFFFFF"/>
        <w:spacing w:before="0" w:beforeAutospacing="0" w:after="0" w:afterAutospacing="0" w:line="600" w:lineRule="exact"/>
        <w:ind w:firstLine="640" w:firstLineChars="200"/>
        <w:jc w:val="both"/>
        <w:rPr>
          <w:rStyle w:val="7"/>
          <w:rFonts w:hint="eastAsia" w:ascii="楷体" w:hAnsi="楷体" w:eastAsia="楷体" w:cs="Times New Roman"/>
          <w:b w:val="0"/>
          <w:sz w:val="32"/>
          <w:szCs w:val="32"/>
        </w:rPr>
      </w:pPr>
      <w:r>
        <w:rPr>
          <w:rStyle w:val="7"/>
          <w:rFonts w:hint="eastAsia" w:ascii="楷体" w:hAnsi="楷体" w:eastAsia="楷体" w:cs="Times New Roman"/>
          <w:b w:val="0"/>
          <w:sz w:val="32"/>
          <w:szCs w:val="32"/>
        </w:rPr>
        <w:t>（三）一般公共预算财政拨款收入支出决算情况说明</w:t>
      </w:r>
    </w:p>
    <w:p>
      <w:pPr>
        <w:pStyle w:val="4"/>
        <w:widowControl w:val="0"/>
        <w:shd w:val="clear" w:color="auto" w:fill="FFFFFF"/>
        <w:spacing w:before="0" w:beforeAutospacing="0" w:after="0" w:afterAutospacing="0" w:line="600" w:lineRule="exact"/>
        <w:ind w:firstLine="642" w:firstLineChars="200"/>
        <w:jc w:val="both"/>
        <w:rPr>
          <w:rFonts w:hint="eastAsia" w:ascii="Times New Roman" w:hAnsi="Times New Roman" w:eastAsia="方正仿宋_GBK" w:cs="Times New Roman"/>
          <w:sz w:val="32"/>
          <w:szCs w:val="32"/>
        </w:rPr>
      </w:pPr>
      <w:r>
        <w:rPr>
          <w:rStyle w:val="7"/>
          <w:rFonts w:hint="eastAsia" w:ascii="Times New Roman" w:hAnsi="Times New Roman" w:eastAsia="方正仿宋_GBK" w:cs="Times New Roman"/>
          <w:sz w:val="32"/>
          <w:szCs w:val="32"/>
        </w:rPr>
        <w:t>  1.收入情况。</w:t>
      </w:r>
      <w:r>
        <w:rPr>
          <w:rFonts w:hint="eastAsia" w:ascii="Times New Roman" w:hAnsi="Times New Roman" w:eastAsia="方正仿宋_GBK" w:cs="Times New Roman"/>
          <w:sz w:val="32"/>
          <w:szCs w:val="32"/>
        </w:rPr>
        <w:t>2021年度一般公共预算财政拨款收入4,366.78万元，较上年决算数增加1,616.68万元，增长58.8%。主要原因是</w:t>
      </w:r>
      <w:r>
        <w:rPr>
          <w:rStyle w:val="7"/>
          <w:rFonts w:hint="eastAsia" w:ascii="Times New Roman" w:hAnsi="Times New Roman" w:eastAsia="方正仿宋_GBK" w:cs="Times New Roman"/>
          <w:b w:val="0"/>
          <w:color w:val="000000"/>
          <w:sz w:val="32"/>
          <w:szCs w:val="32"/>
          <w:lang w:val="en-US" w:eastAsia="zh-CN"/>
        </w:rPr>
        <w:t>政策性调资晋级、巩固拓展脱贫攻坚成果同乡村振兴有效衔接项目资金投入增加等</w:t>
      </w:r>
      <w:r>
        <w:rPr>
          <w:rFonts w:hint="eastAsia" w:ascii="Times New Roman" w:hAnsi="Times New Roman" w:eastAsia="方正仿宋_GBK" w:cs="Times New Roman"/>
          <w:sz w:val="32"/>
          <w:szCs w:val="32"/>
        </w:rPr>
        <w:t>。较年初预算数减少6,715.63万元，下降60.6%。主要原因是</w:t>
      </w:r>
      <w:r>
        <w:rPr>
          <w:rStyle w:val="7"/>
          <w:rFonts w:hint="eastAsia" w:ascii="Times New Roman" w:hAnsi="Times New Roman" w:eastAsia="方正仿宋_GBK" w:cs="Times New Roman"/>
          <w:b w:val="0"/>
          <w:color w:val="000000"/>
          <w:sz w:val="32"/>
          <w:szCs w:val="32"/>
          <w:lang w:val="en-US" w:eastAsia="zh-CN"/>
        </w:rPr>
        <w:t>部分项目资金纳入年初预算的，而实际资金未到本单位未列支。</w:t>
      </w:r>
      <w:r>
        <w:rPr>
          <w:rFonts w:hint="eastAsia" w:ascii="Times New Roman" w:hAnsi="Times New Roman" w:eastAsia="方正仿宋_GBK" w:cs="Times New Roman"/>
          <w:sz w:val="32"/>
          <w:szCs w:val="32"/>
        </w:rPr>
        <w:t>此外，年初财政拨款结转和结余513.92万元。</w:t>
      </w:r>
    </w:p>
    <w:p>
      <w:pPr>
        <w:pStyle w:val="4"/>
        <w:widowControl w:val="0"/>
        <w:shd w:val="clear" w:color="auto" w:fill="FFFFFF"/>
        <w:spacing w:before="0" w:beforeAutospacing="0" w:after="0" w:afterAutospacing="0" w:line="600" w:lineRule="exact"/>
        <w:ind w:firstLine="642" w:firstLineChars="200"/>
        <w:jc w:val="both"/>
        <w:rPr>
          <w:rFonts w:hint="eastAsia" w:ascii="Times New Roman" w:hAnsi="Times New Roman" w:eastAsia="方正仿宋_GBK" w:cs="Times New Roman"/>
          <w:sz w:val="32"/>
          <w:szCs w:val="32"/>
        </w:rPr>
      </w:pPr>
      <w:r>
        <w:rPr>
          <w:rStyle w:val="7"/>
          <w:rFonts w:hint="eastAsia" w:ascii="Times New Roman" w:hAnsi="Times New Roman" w:eastAsia="方正仿宋_GBK" w:cs="Times New Roman"/>
          <w:sz w:val="32"/>
          <w:szCs w:val="32"/>
        </w:rPr>
        <w:t> 2.支出情况。</w:t>
      </w:r>
      <w:r>
        <w:rPr>
          <w:rFonts w:hint="eastAsia" w:ascii="Times New Roman" w:hAnsi="Times New Roman" w:eastAsia="方正仿宋_GBK" w:cs="Times New Roman"/>
          <w:sz w:val="32"/>
          <w:szCs w:val="32"/>
        </w:rPr>
        <w:t>2021年度一般公共预算财政拨款支出4,366.43万元，较上年决算数增加1,067.64万元，增长32.4%。主要原因是</w:t>
      </w:r>
      <w:r>
        <w:rPr>
          <w:rFonts w:hint="eastAsia" w:ascii="Times New Roman" w:hAnsi="Times New Roman" w:eastAsia="方正仿宋_GBK" w:cs="Times New Roman"/>
          <w:sz w:val="32"/>
          <w:szCs w:val="32"/>
          <w:lang w:val="en-US" w:eastAsia="zh-CN"/>
        </w:rPr>
        <w:t>政策性调资晋级、巩固拓展脱贫攻坚成果同乡村振兴有效衔接项目资金投入增加等</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较年初预算数减少6,715.98万元，下降60.6%。主要原因是</w:t>
      </w:r>
      <w:r>
        <w:rPr>
          <w:rFonts w:hint="eastAsia" w:ascii="Times New Roman" w:hAnsi="Times New Roman" w:eastAsia="方正仿宋_GBK" w:cs="Times New Roman"/>
          <w:sz w:val="32"/>
          <w:szCs w:val="32"/>
          <w:lang w:val="en-US" w:eastAsia="zh-CN"/>
        </w:rPr>
        <w:t>部分项目资金纳入年初预算的，而实际资金未到本部门未列支</w:t>
      </w:r>
      <w:r>
        <w:rPr>
          <w:rFonts w:hint="eastAsia" w:ascii="Times New Roman" w:hAnsi="Times New Roman" w:eastAsia="方正仿宋_GBK" w:cs="Times New Roman"/>
          <w:sz w:val="32"/>
          <w:szCs w:val="32"/>
        </w:rPr>
        <w:t>。</w:t>
      </w:r>
    </w:p>
    <w:p>
      <w:pPr>
        <w:pStyle w:val="4"/>
        <w:widowControl w:val="0"/>
        <w:shd w:val="clear" w:color="auto" w:fill="FFFFFF"/>
        <w:spacing w:before="0" w:beforeAutospacing="0" w:after="0" w:afterAutospacing="0" w:line="600" w:lineRule="exact"/>
        <w:ind w:firstLine="642" w:firstLineChars="200"/>
        <w:jc w:val="both"/>
        <w:rPr>
          <w:rFonts w:hint="eastAsia" w:ascii="Times New Roman" w:hAnsi="Times New Roman" w:eastAsia="方正仿宋_GBK" w:cs="Times New Roman"/>
          <w:sz w:val="32"/>
          <w:szCs w:val="32"/>
        </w:rPr>
      </w:pPr>
      <w:r>
        <w:rPr>
          <w:rStyle w:val="7"/>
          <w:rFonts w:hint="eastAsia" w:ascii="Times New Roman" w:hAnsi="Times New Roman" w:eastAsia="方正仿宋_GBK" w:cs="Times New Roman"/>
          <w:sz w:val="32"/>
          <w:szCs w:val="32"/>
        </w:rPr>
        <w:t>  3.结转结余情况。</w:t>
      </w:r>
      <w:r>
        <w:rPr>
          <w:rFonts w:hint="eastAsia" w:ascii="Times New Roman" w:hAnsi="Times New Roman" w:eastAsia="方正仿宋_GBK" w:cs="Times New Roman"/>
          <w:sz w:val="32"/>
          <w:szCs w:val="32"/>
        </w:rPr>
        <w:t>2021年度年末一般公共预算财政拨款结转和结余514.27万元，较上年决算数增加0.35万元，增长0.1%，主要原因是</w:t>
      </w:r>
      <w:r>
        <w:rPr>
          <w:rStyle w:val="7"/>
          <w:rFonts w:hint="eastAsia" w:ascii="Times New Roman" w:hAnsi="Times New Roman" w:eastAsia="方正仿宋_GBK" w:cs="Times New Roman"/>
          <w:b w:val="0"/>
          <w:color w:val="000000"/>
          <w:kern w:val="0"/>
          <w:sz w:val="32"/>
          <w:szCs w:val="32"/>
          <w:lang w:val="en-US" w:eastAsia="zh-CN" w:bidi="ar-SA"/>
        </w:rPr>
        <w:t>金融扶贫小额信贷风险补偿金</w:t>
      </w:r>
      <w:r>
        <w:rPr>
          <w:rFonts w:hint="eastAsia" w:ascii="Times New Roman" w:hAnsi="Times New Roman" w:eastAsia="方正仿宋_GBK" w:cs="Times New Roman"/>
          <w:sz w:val="32"/>
          <w:szCs w:val="32"/>
        </w:rPr>
        <w:t>。</w:t>
      </w:r>
    </w:p>
    <w:p>
      <w:pPr>
        <w:pStyle w:val="4"/>
        <w:widowControl w:val="0"/>
        <w:shd w:val="clear" w:color="auto" w:fill="FFFFFF"/>
        <w:spacing w:before="0" w:beforeAutospacing="0" w:after="0" w:afterAutospacing="0" w:line="600" w:lineRule="exact"/>
        <w:ind w:firstLine="642" w:firstLineChars="200"/>
        <w:jc w:val="both"/>
        <w:rPr>
          <w:rFonts w:hint="eastAsia" w:ascii="Times New Roman" w:hAnsi="Times New Roman" w:eastAsia="方正仿宋_GBK" w:cs="Times New Roman"/>
          <w:sz w:val="32"/>
          <w:szCs w:val="32"/>
        </w:rPr>
      </w:pPr>
      <w:r>
        <w:rPr>
          <w:rStyle w:val="7"/>
          <w:rFonts w:hint="eastAsia" w:ascii="Times New Roman" w:hAnsi="Times New Roman" w:eastAsia="方正仿宋_GBK" w:cs="Times New Roman"/>
          <w:sz w:val="32"/>
          <w:szCs w:val="32"/>
        </w:rPr>
        <w:t>  4.比较情况。</w:t>
      </w:r>
      <w:r>
        <w:rPr>
          <w:rFonts w:hint="eastAsia" w:ascii="Times New Roman" w:hAnsi="Times New Roman" w:eastAsia="方正仿宋_GBK" w:cs="Times New Roman"/>
          <w:sz w:val="32"/>
          <w:szCs w:val="32"/>
        </w:rPr>
        <w:t>本部门2021年度一般公共预算财政拨款支出主要用于以下几个方面：</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楷体" w:hAnsi="楷体" w:eastAsia="楷体" w:cs="Times New Roman"/>
          <w:b w:val="0"/>
          <w:sz w:val="32"/>
          <w:szCs w:val="32"/>
        </w:rPr>
        <w:t> </w:t>
      </w:r>
      <w:r>
        <w:rPr>
          <w:rStyle w:val="7"/>
          <w:rFonts w:hint="eastAsia" w:ascii="Times New Roman" w:hAnsi="Times New Roman" w:eastAsia="方正仿宋_GBK" w:cs="Times New Roman"/>
          <w:b w:val="0"/>
          <w:color w:val="000000"/>
          <w:kern w:val="0"/>
          <w:sz w:val="32"/>
          <w:szCs w:val="32"/>
          <w:lang w:val="en-US" w:eastAsia="zh-CN" w:bidi="ar-SA"/>
        </w:rPr>
        <w:t>（1）一般公共服务支出4.35万元，占0.1%，较年初预算数增加4.35万元，增长100%，主要原因是根据工作需要，中途调整增加预算。</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（2）社会保障与就业支出36.29万元，占0.8%，较年初预算数增加3.37万元，增长10.2%，主要原因是政策性调增。</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（3）卫生健康支出18.77万元，占0.4%，较年初预算数增加0.06万元，增长0.3%，主要原因是政策性调增。</w:t>
      </w:r>
    </w:p>
    <w:p>
      <w:pPr>
        <w:spacing w:line="570" w:lineRule="exact"/>
        <w:ind w:firstLine="640" w:firstLineChars="200"/>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（4）农林水支出4,291.42万元，占98.3%，较年初预算数减少6,723.77万元，下降61.04%，主要原因是</w:t>
      </w:r>
      <w:r>
        <w:rPr>
          <w:rStyle w:val="7"/>
          <w:rFonts w:hint="eastAsia" w:ascii="Times New Roman" w:hAnsi="Times New Roman" w:eastAsia="方正仿宋_GBK" w:cs="Times New Roman"/>
          <w:b w:val="0"/>
          <w:color w:val="000000"/>
          <w:sz w:val="32"/>
          <w:szCs w:val="32"/>
          <w:lang w:val="en-US" w:eastAsia="zh-CN"/>
        </w:rPr>
        <w:t>部分项目资金纳入年初预算的，而实际资金未到本部门未列支</w:t>
      </w:r>
      <w:r>
        <w:rPr>
          <w:rFonts w:hint="eastAsia" w:ascii="Times New Roman" w:hAnsi="Times New Roman" w:eastAsia="方正仿宋_GBK" w:cs="Times New Roman"/>
          <w:kern w:val="0"/>
          <w:sz w:val="32"/>
          <w:szCs w:val="32"/>
          <w:lang w:val="en-US" w:eastAsia="zh-CN" w:bidi="ar-SA"/>
        </w:rPr>
        <w:t>。</w:t>
      </w:r>
    </w:p>
    <w:p>
      <w:pPr>
        <w:spacing w:line="570" w:lineRule="exact"/>
        <w:ind w:firstLine="640" w:firstLineChars="200"/>
        <w:rPr>
          <w:rFonts w:hint="eastAsia" w:ascii="Times New Roman" w:hAnsi="Times New Roman" w:eastAsia="方正仿宋_GBK"/>
          <w:color w:val="000000"/>
          <w:kern w:val="0"/>
          <w:sz w:val="32"/>
          <w:szCs w:val="32"/>
        </w:rPr>
      </w:pPr>
      <w:r>
        <w:rPr>
          <w:rFonts w:hint="eastAsia" w:ascii="Times New Roman" w:hAnsi="Times New Roman" w:eastAsia="方正仿宋_GBK" w:cs="Times New Roman"/>
          <w:kern w:val="0"/>
          <w:sz w:val="32"/>
          <w:szCs w:val="32"/>
          <w:lang w:val="en-US" w:eastAsia="zh-CN" w:bidi="ar-SA"/>
        </w:rPr>
        <w:t>（5）住房保障支出15.59万元，占0.4%，</w:t>
      </w:r>
      <w:r>
        <w:rPr>
          <w:rFonts w:hint="eastAsia" w:ascii="Times New Roman" w:hAnsi="Times New Roman" w:eastAsia="方正仿宋_GBK"/>
          <w:color w:val="000000"/>
          <w:kern w:val="0"/>
          <w:sz w:val="32"/>
          <w:szCs w:val="32"/>
        </w:rPr>
        <w:t>与年初预算数持平。</w:t>
      </w:r>
    </w:p>
    <w:p>
      <w:pPr>
        <w:pStyle w:val="4"/>
        <w:widowControl w:val="0"/>
        <w:shd w:val="clear" w:color="auto" w:fill="FFFFFF"/>
        <w:spacing w:before="0" w:beforeAutospacing="0" w:after="0" w:afterAutospacing="0" w:line="600" w:lineRule="exact"/>
        <w:ind w:firstLine="640" w:firstLineChars="200"/>
        <w:jc w:val="both"/>
        <w:rPr>
          <w:rStyle w:val="7"/>
          <w:rFonts w:hint="eastAsia" w:ascii="楷体" w:hAnsi="楷体" w:eastAsia="楷体" w:cs="Times New Roman"/>
          <w:b w:val="0"/>
          <w:sz w:val="32"/>
          <w:szCs w:val="32"/>
        </w:rPr>
      </w:pPr>
      <w:r>
        <w:rPr>
          <w:rStyle w:val="7"/>
          <w:rFonts w:hint="eastAsia" w:ascii="楷体" w:hAnsi="楷体" w:eastAsia="楷体" w:cs="Times New Roman"/>
          <w:b w:val="0"/>
          <w:sz w:val="32"/>
          <w:szCs w:val="32"/>
        </w:rPr>
        <w:t>（四）一般公共预算财政拨款基本支出决算情况说明</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default" w:ascii="Times New Roman" w:hAnsi="Times New Roman" w:eastAsia="楷体" w:cs="Times New Roman"/>
          <w:b w:val="0"/>
          <w:sz w:val="32"/>
          <w:szCs w:val="32"/>
        </w:rPr>
        <w:t xml:space="preserve">  </w:t>
      </w:r>
      <w:r>
        <w:rPr>
          <w:rStyle w:val="7"/>
          <w:rFonts w:hint="default" w:ascii="Times New Roman" w:hAnsi="Times New Roman" w:eastAsia="方正仿宋_GBK" w:cs="Times New Roman"/>
          <w:b w:val="0"/>
          <w:color w:val="000000"/>
          <w:kern w:val="0"/>
          <w:sz w:val="32"/>
          <w:szCs w:val="32"/>
          <w:lang w:val="en-US" w:eastAsia="zh-CN" w:bidi="ar-SA"/>
        </w:rPr>
        <w:t>2021年度</w:t>
      </w:r>
      <w:r>
        <w:rPr>
          <w:rStyle w:val="7"/>
          <w:rFonts w:hint="eastAsia" w:ascii="Times New Roman" w:hAnsi="Times New Roman" w:eastAsia="方正仿宋_GBK" w:cs="Times New Roman"/>
          <w:b w:val="0"/>
          <w:color w:val="000000"/>
          <w:kern w:val="0"/>
          <w:sz w:val="32"/>
          <w:szCs w:val="32"/>
          <w:lang w:val="en-US" w:eastAsia="zh-CN" w:bidi="ar-SA"/>
        </w:rPr>
        <w:t>一般公共财政拨款基本支出520.54万元。其中：人员经费342.28万元，较上年决算数减少13.49万元，下降3.8%，主要原因是丰都县乡村振兴局2021年人员变动。人员经费用途主要包括基本工资、津贴补贴、绩效工资、奖金、基本医疗保险、机关事业单位基本养老保险、职业年金缴费、住房公积金等。公用经费178.26万元，较上年决算数减少59.41万元，下降25%，主要原因是严格执行财务制度，厉行节约，导致费用下降。公用经费用途主要包括办公费、印刷费、咨询费、维护费、水电费、物管费、邮电费、差旅费、劳务费、租赁费、其他交通费等。</w:t>
      </w:r>
    </w:p>
    <w:p>
      <w:pPr>
        <w:spacing w:line="570" w:lineRule="exact"/>
        <w:ind w:firstLine="542" w:firstLineChars="200"/>
        <w:rPr>
          <w:rStyle w:val="7"/>
          <w:rFonts w:hint="eastAsia" w:ascii="方正楷体_GBK" w:hAnsi="Times New Roman" w:eastAsia="方正楷体_GBK" w:cs="Times New Roman"/>
          <w:b w:val="0"/>
          <w:color w:val="000000"/>
          <w:sz w:val="32"/>
          <w:szCs w:val="32"/>
          <w:lang w:val="en-US" w:eastAsia="zh-CN"/>
        </w:rPr>
      </w:pPr>
      <w:r>
        <w:rPr>
          <w:rStyle w:val="7"/>
          <w:sz w:val="27"/>
          <w:szCs w:val="27"/>
        </w:rPr>
        <w:t xml:space="preserve">  </w:t>
      </w:r>
      <w:r>
        <w:rPr>
          <w:rStyle w:val="7"/>
          <w:rFonts w:hint="eastAsia" w:ascii="楷体" w:hAnsi="楷体" w:eastAsia="楷体" w:cs="Times New Roman"/>
          <w:b w:val="0"/>
          <w:kern w:val="0"/>
          <w:sz w:val="32"/>
          <w:szCs w:val="32"/>
          <w:lang w:val="en-US" w:eastAsia="zh-CN" w:bidi="ar-SA"/>
        </w:rPr>
        <w:t>（五）政府性基金预算收支决算情况说明</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方正楷体_GBK" w:hAnsi="Times New Roman" w:eastAsia="方正楷体_GBK" w:cs="Times New Roman"/>
          <w:b w:val="0"/>
          <w:color w:val="000000"/>
          <w:sz w:val="32"/>
          <w:szCs w:val="32"/>
          <w:lang w:val="en-US" w:eastAsia="zh-CN"/>
        </w:rPr>
        <w:t> </w:t>
      </w:r>
      <w:r>
        <w:rPr>
          <w:rStyle w:val="7"/>
          <w:rFonts w:hint="eastAsia" w:ascii="Times New Roman" w:hAnsi="Times New Roman" w:eastAsia="方正仿宋_GBK" w:cs="Times New Roman"/>
          <w:b w:val="0"/>
          <w:color w:val="000000"/>
          <w:kern w:val="0"/>
          <w:sz w:val="32"/>
          <w:szCs w:val="32"/>
          <w:lang w:val="en-US" w:eastAsia="zh-CN" w:bidi="ar-SA"/>
        </w:rPr>
        <w:t>本部门</w:t>
      </w:r>
      <w:r>
        <w:rPr>
          <w:rStyle w:val="7"/>
          <w:rFonts w:hint="default" w:ascii="Times New Roman" w:hAnsi="Times New Roman" w:eastAsia="方正仿宋_GBK" w:cs="Times New Roman"/>
          <w:b w:val="0"/>
          <w:color w:val="000000"/>
          <w:kern w:val="0"/>
          <w:sz w:val="32"/>
          <w:szCs w:val="32"/>
          <w:lang w:val="en-US" w:eastAsia="zh-CN" w:bidi="ar-SA"/>
        </w:rPr>
        <w:t>2021年度</w:t>
      </w:r>
      <w:r>
        <w:rPr>
          <w:rStyle w:val="7"/>
          <w:rFonts w:hint="eastAsia" w:ascii="Times New Roman" w:hAnsi="Times New Roman" w:eastAsia="方正仿宋_GBK" w:cs="Times New Roman"/>
          <w:b w:val="0"/>
          <w:color w:val="000000"/>
          <w:kern w:val="0"/>
          <w:sz w:val="32"/>
          <w:szCs w:val="32"/>
          <w:lang w:val="en-US" w:eastAsia="zh-CN" w:bidi="ar-SA"/>
        </w:rPr>
        <w:t>无政府性基金预算财政拨款收支。</w:t>
      </w:r>
    </w:p>
    <w:p>
      <w:pPr>
        <w:spacing w:line="570" w:lineRule="exact"/>
        <w:ind w:firstLine="640" w:firstLineChars="200"/>
        <w:rPr>
          <w:rStyle w:val="7"/>
          <w:rFonts w:hint="eastAsia" w:ascii="楷体" w:hAnsi="楷体" w:eastAsia="楷体" w:cs="Times New Roman"/>
          <w:b w:val="0"/>
          <w:kern w:val="0"/>
          <w:sz w:val="32"/>
          <w:szCs w:val="32"/>
          <w:lang w:val="en-US" w:eastAsia="zh-CN" w:bidi="ar-SA"/>
        </w:rPr>
      </w:pPr>
      <w:r>
        <w:rPr>
          <w:rStyle w:val="7"/>
          <w:rFonts w:hint="eastAsia" w:ascii="楷体" w:hAnsi="楷体" w:eastAsia="楷体" w:cs="Times New Roman"/>
          <w:b w:val="0"/>
          <w:kern w:val="0"/>
          <w:sz w:val="32"/>
          <w:szCs w:val="32"/>
          <w:lang w:val="en-US" w:eastAsia="zh-CN" w:bidi="ar-SA"/>
        </w:rPr>
        <w:t>（六）国有资本经营预算财政拨款支出决算情况说明</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本部门</w:t>
      </w:r>
      <w:r>
        <w:rPr>
          <w:rStyle w:val="7"/>
          <w:rFonts w:hint="default" w:ascii="Times New Roman" w:hAnsi="Times New Roman" w:eastAsia="方正仿宋_GBK" w:cs="Times New Roman"/>
          <w:b w:val="0"/>
          <w:color w:val="000000"/>
          <w:kern w:val="0"/>
          <w:sz w:val="32"/>
          <w:szCs w:val="32"/>
          <w:lang w:val="en-US" w:eastAsia="zh-CN" w:bidi="ar-SA"/>
        </w:rPr>
        <w:t>2021</w:t>
      </w:r>
      <w:r>
        <w:rPr>
          <w:rStyle w:val="7"/>
          <w:rFonts w:hint="eastAsia" w:ascii="Times New Roman" w:hAnsi="Times New Roman" w:eastAsia="方正仿宋_GBK" w:cs="Times New Roman"/>
          <w:b w:val="0"/>
          <w:color w:val="000000"/>
          <w:kern w:val="0"/>
          <w:sz w:val="32"/>
          <w:szCs w:val="32"/>
          <w:lang w:val="en-US" w:eastAsia="zh-CN" w:bidi="ar-SA"/>
        </w:rPr>
        <w:t xml:space="preserve">年度无国有资本经营预算财政拨款支出。  </w:t>
      </w:r>
    </w:p>
    <w:p>
      <w:pPr>
        <w:spacing w:line="570" w:lineRule="exact"/>
        <w:ind w:firstLine="640" w:firstLineChars="200"/>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 xml:space="preserve"> 三、“三公”经费情况说明</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 （一）“三公”经费支出总体情况说明</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楷体" w:hAnsi="楷体" w:eastAsia="楷体" w:cs="Times New Roman"/>
          <w:b w:val="0"/>
          <w:kern w:val="0"/>
          <w:sz w:val="32"/>
          <w:szCs w:val="32"/>
          <w:lang w:val="en-US" w:eastAsia="zh-CN" w:bidi="ar-SA"/>
        </w:rPr>
        <w:t> </w:t>
      </w:r>
      <w:r>
        <w:rPr>
          <w:rStyle w:val="7"/>
          <w:rFonts w:hint="eastAsia" w:ascii="Times New Roman" w:hAnsi="Times New Roman" w:eastAsia="方正仿宋_GBK" w:cs="Times New Roman"/>
          <w:b w:val="0"/>
          <w:color w:val="000000"/>
          <w:kern w:val="0"/>
          <w:sz w:val="32"/>
          <w:szCs w:val="32"/>
          <w:lang w:val="en-US" w:eastAsia="zh-CN" w:bidi="ar-SA"/>
        </w:rPr>
        <w:t>2021年度“三公”经费支出共计10.00万元，较年初预算数减少2.85万元，下降22.2%，主要原因是严格按照预算执行不超预算和认真执行财务制度，厉行节约，导致费用下降。较上年支出数减少6.15万元，下降38.1%，主要原因是认真执行财务制度、厉行节约，导致费用下降。</w:t>
      </w:r>
    </w:p>
    <w:p>
      <w:pPr>
        <w:spacing w:line="570" w:lineRule="exact"/>
        <w:ind w:firstLine="640" w:firstLineChars="200"/>
        <w:rPr>
          <w:rStyle w:val="7"/>
          <w:rFonts w:hint="eastAsia" w:ascii="楷体" w:hAnsi="楷体" w:eastAsia="楷体" w:cs="Times New Roman"/>
          <w:b w:val="0"/>
          <w:kern w:val="0"/>
          <w:sz w:val="32"/>
          <w:szCs w:val="32"/>
          <w:lang w:val="en-US" w:eastAsia="zh-CN" w:bidi="ar-SA"/>
        </w:rPr>
      </w:pPr>
      <w:r>
        <w:rPr>
          <w:rStyle w:val="7"/>
          <w:rFonts w:hint="eastAsia" w:ascii="楷体" w:hAnsi="楷体" w:eastAsia="楷体" w:cs="Times New Roman"/>
          <w:b w:val="0"/>
          <w:kern w:val="0"/>
          <w:sz w:val="32"/>
          <w:szCs w:val="32"/>
          <w:lang w:val="en-US" w:eastAsia="zh-CN" w:bidi="ar-SA"/>
        </w:rPr>
        <w:t>（二）“三公”经费分项支出情况。</w:t>
      </w:r>
    </w:p>
    <w:p>
      <w:pPr>
        <w:pStyle w:val="4"/>
        <w:widowControl w:val="0"/>
        <w:spacing w:before="0" w:beforeAutospacing="0" w:after="0" w:afterAutospacing="0" w:line="570" w:lineRule="exact"/>
        <w:ind w:firstLine="640" w:firstLineChars="200"/>
        <w:jc w:val="both"/>
        <w:rPr>
          <w:rFonts w:ascii="Times New Roman" w:hAnsi="Times New Roman" w:eastAsia="方正仿宋_GBK" w:cs="Times New Roman"/>
          <w:b/>
          <w:bCs/>
          <w:color w:val="000000"/>
          <w:sz w:val="32"/>
          <w:szCs w:val="32"/>
        </w:rPr>
      </w:pPr>
      <w:r>
        <w:rPr>
          <w:rStyle w:val="7"/>
          <w:rFonts w:hint="eastAsia" w:ascii="Times New Roman" w:hAnsi="Times New Roman" w:eastAsia="方正仿宋_GBK" w:cs="Times New Roman"/>
          <w:b w:val="0"/>
          <w:color w:val="000000"/>
          <w:kern w:val="0"/>
          <w:sz w:val="32"/>
          <w:szCs w:val="32"/>
          <w:lang w:val="en-US" w:eastAsia="zh-CN" w:bidi="ar-SA"/>
        </w:rPr>
        <w:t> 2021年度</w:t>
      </w:r>
      <w:r>
        <w:rPr>
          <w:rFonts w:hint="eastAsia" w:ascii="Times New Roman" w:hAnsi="Times New Roman" w:eastAsia="方正仿宋_GBK" w:cs="Times New Roman"/>
          <w:bCs/>
          <w:color w:val="000000"/>
          <w:sz w:val="32"/>
          <w:szCs w:val="32"/>
        </w:rPr>
        <w:t>本</w:t>
      </w:r>
      <w:r>
        <w:rPr>
          <w:rFonts w:hint="eastAsia" w:ascii="Times New Roman" w:hAnsi="Times New Roman" w:eastAsia="方正仿宋_GBK" w:cs="Times New Roman"/>
          <w:bCs/>
          <w:color w:val="000000"/>
          <w:sz w:val="32"/>
          <w:szCs w:val="32"/>
          <w:lang w:val="en-US" w:eastAsia="zh-CN"/>
        </w:rPr>
        <w:t>部门因</w:t>
      </w:r>
      <w:r>
        <w:rPr>
          <w:rFonts w:hint="eastAsia" w:ascii="Times New Roman" w:hAnsi="Times New Roman" w:eastAsia="方正仿宋_GBK" w:cs="Times New Roman"/>
          <w:bCs/>
          <w:color w:val="000000"/>
          <w:sz w:val="32"/>
          <w:szCs w:val="32"/>
        </w:rPr>
        <w:t>公出国（境）费用</w:t>
      </w:r>
      <w:r>
        <w:rPr>
          <w:rFonts w:hint="eastAsia" w:ascii="Times New Roman" w:hAnsi="Times New Roman" w:eastAsia="方正仿宋_GBK" w:cs="Times New Roman"/>
          <w:bCs/>
          <w:color w:val="000000"/>
          <w:sz w:val="32"/>
          <w:szCs w:val="32"/>
          <w:lang w:val="en-US" w:eastAsia="zh-CN"/>
        </w:rPr>
        <w:t>0.00万元，与</w:t>
      </w:r>
      <w:r>
        <w:rPr>
          <w:rStyle w:val="7"/>
          <w:rFonts w:hint="eastAsia" w:ascii="Times New Roman" w:hAnsi="Times New Roman" w:eastAsia="方正仿宋_GBK" w:cs="Times New Roman"/>
          <w:b w:val="0"/>
          <w:color w:val="000000"/>
          <w:kern w:val="0"/>
          <w:sz w:val="32"/>
          <w:szCs w:val="32"/>
          <w:lang w:val="en-US" w:eastAsia="zh-CN" w:bidi="ar-SA"/>
        </w:rPr>
        <w:t>年初预算数及</w:t>
      </w:r>
      <w:r>
        <w:rPr>
          <w:rFonts w:hint="eastAsia" w:ascii="Times New Roman" w:hAnsi="Times New Roman" w:eastAsia="方正仿宋_GBK" w:cs="Times New Roman"/>
          <w:bCs/>
          <w:color w:val="000000"/>
          <w:sz w:val="32"/>
          <w:szCs w:val="32"/>
          <w:lang w:val="en-US" w:eastAsia="zh-CN"/>
        </w:rPr>
        <w:t>上年支出数持平</w:t>
      </w:r>
      <w:r>
        <w:rPr>
          <w:rFonts w:hint="eastAsia" w:ascii="Times New Roman" w:hAnsi="Times New Roman" w:eastAsia="方正仿宋_GBK" w:cs="Times New Roman"/>
          <w:bCs/>
          <w:color w:val="000000"/>
          <w:sz w:val="32"/>
          <w:szCs w:val="32"/>
        </w:rPr>
        <w:t>。</w:t>
      </w:r>
    </w:p>
    <w:p>
      <w:pPr>
        <w:pStyle w:val="4"/>
        <w:widowControl w:val="0"/>
        <w:spacing w:before="0" w:beforeAutospacing="0" w:after="0" w:afterAutospacing="0" w:line="570" w:lineRule="exact"/>
        <w:ind w:firstLine="640" w:firstLineChars="200"/>
        <w:jc w:val="both"/>
        <w:rPr>
          <w:rFonts w:ascii="Times New Roman" w:hAnsi="Times New Roman" w:eastAsia="方正仿宋_GBK" w:cs="Times New Roman"/>
          <w:bCs/>
          <w:color w:val="000000"/>
          <w:sz w:val="32"/>
          <w:szCs w:val="32"/>
        </w:rPr>
      </w:pPr>
      <w:r>
        <w:rPr>
          <w:rStyle w:val="7"/>
          <w:rFonts w:hint="eastAsia" w:ascii="Times New Roman" w:hAnsi="Times New Roman" w:eastAsia="方正仿宋_GBK" w:cs="Times New Roman"/>
          <w:b w:val="0"/>
          <w:color w:val="000000"/>
          <w:kern w:val="0"/>
          <w:sz w:val="32"/>
          <w:szCs w:val="32"/>
          <w:lang w:val="en-US" w:eastAsia="zh-CN" w:bidi="ar-SA"/>
        </w:rPr>
        <w:t>2021年度</w:t>
      </w:r>
      <w:r>
        <w:rPr>
          <w:rFonts w:hint="eastAsia" w:ascii="Times New Roman" w:hAnsi="Times New Roman" w:eastAsia="方正仿宋_GBK" w:cs="Times New Roman"/>
          <w:bCs/>
          <w:color w:val="000000"/>
          <w:sz w:val="32"/>
          <w:szCs w:val="32"/>
        </w:rPr>
        <w:t>本</w:t>
      </w:r>
      <w:r>
        <w:rPr>
          <w:rFonts w:hint="eastAsia" w:ascii="Times New Roman" w:hAnsi="Times New Roman" w:eastAsia="方正仿宋_GBK" w:cs="Times New Roman"/>
          <w:bCs/>
          <w:color w:val="000000"/>
          <w:sz w:val="32"/>
          <w:szCs w:val="32"/>
          <w:lang w:val="en-US" w:eastAsia="zh-CN"/>
        </w:rPr>
        <w:t>部门</w:t>
      </w:r>
      <w:r>
        <w:rPr>
          <w:rFonts w:hint="eastAsia" w:ascii="Times New Roman" w:hAnsi="Times New Roman" w:eastAsia="方正仿宋_GBK" w:cs="Times New Roman"/>
          <w:bCs/>
          <w:color w:val="000000"/>
          <w:sz w:val="32"/>
          <w:szCs w:val="32"/>
        </w:rPr>
        <w:t>公务车购置费用</w:t>
      </w:r>
      <w:r>
        <w:rPr>
          <w:rFonts w:hint="eastAsia" w:ascii="Times New Roman" w:hAnsi="Times New Roman" w:eastAsia="方正仿宋_GBK" w:cs="Times New Roman"/>
          <w:bCs/>
          <w:color w:val="000000"/>
          <w:sz w:val="32"/>
          <w:szCs w:val="32"/>
          <w:lang w:val="en-US" w:eastAsia="zh-CN"/>
        </w:rPr>
        <w:t>0.00万元，与</w:t>
      </w:r>
      <w:r>
        <w:rPr>
          <w:rStyle w:val="7"/>
          <w:rFonts w:hint="eastAsia" w:ascii="Times New Roman" w:hAnsi="Times New Roman" w:eastAsia="方正仿宋_GBK" w:cs="Times New Roman"/>
          <w:b w:val="0"/>
          <w:color w:val="000000"/>
          <w:kern w:val="0"/>
          <w:sz w:val="32"/>
          <w:szCs w:val="32"/>
          <w:lang w:val="en-US" w:eastAsia="zh-CN" w:bidi="ar-SA"/>
        </w:rPr>
        <w:t>年初预算数及</w:t>
      </w:r>
      <w:r>
        <w:rPr>
          <w:rFonts w:hint="eastAsia" w:ascii="Times New Roman" w:hAnsi="Times New Roman" w:eastAsia="方正仿宋_GBK" w:cs="Times New Roman"/>
          <w:bCs/>
          <w:color w:val="000000"/>
          <w:sz w:val="32"/>
          <w:szCs w:val="32"/>
          <w:lang w:val="en-US" w:eastAsia="zh-CN"/>
        </w:rPr>
        <w:t>上年支出数持平</w:t>
      </w:r>
      <w:r>
        <w:rPr>
          <w:rFonts w:hint="eastAsia" w:ascii="Times New Roman" w:hAnsi="Times New Roman" w:eastAsia="方正仿宋_GBK" w:cs="Times New Roman"/>
          <w:bCs/>
          <w:color w:val="000000"/>
          <w:sz w:val="32"/>
          <w:szCs w:val="32"/>
        </w:rPr>
        <w:t>。</w:t>
      </w:r>
    </w:p>
    <w:p>
      <w:pPr>
        <w:pStyle w:val="4"/>
        <w:widowControl w:val="0"/>
        <w:spacing w:before="0" w:beforeAutospacing="0" w:after="0" w:afterAutospacing="0" w:line="570" w:lineRule="exact"/>
        <w:ind w:firstLine="640" w:firstLineChars="200"/>
        <w:jc w:val="both"/>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 2021年度本部门公务车运行维护费0.00万元，</w:t>
      </w:r>
      <w:r>
        <w:rPr>
          <w:rFonts w:hint="eastAsia" w:ascii="Times New Roman" w:hAnsi="Times New Roman" w:eastAsia="方正仿宋_GBK" w:cs="Times New Roman"/>
          <w:bCs/>
          <w:color w:val="000000"/>
          <w:sz w:val="32"/>
          <w:szCs w:val="32"/>
          <w:lang w:val="en-US" w:eastAsia="zh-CN"/>
        </w:rPr>
        <w:t>与</w:t>
      </w:r>
      <w:r>
        <w:rPr>
          <w:rStyle w:val="7"/>
          <w:rFonts w:hint="eastAsia" w:ascii="Times New Roman" w:hAnsi="Times New Roman" w:eastAsia="方正仿宋_GBK" w:cs="Times New Roman"/>
          <w:b w:val="0"/>
          <w:color w:val="000000"/>
          <w:kern w:val="0"/>
          <w:sz w:val="32"/>
          <w:szCs w:val="32"/>
          <w:lang w:val="en-US" w:eastAsia="zh-CN" w:bidi="ar-SA"/>
        </w:rPr>
        <w:t>年初预算数</w:t>
      </w:r>
      <w:r>
        <w:rPr>
          <w:rFonts w:hint="eastAsia" w:ascii="Times New Roman" w:hAnsi="Times New Roman" w:eastAsia="方正仿宋_GBK" w:cs="Times New Roman"/>
          <w:bCs/>
          <w:color w:val="000000"/>
          <w:sz w:val="32"/>
          <w:szCs w:val="32"/>
          <w:lang w:val="en-US" w:eastAsia="zh-CN"/>
        </w:rPr>
        <w:t>持平</w:t>
      </w:r>
      <w:r>
        <w:rPr>
          <w:rStyle w:val="7"/>
          <w:rFonts w:hint="eastAsia" w:ascii="Times New Roman" w:hAnsi="Times New Roman" w:eastAsia="方正仿宋_GBK" w:cs="Times New Roman"/>
          <w:b w:val="0"/>
          <w:color w:val="000000"/>
          <w:kern w:val="0"/>
          <w:sz w:val="32"/>
          <w:szCs w:val="32"/>
          <w:lang w:val="en-US" w:eastAsia="zh-CN" w:bidi="ar-SA"/>
        </w:rPr>
        <w:t>。较上年支出数减少1.20万元，下降100%，主要原因是丰都县扶贫开发培训中心</w:t>
      </w:r>
      <w:r>
        <w:rPr>
          <w:rFonts w:hint="eastAsia" w:ascii="Times New Roman" w:hAnsi="Times New Roman" w:eastAsia="方正仿宋_GBK" w:cs="Times New Roman"/>
          <w:color w:val="000000"/>
          <w:sz w:val="32"/>
          <w:szCs w:val="32"/>
        </w:rPr>
        <w:t>公车改革导致单位无车辆，减少相关费用</w:t>
      </w:r>
      <w:r>
        <w:rPr>
          <w:rStyle w:val="7"/>
          <w:rFonts w:hint="eastAsia" w:ascii="Times New Roman" w:hAnsi="Times New Roman" w:eastAsia="方正仿宋_GBK" w:cs="Times New Roman"/>
          <w:b w:val="0"/>
          <w:color w:val="000000"/>
          <w:kern w:val="0"/>
          <w:sz w:val="32"/>
          <w:szCs w:val="32"/>
          <w:lang w:val="en-US" w:eastAsia="zh-CN" w:bidi="ar-SA"/>
        </w:rPr>
        <w:t>。</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  2021年度本部门公务接待费10.00万元，主要用于接待开展</w:t>
      </w:r>
      <w:r>
        <w:rPr>
          <w:rFonts w:hint="eastAsia" w:ascii="Times New Roman" w:hAnsi="Times New Roman" w:eastAsia="方正仿宋_GBK" w:cs="Times New Roman"/>
          <w:bCs/>
          <w:color w:val="000000"/>
          <w:sz w:val="32"/>
          <w:szCs w:val="32"/>
          <w:lang w:val="en-US" w:eastAsia="zh-CN"/>
        </w:rPr>
        <w:t>巩固拓展脱贫攻坚成果同乡村振兴有效衔接工作考核评估和督导检查、</w:t>
      </w:r>
      <w:r>
        <w:rPr>
          <w:rFonts w:hint="eastAsia" w:ascii="Times New Roman" w:hAnsi="Times New Roman" w:eastAsia="方正仿宋_GBK" w:cs="Times New Roman"/>
          <w:bCs/>
          <w:color w:val="000000"/>
          <w:sz w:val="32"/>
          <w:szCs w:val="32"/>
        </w:rPr>
        <w:t>项目跟踪检查、资金绩效考核、县外来考察学习等工作。</w:t>
      </w:r>
      <w:r>
        <w:rPr>
          <w:rStyle w:val="7"/>
          <w:rFonts w:hint="eastAsia" w:ascii="Times New Roman" w:hAnsi="Times New Roman" w:eastAsia="方正仿宋_GBK" w:cs="Times New Roman"/>
          <w:b w:val="0"/>
          <w:color w:val="000000"/>
          <w:kern w:val="0"/>
          <w:sz w:val="32"/>
          <w:szCs w:val="32"/>
          <w:lang w:val="en-US" w:eastAsia="zh-CN" w:bidi="ar-SA"/>
        </w:rPr>
        <w:t>费用支出较年初预算数减少2.85万元，下降22.2%，主要原因是严格按照预算执行不超预算和认真执行财务制度、厉行节约，导致费用下降。较上年支出数减少4.95万元，下降33.1%，主要原因是严格按照预算执行不超预算和认真执行财务制度、厉行节约，导致费用下降。</w:t>
      </w:r>
    </w:p>
    <w:p>
      <w:pPr>
        <w:pStyle w:val="4"/>
        <w:widowControl w:val="0"/>
        <w:spacing w:before="0" w:beforeAutospacing="0" w:after="0" w:afterAutospacing="0" w:line="570" w:lineRule="exact"/>
        <w:ind w:firstLine="640" w:firstLineChars="200"/>
        <w:jc w:val="both"/>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（三）“三公”经费实物量情况</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  2021年度本部门因公出国（境）共计0个团组，0人；公务用车购置0辆，公务车保有量为0辆；国内公务接待125批次1,001人，其中：国内外事接待0批次，0人；国（境）外公务接待0批次，0人。2021年本部门人均接待费99.93元，车均购置费0.00万元，车均维护费0.00万元。</w:t>
      </w:r>
    </w:p>
    <w:p>
      <w:pPr>
        <w:spacing w:line="570" w:lineRule="exact"/>
        <w:ind w:firstLine="640" w:firstLineChars="200"/>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 xml:space="preserve"> 四、其他需要说明的事项</w:t>
      </w:r>
    </w:p>
    <w:p>
      <w:pPr>
        <w:pStyle w:val="4"/>
        <w:widowControl w:val="0"/>
        <w:spacing w:before="0" w:beforeAutospacing="0" w:after="0" w:afterAutospacing="0" w:line="570" w:lineRule="exact"/>
        <w:ind w:firstLine="640" w:firstLineChars="200"/>
        <w:jc w:val="both"/>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 （一）一般公共预算财政拨款会议费和培训费情况说明</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 2021年度本部门会议费支出20.96万元，较上年决算数增加6.64万元，增长46.4%，主要原因是</w:t>
      </w:r>
      <w:r>
        <w:rPr>
          <w:rFonts w:hint="eastAsia" w:ascii="Times New Roman" w:hAnsi="Times New Roman" w:eastAsia="方正仿宋_GBK" w:cs="Times New Roman"/>
          <w:bCs/>
          <w:color w:val="000000"/>
          <w:sz w:val="32"/>
          <w:szCs w:val="32"/>
          <w:lang w:val="en-US" w:eastAsia="zh-CN"/>
        </w:rPr>
        <w:t>巩固拓展脱贫攻坚成果同乡村振兴有效衔接工作内容增加（新增扶贫资产管理、乡村治理、乡村建设等），导致会议费增加</w:t>
      </w:r>
      <w:r>
        <w:rPr>
          <w:rStyle w:val="7"/>
          <w:rFonts w:hint="eastAsia" w:ascii="Times New Roman" w:hAnsi="Times New Roman" w:eastAsia="方正仿宋_GBK" w:cs="Times New Roman"/>
          <w:b w:val="0"/>
          <w:color w:val="000000"/>
          <w:kern w:val="0"/>
          <w:sz w:val="32"/>
          <w:szCs w:val="32"/>
          <w:lang w:val="en-US" w:eastAsia="zh-CN" w:bidi="ar-SA"/>
        </w:rPr>
        <w:t>。</w:t>
      </w:r>
    </w:p>
    <w:p>
      <w:pPr>
        <w:pStyle w:val="4"/>
        <w:widowControl w:val="0"/>
        <w:spacing w:before="0" w:beforeAutospacing="0" w:after="0" w:afterAutospacing="0" w:line="570" w:lineRule="exact"/>
        <w:ind w:firstLine="640" w:firstLineChars="200"/>
        <w:jc w:val="both"/>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2021年度本部门培训费支出105.24万元，较上年决算数增加44.11万元，增长72.2%，主要原因是开展就业创业技能培训，驻乡驻村工作队第一书记和工作队员培训、乡村振兴干部培训等培训，导致费用增加。</w:t>
      </w:r>
    </w:p>
    <w:p>
      <w:pPr>
        <w:pStyle w:val="4"/>
        <w:widowControl w:val="0"/>
        <w:spacing w:before="0" w:beforeAutospacing="0" w:after="0" w:afterAutospacing="0" w:line="570" w:lineRule="exact"/>
        <w:ind w:firstLine="640" w:firstLineChars="200"/>
        <w:jc w:val="both"/>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  （二）机关运行经费情况说明</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  2021年度本部门机关运行经费支出167.52万元，机关运行经费主要用于</w:t>
      </w:r>
      <w:r>
        <w:rPr>
          <w:rFonts w:hint="eastAsia" w:ascii="Times New Roman" w:hAnsi="Times New Roman" w:eastAsia="方正仿宋_GBK" w:cs="Times New Roman"/>
          <w:bCs/>
          <w:color w:val="000000"/>
          <w:sz w:val="32"/>
          <w:szCs w:val="32"/>
          <w:lang w:val="en-US" w:eastAsia="zh-CN"/>
        </w:rPr>
        <w:t>本部门</w:t>
      </w:r>
      <w:r>
        <w:rPr>
          <w:rFonts w:hint="eastAsia" w:ascii="Times New Roman" w:hAnsi="Times New Roman" w:eastAsia="方正仿宋_GBK" w:cs="Times New Roman"/>
          <w:bCs/>
          <w:color w:val="000000"/>
          <w:sz w:val="32"/>
          <w:szCs w:val="32"/>
        </w:rPr>
        <w:t>日常正常运转费用</w:t>
      </w:r>
      <w:r>
        <w:rPr>
          <w:rFonts w:hint="eastAsia" w:ascii="Times New Roman" w:hAnsi="Times New Roman" w:eastAsia="方正仿宋_GBK" w:cs="Times New Roman"/>
          <w:bCs/>
          <w:color w:val="000000"/>
          <w:sz w:val="32"/>
          <w:szCs w:val="32"/>
          <w:lang w:val="en-US" w:eastAsia="zh-CN"/>
        </w:rPr>
        <w:t>和巩固拓展脱贫攻坚成果同乡村振兴有效衔接</w:t>
      </w:r>
      <w:r>
        <w:rPr>
          <w:rFonts w:hint="eastAsia" w:ascii="Times New Roman" w:hAnsi="Times New Roman" w:eastAsia="方正仿宋_GBK" w:cs="Times New Roman"/>
          <w:bCs/>
          <w:color w:val="000000"/>
          <w:sz w:val="32"/>
          <w:szCs w:val="32"/>
        </w:rPr>
        <w:t>工作需要，开支办公费、印刷费、水电费、</w:t>
      </w:r>
      <w:r>
        <w:rPr>
          <w:rFonts w:hint="eastAsia" w:ascii="Times New Roman" w:hAnsi="Times New Roman" w:eastAsia="方正仿宋_GBK" w:cs="Times New Roman"/>
          <w:bCs/>
          <w:color w:val="000000"/>
          <w:sz w:val="32"/>
          <w:szCs w:val="32"/>
          <w:lang w:val="en-US" w:eastAsia="zh-CN"/>
        </w:rPr>
        <w:t>咨询费、</w:t>
      </w:r>
      <w:r>
        <w:rPr>
          <w:rFonts w:hint="eastAsia" w:ascii="Times New Roman" w:hAnsi="Times New Roman" w:eastAsia="方正仿宋_GBK" w:cs="Times New Roman"/>
          <w:bCs/>
          <w:color w:val="000000"/>
          <w:sz w:val="32"/>
          <w:szCs w:val="32"/>
        </w:rPr>
        <w:t>差旅费、劳务费、其他交通费、办公设备购置等费用</w:t>
      </w:r>
      <w:r>
        <w:rPr>
          <w:rStyle w:val="7"/>
          <w:rFonts w:hint="eastAsia" w:ascii="Times New Roman" w:hAnsi="Times New Roman" w:eastAsia="方正仿宋_GBK" w:cs="Times New Roman"/>
          <w:b w:val="0"/>
          <w:color w:val="000000"/>
          <w:kern w:val="0"/>
          <w:sz w:val="32"/>
          <w:szCs w:val="32"/>
          <w:lang w:val="en-US" w:eastAsia="zh-CN" w:bidi="ar-SA"/>
        </w:rPr>
        <w:t>。机关运行经费较上年决算数减少56.82万元，下降25.3%，主要原因是认真执行财务制度、厉行节约，导致费用下降。</w:t>
      </w:r>
    </w:p>
    <w:p>
      <w:pPr>
        <w:pStyle w:val="4"/>
        <w:widowControl w:val="0"/>
        <w:spacing w:before="0" w:beforeAutospacing="0" w:after="0" w:afterAutospacing="0" w:line="570" w:lineRule="exact"/>
        <w:ind w:firstLine="640" w:firstLineChars="200"/>
        <w:jc w:val="both"/>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  （三）国有资产占用情况说明</w:t>
      </w:r>
    </w:p>
    <w:p>
      <w:pPr>
        <w:pStyle w:val="4"/>
        <w:widowControl w:val="0"/>
        <w:spacing w:before="0" w:beforeAutospacing="0" w:after="0" w:afterAutospacing="0" w:line="570" w:lineRule="exact"/>
        <w:ind w:firstLine="640" w:firstLineChars="200"/>
        <w:jc w:val="both"/>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  截至2021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pStyle w:val="4"/>
        <w:widowControl w:val="0"/>
        <w:spacing w:before="0" w:beforeAutospacing="0" w:after="0" w:afterAutospacing="0" w:line="570" w:lineRule="exact"/>
        <w:ind w:firstLine="640" w:firstLineChars="200"/>
        <w:jc w:val="both"/>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 （四）政府采购支出情况说明</w:t>
      </w:r>
    </w:p>
    <w:p>
      <w:pPr>
        <w:spacing w:line="570" w:lineRule="exact"/>
        <w:ind w:firstLine="640" w:firstLineChars="200"/>
        <w:rPr>
          <w:rFonts w:hint="eastAsia" w:ascii="Times New Roman" w:hAnsi="Times New Roman" w:eastAsia="方正仿宋_GBK" w:cs="Times New Roman"/>
          <w:bCs/>
          <w:color w:val="000000"/>
          <w:sz w:val="32"/>
          <w:szCs w:val="32"/>
          <w:lang w:val="en-US" w:eastAsia="zh-CN"/>
        </w:rPr>
      </w:pPr>
      <w:r>
        <w:rPr>
          <w:rStyle w:val="7"/>
          <w:rFonts w:hint="eastAsia" w:ascii="Times New Roman" w:hAnsi="Times New Roman" w:eastAsia="方正仿宋_GBK" w:cs="Times New Roman"/>
          <w:b w:val="0"/>
          <w:color w:val="000000"/>
          <w:kern w:val="0"/>
          <w:sz w:val="32"/>
          <w:szCs w:val="32"/>
          <w:lang w:val="en-US" w:eastAsia="zh-CN" w:bidi="ar-SA"/>
        </w:rPr>
        <w:t>  2021年度本部门政府采购支出总额1,331.94万元，其中：政府采购服务支出1,331.94万元。授予中小企业合同金额29.77万元，占政府采购支出总额的2.2%，其中：授予小微企业合同金额29.77万元，占政府采购支出总额的2.2%。</w:t>
      </w:r>
      <w:r>
        <w:rPr>
          <w:rFonts w:hint="eastAsia" w:ascii="Times New Roman" w:hAnsi="Times New Roman" w:eastAsia="方正仿宋_GBK" w:cs="Times New Roman"/>
          <w:bCs/>
          <w:color w:val="000000"/>
          <w:sz w:val="32"/>
          <w:szCs w:val="32"/>
          <w:lang w:val="en-US" w:eastAsia="zh-CN"/>
        </w:rPr>
        <w:t>主要用于采购巩固脱贫保942.18万元、农村居民综合防贫保险360万元、非贫困村致富带头人培训29.76万元。</w:t>
      </w:r>
    </w:p>
    <w:p>
      <w:pPr>
        <w:pStyle w:val="4"/>
        <w:widowControl w:val="0"/>
        <w:spacing w:before="0" w:beforeAutospacing="0" w:after="0" w:afterAutospacing="0" w:line="570" w:lineRule="exact"/>
        <w:ind w:firstLine="640" w:firstLineChars="200"/>
        <w:jc w:val="both"/>
        <w:rPr>
          <w:rStyle w:val="7"/>
          <w:rFonts w:hint="eastAsia" w:ascii="Times New Roman" w:hAnsi="Times New Roman" w:cs="Times New Roman"/>
          <w:sz w:val="27"/>
          <w:szCs w:val="27"/>
          <w:lang w:val="en-US" w:eastAsia="zh-CN"/>
        </w:rPr>
      </w:pPr>
      <w:r>
        <w:rPr>
          <w:rFonts w:hint="eastAsia" w:ascii="黑体" w:hAnsi="黑体" w:eastAsia="黑体" w:cs="仿宋_GB2312"/>
          <w:sz w:val="32"/>
          <w:szCs w:val="32"/>
          <w:lang w:val="en-US" w:eastAsia="zh-CN"/>
        </w:rPr>
        <w:t> </w:t>
      </w:r>
      <w:r>
        <w:rPr>
          <w:rStyle w:val="7"/>
          <w:rFonts w:hint="eastAsia" w:ascii="Times New Roman" w:hAnsi="Times New Roman" w:cs="Times New Roman"/>
          <w:sz w:val="27"/>
          <w:szCs w:val="27"/>
          <w:lang w:val="en-US" w:eastAsia="zh-CN"/>
        </w:rPr>
        <w:t xml:space="preserve"> 五、预算绩效管理情况说明</w:t>
      </w:r>
    </w:p>
    <w:p>
      <w:pPr>
        <w:pStyle w:val="4"/>
        <w:widowControl w:val="0"/>
        <w:spacing w:before="0" w:beforeAutospacing="0" w:after="0" w:afterAutospacing="0" w:line="570" w:lineRule="exact"/>
        <w:ind w:firstLine="542" w:firstLineChars="200"/>
        <w:jc w:val="both"/>
        <w:rPr>
          <w:rStyle w:val="7"/>
          <w:rFonts w:ascii="Times New Roman" w:hAnsi="Times New Roman" w:cs="Times New Roman"/>
          <w:sz w:val="27"/>
          <w:szCs w:val="27"/>
        </w:rPr>
      </w:pPr>
      <w:r>
        <w:rPr>
          <w:rStyle w:val="7"/>
          <w:rFonts w:ascii="Times New Roman" w:hAnsi="Times New Roman" w:cs="Times New Roman"/>
          <w:sz w:val="27"/>
          <w:szCs w:val="27"/>
        </w:rPr>
        <w:t> </w:t>
      </w:r>
      <w:r>
        <w:rPr>
          <w:rStyle w:val="7"/>
          <w:rFonts w:hint="eastAsia" w:ascii="Times New Roman" w:hAnsi="Times New Roman" w:eastAsia="方正仿宋_GBK" w:cs="Times New Roman"/>
          <w:b w:val="0"/>
          <w:color w:val="000000"/>
          <w:kern w:val="0"/>
          <w:sz w:val="32"/>
          <w:szCs w:val="32"/>
          <w:lang w:val="en-US" w:eastAsia="zh-CN" w:bidi="ar-SA"/>
        </w:rPr>
        <w:t>（一）预算绩效管理工作开展情况</w:t>
      </w:r>
    </w:p>
    <w:p>
      <w:pPr>
        <w:pStyle w:val="4"/>
        <w:widowControl w:val="0"/>
        <w:spacing w:before="0" w:beforeAutospacing="0" w:after="0" w:afterAutospacing="0" w:line="570" w:lineRule="exact"/>
        <w:ind w:firstLine="640" w:firstLineChars="200"/>
        <w:jc w:val="both"/>
        <w:rPr>
          <w:rFonts w:hint="default" w:ascii="Times New Roman" w:hAnsi="Times New Roman" w:eastAsia="方正仿宋_GBK" w:cs="Times New Roman"/>
          <w:color w:val="000000"/>
          <w:sz w:val="32"/>
          <w:szCs w:val="32"/>
          <w:lang w:val="en-US" w:eastAsia="zh-CN"/>
        </w:rPr>
      </w:pPr>
      <w:r>
        <w:rPr>
          <w:rStyle w:val="7"/>
          <w:rFonts w:hint="eastAsia" w:ascii="Times New Roman" w:hAnsi="Times New Roman" w:eastAsia="方正仿宋_GBK" w:cs="Times New Roman"/>
          <w:b w:val="0"/>
          <w:color w:val="000000"/>
          <w:kern w:val="0"/>
          <w:sz w:val="32"/>
          <w:szCs w:val="32"/>
          <w:lang w:val="en-US" w:eastAsia="zh-CN" w:bidi="ar-SA"/>
        </w:rPr>
        <w:t>根据预算绩效管理要求，本部门对部门整体和</w:t>
      </w:r>
      <w:r>
        <w:rPr>
          <w:rFonts w:hint="eastAsia" w:ascii="Times New Roman" w:hAnsi="Times New Roman" w:eastAsia="方正仿宋_GBK" w:cs="Times New Roman"/>
          <w:color w:val="000000"/>
          <w:sz w:val="32"/>
          <w:szCs w:val="32"/>
          <w:lang w:val="en-US" w:eastAsia="zh-CN"/>
        </w:rPr>
        <w:t>14</w:t>
      </w:r>
      <w:r>
        <w:rPr>
          <w:rFonts w:hint="eastAsia" w:ascii="Times New Roman" w:hAnsi="Times New Roman" w:eastAsia="方正仿宋_GBK" w:cs="Times New Roman"/>
          <w:color w:val="000000"/>
          <w:sz w:val="32"/>
          <w:szCs w:val="32"/>
        </w:rPr>
        <w:t>个项目</w:t>
      </w:r>
      <w:r>
        <w:rPr>
          <w:rStyle w:val="7"/>
          <w:rFonts w:hint="eastAsia" w:ascii="Times New Roman" w:hAnsi="Times New Roman" w:eastAsia="方正仿宋_GBK" w:cs="Times New Roman"/>
          <w:b w:val="0"/>
          <w:color w:val="000000"/>
          <w:kern w:val="0"/>
          <w:sz w:val="32"/>
          <w:szCs w:val="32"/>
          <w:lang w:val="en-US" w:eastAsia="zh-CN" w:bidi="ar-SA"/>
        </w:rPr>
        <w:t>开展了绩效自评，其中，以填报自评表形式开展自评14项，涉及资金</w:t>
      </w:r>
      <w:r>
        <w:rPr>
          <w:rFonts w:hint="eastAsia" w:eastAsia="方正仿宋_GBK"/>
          <w:sz w:val="32"/>
          <w:szCs w:val="32"/>
        </w:rPr>
        <w:t>4368.3</w:t>
      </w:r>
      <w:r>
        <w:rPr>
          <w:rFonts w:hint="eastAsia" w:eastAsia="方正仿宋_GBK"/>
          <w:sz w:val="32"/>
          <w:szCs w:val="32"/>
          <w:lang w:val="en-US" w:eastAsia="zh-CN"/>
        </w:rPr>
        <w:t>6</w:t>
      </w:r>
      <w:r>
        <w:rPr>
          <w:rStyle w:val="7"/>
          <w:rFonts w:hint="eastAsia" w:ascii="Times New Roman" w:hAnsi="Times New Roman" w:eastAsia="方正仿宋_GBK" w:cs="Times New Roman"/>
          <w:b w:val="0"/>
          <w:color w:val="000000"/>
          <w:kern w:val="0"/>
          <w:sz w:val="32"/>
          <w:szCs w:val="32"/>
          <w:lang w:val="en-US" w:eastAsia="zh-CN" w:bidi="ar-SA"/>
        </w:rPr>
        <w:t>万元。</w:t>
      </w:r>
      <w:r>
        <w:rPr>
          <w:rFonts w:hint="eastAsia" w:ascii="Times New Roman" w:hAnsi="Times New Roman" w:eastAsia="方正仿宋_GBK" w:cs="Times New Roman"/>
          <w:color w:val="000000"/>
          <w:sz w:val="32"/>
          <w:szCs w:val="32"/>
        </w:rPr>
        <w:t>从评价情况来看，项目立项</w:t>
      </w:r>
      <w:r>
        <w:rPr>
          <w:rFonts w:hint="eastAsia" w:ascii="Times New Roman" w:hAnsi="Times New Roman" w:eastAsia="方正仿宋_GBK" w:cs="Times New Roman"/>
          <w:color w:val="000000"/>
          <w:sz w:val="32"/>
          <w:szCs w:val="32"/>
          <w:lang w:val="en-US" w:eastAsia="zh-CN"/>
        </w:rPr>
        <w:t>较为</w:t>
      </w:r>
      <w:r>
        <w:rPr>
          <w:rFonts w:hint="eastAsia" w:ascii="Times New Roman" w:hAnsi="Times New Roman" w:eastAsia="方正仿宋_GBK" w:cs="Times New Roman"/>
          <w:color w:val="000000"/>
          <w:sz w:val="32"/>
          <w:szCs w:val="32"/>
        </w:rPr>
        <w:t>规范，绩效目标明确，预算编制合理，</w:t>
      </w:r>
      <w:r>
        <w:rPr>
          <w:rFonts w:hint="eastAsia" w:ascii="Times New Roman" w:hAnsi="Times New Roman" w:eastAsia="方正仿宋_GBK" w:cs="Times New Roman"/>
          <w:color w:val="000000"/>
          <w:sz w:val="32"/>
          <w:szCs w:val="32"/>
          <w:lang w:val="en-US" w:eastAsia="zh-CN"/>
        </w:rPr>
        <w:t>管理科学规范</w:t>
      </w:r>
      <w:r>
        <w:rPr>
          <w:rFonts w:hint="eastAsia" w:ascii="Times New Roman" w:hAnsi="Times New Roman" w:eastAsia="方正仿宋_GBK" w:cs="Times New Roman"/>
          <w:color w:val="000000"/>
          <w:sz w:val="32"/>
          <w:szCs w:val="32"/>
        </w:rPr>
        <w:t>，资金到位及时，</w:t>
      </w:r>
      <w:r>
        <w:rPr>
          <w:rFonts w:hint="eastAsia" w:ascii="Times New Roman" w:hAnsi="Times New Roman" w:eastAsia="方正仿宋_GBK" w:cs="Times New Roman"/>
          <w:color w:val="000000"/>
          <w:sz w:val="32"/>
          <w:szCs w:val="32"/>
          <w:lang w:val="en-US" w:eastAsia="zh-CN"/>
        </w:rPr>
        <w:t>总体完成情况较好，</w:t>
      </w:r>
      <w:r>
        <w:rPr>
          <w:rFonts w:hint="eastAsia" w:ascii="Times New Roman" w:hAnsi="Times New Roman" w:eastAsia="方正仿宋_GBK" w:cs="Times New Roman"/>
          <w:color w:val="000000"/>
          <w:sz w:val="32"/>
          <w:szCs w:val="32"/>
        </w:rPr>
        <w:t>项目</w:t>
      </w:r>
      <w:r>
        <w:rPr>
          <w:rFonts w:hint="eastAsia" w:ascii="Times New Roman" w:hAnsi="Times New Roman" w:eastAsia="方正仿宋_GBK" w:cs="Times New Roman"/>
          <w:color w:val="000000"/>
          <w:sz w:val="32"/>
          <w:szCs w:val="32"/>
          <w:lang w:val="en-US" w:eastAsia="zh-CN"/>
        </w:rPr>
        <w:t>基本达到了预期绩效目标。</w:t>
      </w:r>
    </w:p>
    <w:p>
      <w:pPr>
        <w:pStyle w:val="4"/>
        <w:widowControl w:val="0"/>
        <w:spacing w:before="0" w:beforeAutospacing="0" w:after="0" w:afterAutospacing="0" w:line="570" w:lineRule="exact"/>
        <w:ind w:firstLine="640" w:firstLineChars="200"/>
        <w:jc w:val="both"/>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（二）绩效自评结果</w:t>
      </w:r>
    </w:p>
    <w:p>
      <w:pPr>
        <w:pStyle w:val="4"/>
        <w:widowControl w:val="0"/>
        <w:spacing w:before="0" w:beforeAutospacing="0" w:after="0" w:afterAutospacing="0" w:line="570" w:lineRule="exact"/>
        <w:ind w:firstLine="542" w:firstLineChars="200"/>
        <w:jc w:val="both"/>
        <w:rPr>
          <w:rStyle w:val="7"/>
          <w:rFonts w:hint="default" w:ascii="Times New Roman" w:hAnsi="Times New Roman" w:eastAsia="方正楷体_GBK" w:cs="Times New Roman"/>
          <w:b w:val="0"/>
          <w:color w:val="000000"/>
          <w:kern w:val="0"/>
          <w:sz w:val="32"/>
          <w:szCs w:val="32"/>
          <w:lang w:val="en-US" w:eastAsia="zh-CN" w:bidi="ar-SA"/>
        </w:rPr>
      </w:pPr>
      <w:r>
        <w:rPr>
          <w:rStyle w:val="7"/>
          <w:rFonts w:ascii="Times New Roman" w:hAnsi="Times New Roman" w:cs="Times New Roman" w:eastAsiaTheme="minorEastAsia"/>
          <w:sz w:val="27"/>
          <w:szCs w:val="27"/>
        </w:rPr>
        <w:t xml:space="preserve">  </w:t>
      </w:r>
      <w:r>
        <w:rPr>
          <w:rStyle w:val="7"/>
          <w:rFonts w:hint="default" w:ascii="Times New Roman" w:hAnsi="Times New Roman" w:eastAsia="方正楷体_GBK" w:cs="Times New Roman"/>
          <w:b w:val="0"/>
          <w:color w:val="000000"/>
          <w:kern w:val="0"/>
          <w:sz w:val="32"/>
          <w:szCs w:val="32"/>
          <w:lang w:val="en-US" w:eastAsia="zh-CN" w:bidi="ar-SA"/>
        </w:rPr>
        <w:t>1.绩效目标自评表</w:t>
      </w:r>
    </w:p>
    <w:p>
      <w:pPr>
        <w:widowControl/>
        <w:jc w:val="center"/>
        <w:rPr>
          <w:rFonts w:hint="eastAsia" w:ascii="宋体" w:hAnsi="宋体" w:cs="宋体"/>
          <w:b/>
          <w:bCs/>
          <w:color w:val="000000"/>
          <w:kern w:val="0"/>
          <w:sz w:val="32"/>
          <w:szCs w:val="32"/>
        </w:rPr>
      </w:pPr>
      <w:r>
        <w:rPr>
          <w:rFonts w:hint="eastAsia" w:ascii="宋体" w:hAnsi="宋体" w:cs="宋体"/>
          <w:b/>
          <w:bCs/>
          <w:color w:val="000000"/>
          <w:kern w:val="0"/>
          <w:sz w:val="32"/>
          <w:szCs w:val="32"/>
        </w:rPr>
        <w:t>2021年度部门整体绩效自评表</w:t>
      </w:r>
    </w:p>
    <w:p>
      <w:pPr>
        <w:widowControl/>
        <w:jc w:val="left"/>
        <w:rPr>
          <w:rFonts w:ascii="宋体" w:hAnsi="宋体" w:cs="宋体"/>
          <w:bCs/>
          <w:color w:val="000000"/>
          <w:kern w:val="0"/>
          <w:sz w:val="24"/>
          <w:szCs w:val="24"/>
        </w:rPr>
      </w:pPr>
      <w:r>
        <w:rPr>
          <w:rFonts w:ascii="宋体" w:hAnsi="宋体" w:cs="宋体"/>
          <w:bCs/>
          <w:color w:val="000000"/>
          <w:kern w:val="0"/>
          <w:sz w:val="24"/>
          <w:szCs w:val="24"/>
        </w:rPr>
        <w:t xml:space="preserve">                                </w:t>
      </w:r>
    </w:p>
    <w:tbl>
      <w:tblPr>
        <w:tblStyle w:val="5"/>
        <w:tblW w:w="11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74"/>
        <w:gridCol w:w="1088"/>
        <w:gridCol w:w="2011"/>
        <w:gridCol w:w="1134"/>
        <w:gridCol w:w="1437"/>
        <w:gridCol w:w="1455"/>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gridSpan w:val="3"/>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color w:val="000000"/>
                <w:kern w:val="0"/>
                <w:sz w:val="24"/>
                <w:szCs w:val="24"/>
              </w:rPr>
              <w:t>（项目）名称</w:t>
            </w:r>
          </w:p>
        </w:tc>
        <w:tc>
          <w:tcPr>
            <w:tcW w:w="8143" w:type="dxa"/>
            <w:gridSpan w:val="5"/>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4"/>
                <w:szCs w:val="24"/>
                <w:lang w:val="en-US" w:eastAsia="zh-CN"/>
              </w:rPr>
              <w:t>部门整体绩效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04" w:type="dxa"/>
            <w:gridSpan w:val="3"/>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color w:val="000000"/>
                <w:kern w:val="0"/>
                <w:sz w:val="24"/>
                <w:szCs w:val="24"/>
              </w:rPr>
              <w:t>主管部门</w:t>
            </w:r>
          </w:p>
        </w:tc>
        <w:tc>
          <w:tcPr>
            <w:tcW w:w="3145" w:type="dxa"/>
            <w:gridSpan w:val="2"/>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4"/>
                <w:szCs w:val="24"/>
                <w:lang w:val="en-US" w:eastAsia="zh-CN"/>
              </w:rPr>
              <w:t>丰都县乡村振兴局</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color w:val="000000"/>
                <w:kern w:val="0"/>
                <w:sz w:val="24"/>
                <w:szCs w:val="24"/>
              </w:rPr>
              <w:t>资金使用单位</w:t>
            </w:r>
          </w:p>
        </w:tc>
        <w:tc>
          <w:tcPr>
            <w:tcW w:w="3561" w:type="dxa"/>
            <w:gridSpan w:val="2"/>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lang w:val="en-US" w:eastAsia="zh-CN"/>
              </w:rPr>
              <w:t>丰都县乡村振兴局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gridSpan w:val="3"/>
            <w:vMerge w:val="restart"/>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资金情况（万元）</w:t>
            </w:r>
          </w:p>
        </w:tc>
        <w:tc>
          <w:tcPr>
            <w:tcW w:w="2011" w:type="dxa"/>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134" w:type="dxa"/>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全年预算数（A）</w:t>
            </w:r>
          </w:p>
        </w:tc>
        <w:tc>
          <w:tcPr>
            <w:tcW w:w="2892" w:type="dxa"/>
            <w:gridSpan w:val="2"/>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全年执行数（B）</w:t>
            </w:r>
          </w:p>
        </w:tc>
        <w:tc>
          <w:tcPr>
            <w:tcW w:w="2106" w:type="dxa"/>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预算执行率（B/A)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04" w:type="dxa"/>
            <w:gridSpan w:val="3"/>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2011" w:type="dxa"/>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年度资金总额：</w:t>
            </w:r>
          </w:p>
        </w:tc>
        <w:tc>
          <w:tcPr>
            <w:tcW w:w="1134" w:type="dxa"/>
            <w:shd w:val="clear" w:color="auto" w:fill="auto"/>
            <w:noWrap w:val="0"/>
            <w:vAlign w:val="center"/>
          </w:tcPr>
          <w:p>
            <w:pPr>
              <w:widowControl/>
              <w:jc w:val="center"/>
              <w:rPr>
                <w:rFonts w:hint="default" w:ascii="宋体" w:hAnsi="宋体" w:eastAsia="等线" w:cs="宋体"/>
                <w:bCs/>
                <w:color w:val="000000"/>
                <w:kern w:val="0"/>
                <w:sz w:val="24"/>
                <w:szCs w:val="24"/>
                <w:lang w:val="en-US" w:eastAsia="zh-CN"/>
              </w:rPr>
            </w:pPr>
            <w:r>
              <w:rPr>
                <w:rFonts w:hint="eastAsia" w:ascii="宋体" w:hAnsi="宋体" w:eastAsia="等线" w:cs="宋体"/>
                <w:bCs/>
                <w:color w:val="000000"/>
                <w:kern w:val="0"/>
                <w:sz w:val="24"/>
                <w:szCs w:val="24"/>
                <w:lang w:val="en-US" w:eastAsia="zh-CN"/>
              </w:rPr>
              <w:t>4581.42</w:t>
            </w:r>
          </w:p>
        </w:tc>
        <w:tc>
          <w:tcPr>
            <w:tcW w:w="2892" w:type="dxa"/>
            <w:gridSpan w:val="2"/>
            <w:shd w:val="clear" w:color="auto" w:fill="auto"/>
            <w:noWrap w:val="0"/>
            <w:vAlign w:val="center"/>
          </w:tcPr>
          <w:p>
            <w:pPr>
              <w:widowControl/>
              <w:jc w:val="center"/>
              <w:rPr>
                <w:rFonts w:hint="default" w:ascii="宋体" w:hAnsi="宋体" w:eastAsia="等线" w:cs="宋体"/>
                <w:bCs/>
                <w:color w:val="000000"/>
                <w:kern w:val="0"/>
                <w:sz w:val="24"/>
                <w:szCs w:val="24"/>
                <w:lang w:val="en-US" w:eastAsia="zh-CN"/>
              </w:rPr>
            </w:pPr>
            <w:r>
              <w:rPr>
                <w:rFonts w:hint="eastAsia" w:ascii="宋体" w:hAnsi="宋体" w:eastAsia="等线" w:cs="宋体"/>
                <w:bCs/>
                <w:color w:val="000000"/>
                <w:kern w:val="0"/>
                <w:sz w:val="24"/>
                <w:szCs w:val="24"/>
                <w:lang w:val="en-US" w:eastAsia="zh-CN"/>
              </w:rPr>
              <w:t>4368.36</w:t>
            </w:r>
          </w:p>
        </w:tc>
        <w:tc>
          <w:tcPr>
            <w:tcW w:w="2106" w:type="dxa"/>
            <w:shd w:val="clear" w:color="auto" w:fill="auto"/>
            <w:noWrap w:val="0"/>
            <w:vAlign w:val="center"/>
          </w:tcPr>
          <w:p>
            <w:pPr>
              <w:widowControl/>
              <w:jc w:val="center"/>
              <w:rPr>
                <w:rFonts w:hint="default" w:ascii="宋体" w:hAnsi="宋体" w:eastAsia="等线" w:cs="宋体"/>
                <w:bCs/>
                <w:color w:val="000000"/>
                <w:kern w:val="0"/>
                <w:sz w:val="24"/>
                <w:szCs w:val="24"/>
                <w:lang w:val="en-US" w:eastAsia="zh-CN"/>
              </w:rPr>
            </w:pPr>
            <w:r>
              <w:rPr>
                <w:rFonts w:hint="eastAsia" w:ascii="宋体" w:hAnsi="宋体" w:eastAsia="等线" w:cs="宋体"/>
                <w:bCs/>
                <w:color w:val="000000"/>
                <w:kern w:val="0"/>
                <w:sz w:val="24"/>
                <w:szCs w:val="24"/>
                <w:lang w:val="en-US" w:eastAsia="zh-CN"/>
              </w:rPr>
              <w:t>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gridSpan w:val="3"/>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2011" w:type="dxa"/>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其中：中央财政资金</w:t>
            </w:r>
          </w:p>
        </w:tc>
        <w:tc>
          <w:tcPr>
            <w:tcW w:w="1134" w:type="dxa"/>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2892" w:type="dxa"/>
            <w:gridSpan w:val="2"/>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2106" w:type="dxa"/>
            <w:shd w:val="clear" w:color="auto" w:fill="auto"/>
            <w:noWrap w:val="0"/>
            <w:vAlign w:val="center"/>
          </w:tcPr>
          <w:p>
            <w:pPr>
              <w:widowControl/>
              <w:jc w:val="center"/>
              <w:rPr>
                <w:rFonts w:hint="eastAsia" w:ascii="宋体" w:hAnsi="宋体" w:eastAsia="等线"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gridSpan w:val="3"/>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2011" w:type="dxa"/>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市级资金</w:t>
            </w:r>
          </w:p>
        </w:tc>
        <w:tc>
          <w:tcPr>
            <w:tcW w:w="1134" w:type="dxa"/>
            <w:shd w:val="clear" w:color="auto" w:fill="auto"/>
            <w:noWrap w:val="0"/>
            <w:vAlign w:val="center"/>
          </w:tcPr>
          <w:p>
            <w:pPr>
              <w:widowControl/>
              <w:jc w:val="center"/>
              <w:rPr>
                <w:rFonts w:hint="default" w:ascii="宋体" w:hAnsi="宋体" w:eastAsia="等线" w:cs="宋体"/>
                <w:bCs/>
                <w:color w:val="000000"/>
                <w:kern w:val="0"/>
                <w:sz w:val="24"/>
                <w:szCs w:val="24"/>
                <w:lang w:val="en-US" w:eastAsia="zh-CN"/>
              </w:rPr>
            </w:pPr>
            <w:r>
              <w:rPr>
                <w:rFonts w:hint="eastAsia" w:ascii="宋体" w:hAnsi="宋体" w:eastAsia="等线" w:cs="宋体"/>
                <w:bCs/>
                <w:color w:val="000000"/>
                <w:kern w:val="0"/>
                <w:sz w:val="24"/>
                <w:szCs w:val="24"/>
                <w:lang w:val="en-US" w:eastAsia="zh-CN"/>
              </w:rPr>
              <w:t>2640.72</w:t>
            </w:r>
          </w:p>
        </w:tc>
        <w:tc>
          <w:tcPr>
            <w:tcW w:w="2892" w:type="dxa"/>
            <w:gridSpan w:val="2"/>
            <w:shd w:val="clear" w:color="auto" w:fill="auto"/>
            <w:noWrap w:val="0"/>
            <w:vAlign w:val="center"/>
          </w:tcPr>
          <w:p>
            <w:pPr>
              <w:widowControl/>
              <w:jc w:val="center"/>
              <w:rPr>
                <w:rFonts w:hint="default" w:ascii="宋体" w:hAnsi="宋体" w:eastAsia="等线" w:cs="宋体"/>
                <w:bCs/>
                <w:color w:val="000000"/>
                <w:kern w:val="0"/>
                <w:sz w:val="24"/>
                <w:szCs w:val="24"/>
                <w:lang w:val="en-US" w:eastAsia="zh-CN"/>
              </w:rPr>
            </w:pPr>
            <w:r>
              <w:rPr>
                <w:rFonts w:hint="eastAsia" w:ascii="宋体" w:hAnsi="宋体" w:eastAsia="等线" w:cs="宋体"/>
                <w:bCs/>
                <w:color w:val="000000"/>
                <w:kern w:val="0"/>
                <w:sz w:val="24"/>
                <w:szCs w:val="24"/>
                <w:lang w:val="en-US" w:eastAsia="zh-CN"/>
              </w:rPr>
              <w:t>2593.46</w:t>
            </w:r>
          </w:p>
        </w:tc>
        <w:tc>
          <w:tcPr>
            <w:tcW w:w="2106" w:type="dxa"/>
            <w:shd w:val="clear" w:color="auto" w:fill="auto"/>
            <w:noWrap w:val="0"/>
            <w:vAlign w:val="center"/>
          </w:tcPr>
          <w:p>
            <w:pPr>
              <w:widowControl/>
              <w:jc w:val="center"/>
              <w:rPr>
                <w:rFonts w:hint="default" w:ascii="宋体" w:hAnsi="宋体" w:eastAsia="等线" w:cs="宋体"/>
                <w:bCs/>
                <w:color w:val="000000"/>
                <w:kern w:val="0"/>
                <w:sz w:val="24"/>
                <w:szCs w:val="24"/>
                <w:lang w:val="en-US" w:eastAsia="zh-CN"/>
              </w:rPr>
            </w:pPr>
            <w:r>
              <w:rPr>
                <w:rFonts w:hint="eastAsia" w:ascii="宋体" w:hAnsi="宋体" w:eastAsia="等线" w:cs="宋体"/>
                <w:bCs/>
                <w:color w:val="000000"/>
                <w:kern w:val="0"/>
                <w:sz w:val="24"/>
                <w:szCs w:val="24"/>
                <w:lang w:val="en-US" w:eastAsia="zh-CN"/>
              </w:rPr>
              <w:t>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gridSpan w:val="3"/>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2011" w:type="dxa"/>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县级资金</w:t>
            </w:r>
          </w:p>
        </w:tc>
        <w:tc>
          <w:tcPr>
            <w:tcW w:w="1134" w:type="dxa"/>
            <w:shd w:val="clear" w:color="auto" w:fill="auto"/>
            <w:noWrap w:val="0"/>
            <w:vAlign w:val="center"/>
          </w:tcPr>
          <w:p>
            <w:pPr>
              <w:widowControl/>
              <w:jc w:val="center"/>
              <w:rPr>
                <w:rFonts w:hint="default" w:ascii="宋体" w:hAnsi="宋体" w:eastAsia="等线" w:cs="宋体"/>
                <w:bCs/>
                <w:color w:val="000000"/>
                <w:kern w:val="0"/>
                <w:sz w:val="24"/>
                <w:szCs w:val="24"/>
                <w:lang w:val="en-US" w:eastAsia="zh-CN"/>
              </w:rPr>
            </w:pPr>
            <w:r>
              <w:rPr>
                <w:rFonts w:hint="eastAsia" w:ascii="宋体" w:hAnsi="宋体" w:eastAsia="等线" w:cs="宋体"/>
                <w:bCs/>
                <w:color w:val="000000"/>
                <w:kern w:val="0"/>
                <w:sz w:val="24"/>
                <w:szCs w:val="24"/>
                <w:lang w:val="en-US" w:eastAsia="zh-CN"/>
              </w:rPr>
              <w:t>1922.57</w:t>
            </w:r>
          </w:p>
        </w:tc>
        <w:tc>
          <w:tcPr>
            <w:tcW w:w="2892" w:type="dxa"/>
            <w:gridSpan w:val="2"/>
            <w:shd w:val="clear" w:color="auto" w:fill="auto"/>
            <w:noWrap w:val="0"/>
            <w:vAlign w:val="center"/>
          </w:tcPr>
          <w:p>
            <w:pPr>
              <w:widowControl/>
              <w:jc w:val="center"/>
              <w:rPr>
                <w:rFonts w:hint="default" w:ascii="宋体" w:hAnsi="宋体" w:eastAsia="等线" w:cs="宋体"/>
                <w:bCs/>
                <w:color w:val="000000"/>
                <w:kern w:val="0"/>
                <w:sz w:val="24"/>
                <w:szCs w:val="24"/>
                <w:lang w:val="en-US" w:eastAsia="zh-CN"/>
              </w:rPr>
            </w:pPr>
            <w:r>
              <w:rPr>
                <w:rFonts w:hint="eastAsia" w:ascii="宋体" w:hAnsi="宋体" w:eastAsia="等线" w:cs="宋体"/>
                <w:bCs/>
                <w:color w:val="000000"/>
                <w:kern w:val="0"/>
                <w:sz w:val="24"/>
                <w:szCs w:val="24"/>
                <w:lang w:val="en-US" w:eastAsia="zh-CN"/>
              </w:rPr>
              <w:t>1763.19</w:t>
            </w:r>
          </w:p>
        </w:tc>
        <w:tc>
          <w:tcPr>
            <w:tcW w:w="2106" w:type="dxa"/>
            <w:shd w:val="clear" w:color="auto" w:fill="auto"/>
            <w:noWrap w:val="0"/>
            <w:vAlign w:val="center"/>
          </w:tcPr>
          <w:p>
            <w:pPr>
              <w:widowControl/>
              <w:jc w:val="center"/>
              <w:rPr>
                <w:rFonts w:hint="default" w:ascii="宋体" w:hAnsi="宋体" w:eastAsia="等线" w:cs="宋体"/>
                <w:bCs/>
                <w:color w:val="000000"/>
                <w:kern w:val="0"/>
                <w:sz w:val="24"/>
                <w:szCs w:val="24"/>
                <w:lang w:val="en-US" w:eastAsia="zh-CN"/>
              </w:rPr>
            </w:pPr>
            <w:r>
              <w:rPr>
                <w:rFonts w:hint="eastAsia" w:ascii="宋体" w:hAnsi="宋体" w:eastAsia="等线" w:cs="宋体"/>
                <w:bCs/>
                <w:color w:val="000000"/>
                <w:kern w:val="0"/>
                <w:sz w:val="24"/>
                <w:szCs w:val="24"/>
                <w:lang w:val="en-US" w:eastAsia="zh-CN"/>
              </w:rPr>
              <w:t>91.71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04" w:type="dxa"/>
            <w:gridSpan w:val="3"/>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2011" w:type="dxa"/>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其他资金</w:t>
            </w:r>
          </w:p>
        </w:tc>
        <w:tc>
          <w:tcPr>
            <w:tcW w:w="1134" w:type="dxa"/>
            <w:shd w:val="clear" w:color="auto" w:fill="auto"/>
            <w:noWrap w:val="0"/>
            <w:vAlign w:val="center"/>
          </w:tcPr>
          <w:p>
            <w:pPr>
              <w:widowControl/>
              <w:jc w:val="center"/>
              <w:rPr>
                <w:rFonts w:hint="default" w:ascii="宋体" w:hAnsi="宋体" w:eastAsia="等线" w:cs="宋体"/>
                <w:bCs/>
                <w:color w:val="000000"/>
                <w:kern w:val="0"/>
                <w:sz w:val="24"/>
                <w:szCs w:val="24"/>
                <w:lang w:val="en-US" w:eastAsia="zh-CN"/>
              </w:rPr>
            </w:pPr>
            <w:r>
              <w:rPr>
                <w:rFonts w:hint="eastAsia" w:ascii="宋体" w:hAnsi="宋体" w:eastAsia="等线" w:cs="宋体"/>
                <w:bCs/>
                <w:color w:val="000000"/>
                <w:kern w:val="0"/>
                <w:sz w:val="24"/>
                <w:szCs w:val="24"/>
                <w:lang w:val="en-US" w:eastAsia="zh-CN"/>
              </w:rPr>
              <w:t>18.13</w:t>
            </w:r>
          </w:p>
        </w:tc>
        <w:tc>
          <w:tcPr>
            <w:tcW w:w="2892" w:type="dxa"/>
            <w:gridSpan w:val="2"/>
            <w:shd w:val="clear" w:color="auto" w:fill="auto"/>
            <w:noWrap w:val="0"/>
            <w:vAlign w:val="center"/>
          </w:tcPr>
          <w:p>
            <w:pPr>
              <w:widowControl/>
              <w:jc w:val="center"/>
              <w:rPr>
                <w:rFonts w:hint="default" w:ascii="宋体" w:hAnsi="宋体" w:eastAsia="等线" w:cs="宋体"/>
                <w:bCs/>
                <w:color w:val="000000"/>
                <w:kern w:val="0"/>
                <w:sz w:val="24"/>
                <w:szCs w:val="24"/>
                <w:lang w:val="en-US" w:eastAsia="zh-CN"/>
              </w:rPr>
            </w:pPr>
            <w:r>
              <w:rPr>
                <w:rFonts w:hint="eastAsia" w:ascii="宋体" w:hAnsi="宋体" w:eastAsia="等线" w:cs="宋体"/>
                <w:bCs/>
                <w:color w:val="000000"/>
                <w:kern w:val="0"/>
                <w:sz w:val="24"/>
                <w:szCs w:val="24"/>
                <w:lang w:val="en-US" w:eastAsia="zh-CN"/>
              </w:rPr>
              <w:t>11.71</w:t>
            </w:r>
          </w:p>
        </w:tc>
        <w:tc>
          <w:tcPr>
            <w:tcW w:w="2106" w:type="dxa"/>
            <w:shd w:val="clear" w:color="auto" w:fill="auto"/>
            <w:noWrap w:val="0"/>
            <w:vAlign w:val="center"/>
          </w:tcPr>
          <w:p>
            <w:pPr>
              <w:widowControl/>
              <w:jc w:val="center"/>
              <w:rPr>
                <w:rFonts w:hint="default" w:ascii="宋体" w:hAnsi="宋体" w:eastAsia="等线" w:cs="宋体"/>
                <w:bCs/>
                <w:color w:val="000000"/>
                <w:kern w:val="0"/>
                <w:sz w:val="24"/>
                <w:szCs w:val="24"/>
                <w:lang w:val="en-US" w:eastAsia="zh-CN"/>
              </w:rPr>
            </w:pPr>
            <w:r>
              <w:rPr>
                <w:rFonts w:hint="eastAsia" w:ascii="宋体" w:hAnsi="宋体" w:eastAsia="等线" w:cs="宋体"/>
                <w:bCs/>
                <w:color w:val="000000"/>
                <w:kern w:val="0"/>
                <w:sz w:val="24"/>
                <w:szCs w:val="24"/>
                <w:lang w:val="en-US" w:eastAsia="zh-CN"/>
              </w:rPr>
              <w:t>64.59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总体目标完成情况</w:t>
            </w:r>
          </w:p>
        </w:tc>
        <w:tc>
          <w:tcPr>
            <w:tcW w:w="5007" w:type="dxa"/>
            <w:gridSpan w:val="4"/>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总体目标</w:t>
            </w:r>
          </w:p>
        </w:tc>
        <w:tc>
          <w:tcPr>
            <w:tcW w:w="4998" w:type="dxa"/>
            <w:gridSpan w:val="3"/>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5007" w:type="dxa"/>
            <w:gridSpan w:val="4"/>
            <w:shd w:val="clear" w:color="auto" w:fill="auto"/>
            <w:noWrap w:val="0"/>
            <w:vAlign w:val="center"/>
          </w:tcPr>
          <w:p>
            <w:pPr>
              <w:widowControl/>
              <w:jc w:val="left"/>
              <w:rPr>
                <w:rFonts w:hint="default" w:ascii="宋体" w:hAnsi="宋体" w:cs="宋体" w:eastAsiaTheme="minorEastAsia"/>
                <w:bCs/>
                <w:color w:val="000000"/>
                <w:kern w:val="0"/>
                <w:sz w:val="24"/>
                <w:szCs w:val="24"/>
                <w:lang w:val="en-US" w:eastAsia="zh-CN"/>
              </w:rPr>
            </w:pPr>
            <w:r>
              <w:rPr>
                <w:rFonts w:hint="eastAsia" w:asciiTheme="minorEastAsia" w:hAnsiTheme="minorEastAsia" w:eastAsiaTheme="minorEastAsia" w:cstheme="minorEastAsia"/>
                <w:kern w:val="0"/>
                <w:sz w:val="21"/>
                <w:szCs w:val="21"/>
              </w:rPr>
              <w:t>1、保障丰都县乡村振兴局（原丰都县扶贫开发办公室）和下属事业单位丰都县扶贫开发培训中心单位日常运转、按时发放在职人员18人的工资待遇等基本支出。2、保障从有关乡镇抽调脱贫攻坚人员21名，返聘退休人员2名，劳务派遣驾驶员4人等人员经费。3、搞好全县精准脱贫精准扶贫工作，全面提高脱贫质量、巩固脱贫拓展成果，保障机构日常运转。4、2021年春节慰问30户贫困户，标准300元/户。5、全县脱贫人口、边缘户购买城乡居民合作医疗保险补助、未脱贫贫困户养老保险补助。6、为全县符合条件的脱贫人口、新增人员免费购买“巩固脱贫保险”。7、2021年全县农村居民免费购买综合防贫保险，理赔对象为2021年丰都县辖区内的农村居民。8、对2021年脱贫人口小额信贷的2820户贷款户的1.24亿元的到期贷款进行贴息。9、为深化市级度贫困乡三建乡及市级乡村振兴重点帮扶乡栗子乡农村低收入人群发展产业提供风险保障，用于三建乡和栗子乡脱贫户、边缘易致贫户、突发严重困难户、农村低保户、低保边缘户、特困户购买特色产业保险，防止因产业发展失败导致规模性返贫。10、开展扶贫干部培训，雨露计划技能培训，提升综合能力水平，并兑现雨露计划误工补贴。11、开展</w:t>
            </w:r>
            <w:r>
              <w:rPr>
                <w:rFonts w:hint="eastAsia" w:asciiTheme="minorEastAsia" w:hAnsiTheme="minorEastAsia" w:cstheme="minorEastAsia"/>
                <w:kern w:val="0"/>
                <w:sz w:val="21"/>
                <w:szCs w:val="21"/>
                <w:lang w:eastAsia="zh-CN"/>
              </w:rPr>
              <w:t>巩固拓展脱贫攻坚成果</w:t>
            </w:r>
            <w:r>
              <w:rPr>
                <w:rFonts w:hint="eastAsia" w:asciiTheme="minorEastAsia" w:hAnsiTheme="minorEastAsia" w:eastAsiaTheme="minorEastAsia" w:cstheme="minorEastAsia"/>
                <w:kern w:val="0"/>
                <w:sz w:val="21"/>
                <w:szCs w:val="21"/>
              </w:rPr>
              <w:t>同乡村振兴衔接项项目评估，项目管理和资金检查，档案管理、宣传等工作；12、为全县脱贫户、监测对象户（含脱贫不稳定户、边缘易致贫户、突发严重困难户）家庭中符合“雨露计划”职业教育补助条件的子女，进行“雨露计划”职业教育补助。</w:t>
            </w:r>
          </w:p>
        </w:tc>
        <w:tc>
          <w:tcPr>
            <w:tcW w:w="4998" w:type="dxa"/>
            <w:gridSpan w:val="3"/>
            <w:shd w:val="clear" w:color="auto" w:fill="auto"/>
            <w:noWrap w:val="0"/>
            <w:vAlign w:val="center"/>
          </w:tcPr>
          <w:p>
            <w:pPr>
              <w:widowControl/>
              <w:jc w:val="left"/>
              <w:rPr>
                <w:rFonts w:hint="default" w:ascii="宋体" w:hAnsi="宋体" w:cs="宋体" w:eastAsiaTheme="minorEastAsia"/>
                <w:bCs/>
                <w:color w:val="000000"/>
                <w:kern w:val="0"/>
                <w:sz w:val="24"/>
                <w:szCs w:val="24"/>
                <w:lang w:val="en-US" w:eastAsia="zh-CN"/>
              </w:rPr>
            </w:pPr>
            <w:r>
              <w:rPr>
                <w:rFonts w:hint="eastAsia" w:asciiTheme="minorEastAsia" w:hAnsiTheme="minorEastAsia" w:eastAsiaTheme="minorEastAsia" w:cstheme="minorEastAsia"/>
                <w:kern w:val="0"/>
                <w:sz w:val="21"/>
                <w:szCs w:val="21"/>
              </w:rPr>
              <w:t>1、保障丰都县乡村振兴局（原丰都县扶贫开发办公室）和下属事业单位丰都县扶贫开发培训中心单位日常运转、按时发放在职人员18人的工资待遇等基本支出。2、保障从有关乡镇抽调脱贫攻坚人员21名，返聘退休人员2名，劳务派遣驾驶员4人等人员经费。3、搞好全县精准脱贫精准扶贫工作，全面提高脱贫质量、巩固脱贫拓展成果，保障机构日常运转。4、2021年春节慰问30户贫困户，标准300元/户。5、全县脱贫人口、边缘户购买城乡居民合作医疗保险补助、未脱贫贫困户养老保险补助。6、为全县符合条件的脱贫人口、新增人员免费购买“巩固脱贫保险”。7、2021年全县农村居民免费购买综合防贫保险，理赔对象为2021年丰都县辖区内的农村居民。8、对2021年脱贫人口小额信贷的2820户贷款户的1.24亿元的到期贷款进行贴息。9、为深化市级度贫困乡三建乡及市级乡村振兴重点帮扶乡栗子乡农村低收入人群发展产业提供风险保障，用于三建乡和栗子乡脱贫户、边缘易致贫户、突发严重困难户、农村低保户、低保边缘户、特困户购买特色产业保险，防止因产业发展失败导致规模性返贫。10、开展扶贫干部培训，雨露计划技能培训，提升综合能力水平，并兑现雨露计划误工补贴。11、开展</w:t>
            </w:r>
            <w:r>
              <w:rPr>
                <w:rFonts w:hint="eastAsia" w:asciiTheme="minorEastAsia" w:hAnsiTheme="minorEastAsia" w:cstheme="minorEastAsia"/>
                <w:kern w:val="0"/>
                <w:sz w:val="21"/>
                <w:szCs w:val="21"/>
                <w:lang w:eastAsia="zh-CN"/>
              </w:rPr>
              <w:t>巩固拓展脱贫攻坚成果</w:t>
            </w:r>
            <w:r>
              <w:rPr>
                <w:rFonts w:hint="eastAsia" w:asciiTheme="minorEastAsia" w:hAnsiTheme="minorEastAsia" w:eastAsiaTheme="minorEastAsia" w:cstheme="minorEastAsia"/>
                <w:kern w:val="0"/>
                <w:sz w:val="21"/>
                <w:szCs w:val="21"/>
              </w:rPr>
              <w:t>同乡村振兴衔接项项目评估，项目管理和资金检查，档案管理、宣传等工作；12、为全县脱贫户、监测对象户（含脱贫不稳定户、边缘易致贫户、突发严重困难户）家庭中符合“雨露计划”职业教育补助条件的子女，进行“雨露计划”职业教育补助</w:t>
            </w:r>
            <w:r>
              <w:rPr>
                <w:rFonts w:hint="eastAsia" w:asciiTheme="minorEastAsia" w:hAnsiTheme="minorEastAsia" w:cstheme="minorEastAsia"/>
                <w:kern w:val="0"/>
                <w:sz w:val="21"/>
                <w:szCs w:val="21"/>
                <w:lang w:val="en-US" w:eastAsia="zh-CN"/>
              </w:rPr>
              <w:t>等工作全部完成。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绩效指标</w:t>
            </w:r>
          </w:p>
        </w:tc>
        <w:tc>
          <w:tcPr>
            <w:tcW w:w="774" w:type="dxa"/>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一级指标</w:t>
            </w:r>
          </w:p>
        </w:tc>
        <w:tc>
          <w:tcPr>
            <w:tcW w:w="1088" w:type="dxa"/>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二级指标</w:t>
            </w:r>
          </w:p>
        </w:tc>
        <w:tc>
          <w:tcPr>
            <w:tcW w:w="3145" w:type="dxa"/>
            <w:gridSpan w:val="2"/>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三级指标</w:t>
            </w:r>
          </w:p>
        </w:tc>
        <w:tc>
          <w:tcPr>
            <w:tcW w:w="1437" w:type="dxa"/>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指标值</w:t>
            </w:r>
          </w:p>
        </w:tc>
        <w:tc>
          <w:tcPr>
            <w:tcW w:w="1455" w:type="dxa"/>
            <w:shd w:val="clear" w:color="auto" w:fill="auto"/>
            <w:noWrap w:val="0"/>
            <w:vAlign w:val="center"/>
          </w:tcPr>
          <w:p>
            <w:pPr>
              <w:widowControl/>
              <w:jc w:val="center"/>
              <w:rPr>
                <w:rFonts w:ascii="宋体" w:hAnsi="宋体" w:eastAsia="等线" w:cs="宋体"/>
                <w:color w:val="000000"/>
                <w:kern w:val="0"/>
                <w:sz w:val="20"/>
                <w:szCs w:val="20"/>
              </w:rPr>
            </w:pPr>
            <w:r>
              <w:rPr>
                <w:rFonts w:hint="eastAsia" w:ascii="宋体" w:hAnsi="宋体" w:eastAsia="等线" w:cs="宋体"/>
                <w:color w:val="000000"/>
                <w:kern w:val="0"/>
                <w:sz w:val="20"/>
                <w:szCs w:val="20"/>
              </w:rPr>
              <w:t>全年实际</w:t>
            </w:r>
          </w:p>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完成值</w:t>
            </w:r>
          </w:p>
        </w:tc>
        <w:tc>
          <w:tcPr>
            <w:tcW w:w="2106" w:type="dxa"/>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color w:val="000000"/>
                <w:kern w:val="0"/>
                <w:sz w:val="20"/>
                <w:szCs w:val="20"/>
              </w:rPr>
              <w:t>未完成原因改进措施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restart"/>
            <w:shd w:val="clear" w:color="auto" w:fill="auto"/>
            <w:noWrap w:val="0"/>
            <w:vAlign w:val="center"/>
          </w:tcPr>
          <w:p>
            <w:pPr>
              <w:widowControl/>
              <w:jc w:val="center"/>
              <w:rPr>
                <w:rFonts w:hint="eastAsia" w:ascii="宋体" w:hAnsi="宋体" w:eastAsia="等线" w:cs="宋体"/>
                <w:kern w:val="0"/>
                <w:sz w:val="20"/>
                <w:szCs w:val="20"/>
                <w:lang w:eastAsia="zh-CN"/>
              </w:rPr>
            </w:pPr>
            <w:r>
              <w:rPr>
                <w:rFonts w:hint="eastAsia" w:ascii="宋体" w:hAnsi="宋体" w:eastAsia="等线" w:cs="宋体"/>
                <w:kern w:val="0"/>
                <w:sz w:val="20"/>
                <w:szCs w:val="20"/>
              </w:rPr>
              <w:t>产</w:t>
            </w:r>
          </w:p>
          <w:p>
            <w:pPr>
              <w:widowControl/>
              <w:jc w:val="center"/>
              <w:rPr>
                <w:rFonts w:hint="eastAsia" w:ascii="宋体" w:hAnsi="宋体" w:eastAsia="等线" w:cs="宋体"/>
                <w:kern w:val="0"/>
                <w:sz w:val="20"/>
                <w:szCs w:val="20"/>
                <w:lang w:eastAsia="zh-CN"/>
              </w:rPr>
            </w:pPr>
            <w:r>
              <w:rPr>
                <w:rFonts w:hint="eastAsia" w:ascii="宋体" w:hAnsi="宋体" w:eastAsia="等线" w:cs="宋体"/>
                <w:kern w:val="0"/>
                <w:sz w:val="20"/>
                <w:szCs w:val="20"/>
              </w:rPr>
              <w:t>出</w:t>
            </w:r>
          </w:p>
          <w:p>
            <w:pPr>
              <w:widowControl/>
              <w:jc w:val="center"/>
              <w:rPr>
                <w:rFonts w:hint="eastAsia" w:ascii="宋体" w:hAnsi="宋体" w:eastAsia="等线" w:cs="宋体"/>
                <w:kern w:val="0"/>
                <w:sz w:val="20"/>
                <w:szCs w:val="20"/>
                <w:lang w:eastAsia="zh-CN"/>
              </w:rPr>
            </w:pPr>
            <w:r>
              <w:rPr>
                <w:rFonts w:hint="eastAsia" w:ascii="宋体" w:hAnsi="宋体" w:eastAsia="等线" w:cs="宋体"/>
                <w:kern w:val="0"/>
                <w:sz w:val="20"/>
                <w:szCs w:val="20"/>
              </w:rPr>
              <w:t>指</w:t>
            </w:r>
          </w:p>
          <w:p>
            <w:pPr>
              <w:widowControl/>
              <w:jc w:val="center"/>
              <w:rPr>
                <w:rFonts w:hint="eastAsia" w:ascii="宋体" w:hAnsi="宋体" w:eastAsia="等线" w:cs="宋体"/>
                <w:bCs/>
                <w:color w:val="000000"/>
                <w:kern w:val="0"/>
                <w:sz w:val="24"/>
                <w:szCs w:val="24"/>
              </w:rPr>
            </w:pPr>
            <w:r>
              <w:rPr>
                <w:rFonts w:hint="eastAsia" w:ascii="宋体" w:hAnsi="宋体" w:eastAsia="等线" w:cs="宋体"/>
                <w:kern w:val="0"/>
                <w:sz w:val="20"/>
                <w:szCs w:val="20"/>
              </w:rPr>
              <w:t>标</w:t>
            </w:r>
          </w:p>
        </w:tc>
        <w:tc>
          <w:tcPr>
            <w:tcW w:w="1088" w:type="dxa"/>
            <w:vMerge w:val="restart"/>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kern w:val="0"/>
                <w:sz w:val="20"/>
                <w:szCs w:val="20"/>
              </w:rPr>
              <w:t>数量指标</w:t>
            </w: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4"/>
                <w:szCs w:val="24"/>
                <w:lang w:eastAsia="zh-CN"/>
              </w:rPr>
            </w:pPr>
            <w:r>
              <w:rPr>
                <w:rFonts w:hint="eastAsia" w:asciiTheme="minorEastAsia" w:hAnsiTheme="minorEastAsia" w:eastAsiaTheme="minorEastAsia" w:cstheme="minorEastAsia"/>
                <w:bCs/>
                <w:color w:val="000000"/>
                <w:kern w:val="0"/>
                <w:sz w:val="21"/>
                <w:szCs w:val="21"/>
                <w:lang w:val="en-US" w:eastAsia="zh-CN"/>
              </w:rPr>
              <w:t>在职人数（人）</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1"/>
                <w:szCs w:val="21"/>
                <w:lang w:val="en-US" w:eastAsia="zh-CN"/>
              </w:rPr>
              <w:t>≥18人</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1"/>
                <w:szCs w:val="21"/>
                <w:lang w:val="en-US" w:eastAsia="zh-CN"/>
              </w:rPr>
              <w:t>18人</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both"/>
              <w:rPr>
                <w:rFonts w:hint="eastAsia" w:ascii="宋体" w:hAnsi="宋体" w:eastAsia="等线" w:cs="宋体"/>
                <w:bCs/>
                <w:color w:val="000000"/>
                <w:kern w:val="0"/>
                <w:sz w:val="21"/>
                <w:szCs w:val="21"/>
              </w:rPr>
            </w:pPr>
            <w:r>
              <w:rPr>
                <w:rFonts w:hint="eastAsia" w:asciiTheme="minorEastAsia" w:hAnsiTheme="minorEastAsia" w:eastAsiaTheme="minorEastAsia" w:cstheme="minorEastAsia"/>
                <w:bCs/>
                <w:color w:val="000000"/>
                <w:kern w:val="0"/>
                <w:sz w:val="21"/>
                <w:szCs w:val="21"/>
              </w:rPr>
              <w:t>返聘人员、劳务派遣驾驶员人数</w:t>
            </w:r>
          </w:p>
        </w:tc>
        <w:tc>
          <w:tcPr>
            <w:tcW w:w="1437" w:type="dxa"/>
            <w:shd w:val="clear" w:color="auto" w:fill="auto"/>
            <w:noWrap w:val="0"/>
            <w:vAlign w:val="center"/>
          </w:tcPr>
          <w:p>
            <w:pPr>
              <w:widowControl/>
              <w:jc w:val="center"/>
              <w:rPr>
                <w:rFonts w:hint="default" w:ascii="宋体" w:hAnsi="宋体" w:eastAsia="等线" w:cs="宋体"/>
                <w:bCs/>
                <w:color w:val="000000"/>
                <w:kern w:val="0"/>
                <w:sz w:val="21"/>
                <w:szCs w:val="21"/>
                <w:lang w:val="en-US"/>
              </w:rPr>
            </w:pPr>
            <w:r>
              <w:rPr>
                <w:rFonts w:hint="eastAsia" w:ascii="宋体" w:hAnsi="宋体" w:eastAsia="等线" w:cs="宋体"/>
                <w:bCs/>
                <w:color w:val="000000"/>
                <w:kern w:val="0"/>
                <w:sz w:val="21"/>
                <w:szCs w:val="21"/>
                <w:lang w:val="en-US" w:eastAsia="zh-CN"/>
              </w:rPr>
              <w:t>≥6人</w:t>
            </w:r>
          </w:p>
        </w:tc>
        <w:tc>
          <w:tcPr>
            <w:tcW w:w="1455" w:type="dxa"/>
            <w:shd w:val="clear" w:color="auto" w:fill="auto"/>
            <w:noWrap w:val="0"/>
            <w:vAlign w:val="center"/>
          </w:tcPr>
          <w:p>
            <w:pPr>
              <w:widowControl/>
              <w:jc w:val="center"/>
              <w:rPr>
                <w:rFonts w:hint="default" w:ascii="宋体" w:hAnsi="宋体" w:eastAsia="等线" w:cs="宋体"/>
                <w:bCs/>
                <w:color w:val="000000"/>
                <w:kern w:val="0"/>
                <w:sz w:val="21"/>
                <w:szCs w:val="21"/>
                <w:lang w:val="en-US"/>
              </w:rPr>
            </w:pPr>
            <w:r>
              <w:rPr>
                <w:rFonts w:hint="eastAsia" w:ascii="宋体" w:hAnsi="宋体" w:eastAsia="等线" w:cs="宋体"/>
                <w:bCs/>
                <w:color w:val="000000"/>
                <w:kern w:val="0"/>
                <w:sz w:val="21"/>
                <w:szCs w:val="21"/>
                <w:lang w:val="en-US" w:eastAsia="zh-CN"/>
              </w:rPr>
              <w:t>5人</w:t>
            </w:r>
          </w:p>
        </w:tc>
        <w:tc>
          <w:tcPr>
            <w:tcW w:w="2106" w:type="dxa"/>
            <w:shd w:val="clear" w:color="auto" w:fill="auto"/>
            <w:noWrap w:val="0"/>
            <w:vAlign w:val="center"/>
          </w:tcPr>
          <w:p>
            <w:pPr>
              <w:widowControl/>
              <w:jc w:val="both"/>
              <w:rPr>
                <w:rFonts w:hint="eastAsia" w:ascii="宋体" w:hAnsi="宋体" w:eastAsia="等线" w:cs="宋体"/>
                <w:bCs/>
                <w:color w:val="000000"/>
                <w:kern w:val="0"/>
                <w:sz w:val="21"/>
                <w:szCs w:val="21"/>
              </w:rPr>
            </w:pPr>
            <w:r>
              <w:rPr>
                <w:rFonts w:hint="eastAsia" w:asciiTheme="minorEastAsia" w:hAnsiTheme="minorEastAsia" w:eastAsiaTheme="minorEastAsia" w:cstheme="minorEastAsia"/>
                <w:kern w:val="0"/>
                <w:sz w:val="21"/>
                <w:szCs w:val="21"/>
              </w:rPr>
              <w:t>2021年7月劳务派遣驾驶员离职1人。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both"/>
              <w:rPr>
                <w:rFonts w:hint="eastAsia" w:ascii="宋体" w:hAnsi="宋体" w:eastAsia="等线" w:cs="宋体"/>
                <w:bCs/>
                <w:color w:val="000000"/>
                <w:kern w:val="0"/>
                <w:sz w:val="24"/>
                <w:szCs w:val="24"/>
                <w:lang w:val="en-US" w:eastAsia="zh-CN"/>
              </w:rPr>
            </w:pPr>
            <w:r>
              <w:rPr>
                <w:rFonts w:hint="eastAsia" w:asciiTheme="minorEastAsia" w:hAnsiTheme="minorEastAsia" w:eastAsiaTheme="minorEastAsia" w:cstheme="minorEastAsia"/>
                <w:bCs/>
                <w:color w:val="000000"/>
                <w:kern w:val="0"/>
                <w:sz w:val="21"/>
                <w:szCs w:val="21"/>
              </w:rPr>
              <w:t>2021年春节慰问</w:t>
            </w:r>
            <w:r>
              <w:rPr>
                <w:rFonts w:hint="eastAsia" w:asciiTheme="minorEastAsia" w:hAnsiTheme="minorEastAsia" w:eastAsiaTheme="minorEastAsia" w:cstheme="minorEastAsia"/>
                <w:bCs/>
                <w:color w:val="000000"/>
                <w:kern w:val="0"/>
                <w:sz w:val="21"/>
                <w:szCs w:val="21"/>
                <w:lang w:val="en-US" w:eastAsia="zh-CN"/>
              </w:rPr>
              <w:t>贫困户</w:t>
            </w:r>
            <w:r>
              <w:rPr>
                <w:rFonts w:hint="eastAsia" w:asciiTheme="minorEastAsia" w:hAnsiTheme="minorEastAsia" w:eastAsiaTheme="minorEastAsia" w:cstheme="minorEastAsia"/>
                <w:bCs/>
                <w:color w:val="000000"/>
                <w:kern w:val="0"/>
                <w:sz w:val="21"/>
                <w:szCs w:val="21"/>
              </w:rPr>
              <w:t>户</w:t>
            </w:r>
            <w:r>
              <w:rPr>
                <w:rFonts w:hint="eastAsia" w:asciiTheme="minorEastAsia" w:hAnsiTheme="minorEastAsia" w:eastAsiaTheme="minorEastAsia" w:cstheme="minorEastAsia"/>
                <w:bCs/>
                <w:color w:val="000000"/>
                <w:kern w:val="0"/>
                <w:sz w:val="21"/>
                <w:szCs w:val="21"/>
                <w:lang w:val="en-US" w:eastAsia="zh-CN"/>
              </w:rPr>
              <w:t>数</w:t>
            </w:r>
          </w:p>
        </w:tc>
        <w:tc>
          <w:tcPr>
            <w:tcW w:w="1437" w:type="dxa"/>
            <w:shd w:val="clear" w:color="auto" w:fill="auto"/>
            <w:noWrap w:val="0"/>
            <w:vAlign w:val="center"/>
          </w:tcPr>
          <w:p>
            <w:pPr>
              <w:widowControl/>
              <w:jc w:val="center"/>
              <w:rPr>
                <w:rFonts w:hint="default" w:ascii="宋体" w:hAnsi="宋体" w:eastAsia="等线" w:cs="宋体"/>
                <w:bCs/>
                <w:color w:val="000000"/>
                <w:kern w:val="0"/>
                <w:sz w:val="24"/>
                <w:szCs w:val="24"/>
                <w:lang w:val="en-US" w:eastAsia="zh-CN"/>
              </w:rPr>
            </w:pPr>
            <w:r>
              <w:rPr>
                <w:rFonts w:hint="eastAsia" w:asciiTheme="minorEastAsia" w:hAnsiTheme="minorEastAsia" w:eastAsiaTheme="minorEastAsia" w:cstheme="minorEastAsia"/>
                <w:bCs/>
                <w:color w:val="000000"/>
                <w:kern w:val="0"/>
                <w:sz w:val="21"/>
                <w:szCs w:val="21"/>
                <w:lang w:val="en-US" w:eastAsia="zh-CN"/>
              </w:rPr>
              <w:t>30户</w:t>
            </w:r>
          </w:p>
        </w:tc>
        <w:tc>
          <w:tcPr>
            <w:tcW w:w="1455" w:type="dxa"/>
            <w:shd w:val="clear" w:color="auto" w:fill="auto"/>
            <w:noWrap w:val="0"/>
            <w:vAlign w:val="center"/>
          </w:tcPr>
          <w:p>
            <w:pPr>
              <w:widowControl/>
              <w:jc w:val="center"/>
              <w:rPr>
                <w:rFonts w:hint="default" w:ascii="宋体" w:hAnsi="宋体" w:eastAsia="等线" w:cs="宋体"/>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30户</w:t>
            </w:r>
          </w:p>
        </w:tc>
        <w:tc>
          <w:tcPr>
            <w:tcW w:w="2106" w:type="dxa"/>
            <w:shd w:val="clear" w:color="auto" w:fill="auto"/>
            <w:noWrap w:val="0"/>
            <w:vAlign w:val="center"/>
          </w:tcPr>
          <w:p>
            <w:pPr>
              <w:widowControl/>
              <w:jc w:val="center"/>
              <w:rPr>
                <w:rFonts w:hint="eastAsia" w:ascii="宋体" w:hAnsi="宋体" w:eastAsia="等线" w:cs="宋体"/>
                <w:bCs/>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kern w:val="0"/>
                <w:sz w:val="21"/>
                <w:szCs w:val="21"/>
              </w:rPr>
              <w:t>脱贫户、边缘户参加城乡居民合作医疗人数</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≥5.7万人</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56648人</w:t>
            </w:r>
          </w:p>
        </w:tc>
        <w:tc>
          <w:tcPr>
            <w:tcW w:w="2106" w:type="dxa"/>
            <w:shd w:val="clear" w:color="auto" w:fill="auto"/>
            <w:noWrap w:val="0"/>
            <w:vAlign w:val="center"/>
          </w:tcPr>
          <w:p>
            <w:pPr>
              <w:widowControl/>
              <w:jc w:val="left"/>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kern w:val="0"/>
                <w:sz w:val="21"/>
                <w:szCs w:val="21"/>
                <w:lang w:val="en-US" w:eastAsia="zh-CN"/>
              </w:rPr>
              <w:t>根据“全国防返贫监测信息系统”动态调整，核定符合参保条件人员。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kern w:val="0"/>
                <w:sz w:val="21"/>
                <w:szCs w:val="21"/>
              </w:rPr>
              <w:t>未脱贫贫困户养老保险补助数</w:t>
            </w:r>
          </w:p>
        </w:tc>
        <w:tc>
          <w:tcPr>
            <w:tcW w:w="1437" w:type="dxa"/>
            <w:shd w:val="clear" w:color="auto" w:fill="auto"/>
            <w:noWrap w:val="0"/>
            <w:vAlign w:val="center"/>
          </w:tcPr>
          <w:p>
            <w:pPr>
              <w:widowControl/>
              <w:ind w:firstLine="420" w:firstLineChars="200"/>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2人</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2人</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kern w:val="0"/>
                <w:sz w:val="21"/>
                <w:szCs w:val="21"/>
              </w:rPr>
              <w:t>脱贫人口、新增人员购买“巩固脱贫保险”人数</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≥72</w:t>
            </w:r>
            <w:r>
              <w:rPr>
                <w:rFonts w:hint="eastAsia" w:asciiTheme="minorEastAsia" w:hAnsiTheme="minorEastAsia" w:cstheme="minorEastAsia"/>
                <w:bCs/>
                <w:color w:val="000000"/>
                <w:kern w:val="0"/>
                <w:sz w:val="21"/>
                <w:szCs w:val="21"/>
                <w:lang w:val="en-US" w:eastAsia="zh-CN"/>
              </w:rPr>
              <w:t>000</w:t>
            </w:r>
            <w:r>
              <w:rPr>
                <w:rFonts w:hint="eastAsia" w:asciiTheme="minorEastAsia" w:hAnsiTheme="minorEastAsia" w:eastAsiaTheme="minorEastAsia" w:cstheme="minorEastAsia"/>
                <w:bCs/>
                <w:color w:val="000000"/>
                <w:kern w:val="0"/>
                <w:sz w:val="21"/>
                <w:szCs w:val="21"/>
                <w:lang w:val="en-US" w:eastAsia="zh-CN"/>
              </w:rPr>
              <w:t>人</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72685人</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kern w:val="0"/>
                <w:sz w:val="21"/>
                <w:szCs w:val="21"/>
              </w:rPr>
              <w:t>扶贫小额信贷贴息享受的贷款贫困户和边缘户</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≥2820户</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3430户</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干部培训人数</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≥600人</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650人</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技能培训人数</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≥300人</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310人</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lang w:val="en-US" w:eastAsia="zh-CN"/>
              </w:rPr>
              <w:t>就业创业技能培训</w:t>
            </w:r>
            <w:r>
              <w:rPr>
                <w:rFonts w:hint="eastAsia" w:asciiTheme="minorEastAsia" w:hAnsiTheme="minorEastAsia" w:eastAsiaTheme="minorEastAsia" w:cstheme="minorEastAsia"/>
                <w:bCs/>
                <w:color w:val="000000"/>
                <w:kern w:val="0"/>
                <w:sz w:val="21"/>
                <w:szCs w:val="21"/>
              </w:rPr>
              <w:t>误工补贴数</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≥350人</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376人</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雨露计划中高职补贴人数</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≥350人</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828人</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kern w:val="0"/>
                <w:sz w:val="21"/>
                <w:szCs w:val="21"/>
              </w:rPr>
              <w:t>全县农村户厕摸排核查涉及农户数</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≥3000户</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3704户</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top"/>
          </w:tcPr>
          <w:p>
            <w:pPr>
              <w:widowControl/>
              <w:jc w:val="both"/>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表彰脱贫攻坚先进集体个数</w:t>
            </w:r>
          </w:p>
        </w:tc>
        <w:tc>
          <w:tcPr>
            <w:tcW w:w="1437" w:type="dxa"/>
            <w:shd w:val="clear" w:color="auto" w:fill="auto"/>
            <w:noWrap w:val="0"/>
            <w:vAlign w:val="top"/>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50个</w:t>
            </w:r>
          </w:p>
        </w:tc>
        <w:tc>
          <w:tcPr>
            <w:tcW w:w="1455" w:type="dxa"/>
            <w:shd w:val="clear" w:color="auto" w:fill="auto"/>
            <w:noWrap w:val="0"/>
            <w:vAlign w:val="top"/>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50个</w:t>
            </w:r>
          </w:p>
        </w:tc>
        <w:tc>
          <w:tcPr>
            <w:tcW w:w="2106" w:type="dxa"/>
            <w:shd w:val="clear" w:color="auto" w:fill="auto"/>
            <w:noWrap w:val="0"/>
            <w:vAlign w:val="top"/>
          </w:tcPr>
          <w:p>
            <w:pPr>
              <w:widowControl/>
              <w:jc w:val="center"/>
              <w:rPr>
                <w:rFonts w:hint="eastAsia" w:asciiTheme="minorEastAsia" w:hAnsiTheme="minorEastAsia" w:eastAsiaTheme="minorEastAsia" w:cstheme="minorEastAsia"/>
                <w:bCs/>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表彰脱贫攻坚先进个人人数</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100人</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100人</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kern w:val="0"/>
                <w:sz w:val="20"/>
                <w:szCs w:val="20"/>
              </w:rPr>
              <w:t>质量指标</w:t>
            </w: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资金使用合规率</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≥99%</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100%</w:t>
            </w:r>
          </w:p>
        </w:tc>
        <w:tc>
          <w:tcPr>
            <w:tcW w:w="2106" w:type="dxa"/>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kern w:val="0"/>
                <w:sz w:val="20"/>
                <w:szCs w:val="20"/>
              </w:rPr>
              <w:t>时效指标</w:t>
            </w: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资金在规定时间内支付到位率</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100%</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100%</w:t>
            </w:r>
          </w:p>
        </w:tc>
        <w:tc>
          <w:tcPr>
            <w:tcW w:w="2106" w:type="dxa"/>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restart"/>
            <w:shd w:val="clear" w:color="auto" w:fill="auto"/>
            <w:noWrap w:val="0"/>
            <w:vAlign w:val="center"/>
          </w:tcPr>
          <w:p>
            <w:pPr>
              <w:widowControl/>
              <w:jc w:val="center"/>
              <w:rPr>
                <w:rFonts w:hint="eastAsia" w:ascii="宋体" w:hAnsi="宋体" w:eastAsia="等线" w:cs="宋体"/>
                <w:kern w:val="0"/>
                <w:sz w:val="20"/>
                <w:szCs w:val="20"/>
              </w:rPr>
            </w:pPr>
            <w:r>
              <w:rPr>
                <w:rFonts w:hint="eastAsia" w:ascii="宋体" w:hAnsi="宋体" w:eastAsia="等线" w:cs="宋体"/>
                <w:kern w:val="0"/>
                <w:sz w:val="20"/>
                <w:szCs w:val="20"/>
              </w:rPr>
              <w:t>成本指标</w:t>
            </w:r>
          </w:p>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1"/>
                <w:szCs w:val="21"/>
              </w:rPr>
              <w:t>巩固脱贫保险标准</w:t>
            </w:r>
            <w:r>
              <w:rPr>
                <w:rFonts w:hint="eastAsia" w:asciiTheme="minorEastAsia" w:hAnsiTheme="minorEastAsia" w:eastAsiaTheme="minorEastAsia" w:cstheme="minorEastAsia"/>
                <w:bCs/>
                <w:color w:val="000000"/>
                <w:kern w:val="0"/>
                <w:sz w:val="21"/>
                <w:szCs w:val="21"/>
                <w:lang w:eastAsia="zh-CN"/>
              </w:rPr>
              <w:t>（</w:t>
            </w:r>
            <w:r>
              <w:rPr>
                <w:rFonts w:hint="eastAsia" w:asciiTheme="minorEastAsia" w:hAnsiTheme="minorEastAsia" w:eastAsiaTheme="minorEastAsia" w:cstheme="minorEastAsia"/>
                <w:bCs/>
                <w:color w:val="000000"/>
                <w:kern w:val="0"/>
                <w:sz w:val="21"/>
                <w:szCs w:val="21"/>
                <w:lang w:val="en-US" w:eastAsia="zh-CN"/>
              </w:rPr>
              <w:t>元/年/人)</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130</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130</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lang w:eastAsia="zh-CN"/>
              </w:rPr>
            </w:pPr>
            <w:r>
              <w:rPr>
                <w:rFonts w:hint="eastAsia" w:asciiTheme="minorEastAsia" w:hAnsiTheme="minorEastAsia" w:eastAsiaTheme="minorEastAsia" w:cstheme="minorEastAsia"/>
                <w:bCs/>
                <w:color w:val="000000"/>
                <w:kern w:val="0"/>
                <w:sz w:val="21"/>
                <w:szCs w:val="21"/>
              </w:rPr>
              <w:t>培训误工补贴人均标准</w:t>
            </w:r>
            <w:r>
              <w:rPr>
                <w:rFonts w:hint="eastAsia" w:asciiTheme="minorEastAsia" w:hAnsiTheme="minorEastAsia" w:eastAsiaTheme="minorEastAsia" w:cstheme="minorEastAsia"/>
                <w:bCs/>
                <w:color w:val="000000"/>
                <w:kern w:val="0"/>
                <w:sz w:val="21"/>
                <w:szCs w:val="21"/>
                <w:lang w:eastAsia="zh-CN"/>
              </w:rPr>
              <w:t>（</w:t>
            </w:r>
            <w:r>
              <w:rPr>
                <w:rFonts w:hint="eastAsia" w:asciiTheme="minorEastAsia" w:hAnsiTheme="minorEastAsia" w:eastAsiaTheme="minorEastAsia" w:cstheme="minorEastAsia"/>
                <w:bCs/>
                <w:color w:val="000000"/>
                <w:kern w:val="0"/>
                <w:sz w:val="21"/>
                <w:szCs w:val="21"/>
                <w:lang w:val="en-US" w:eastAsia="zh-CN"/>
              </w:rPr>
              <w:t>元/天</w:t>
            </w:r>
            <w:r>
              <w:rPr>
                <w:rFonts w:hint="eastAsia" w:asciiTheme="minorEastAsia" w:hAnsiTheme="minorEastAsia" w:eastAsiaTheme="minorEastAsia" w:cstheme="minorEastAsia"/>
                <w:bCs/>
                <w:color w:val="000000"/>
                <w:kern w:val="0"/>
                <w:sz w:val="21"/>
                <w:szCs w:val="21"/>
                <w:lang w:eastAsia="zh-CN"/>
              </w:rPr>
              <w:t>）</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40</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40</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4"/>
                <w:szCs w:val="24"/>
                <w:lang w:eastAsia="zh-CN"/>
              </w:rPr>
            </w:pPr>
            <w:r>
              <w:rPr>
                <w:rFonts w:hint="eastAsia" w:asciiTheme="minorEastAsia" w:hAnsiTheme="minorEastAsia" w:eastAsiaTheme="minorEastAsia" w:cstheme="minorEastAsia"/>
                <w:bCs/>
                <w:color w:val="000000"/>
                <w:kern w:val="0"/>
                <w:sz w:val="21"/>
                <w:szCs w:val="21"/>
              </w:rPr>
              <w:t>雨露计划中职补助标准</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3000元/学年</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3000元/学年</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雨露计划</w:t>
            </w:r>
            <w:r>
              <w:rPr>
                <w:rFonts w:hint="eastAsia" w:asciiTheme="minorEastAsia" w:hAnsiTheme="minorEastAsia" w:eastAsiaTheme="minorEastAsia" w:cstheme="minorEastAsia"/>
                <w:bCs/>
                <w:color w:val="000000"/>
                <w:kern w:val="0"/>
                <w:sz w:val="21"/>
                <w:szCs w:val="21"/>
                <w:lang w:val="en-US" w:eastAsia="zh-CN"/>
              </w:rPr>
              <w:t>高</w:t>
            </w:r>
            <w:r>
              <w:rPr>
                <w:rFonts w:hint="eastAsia" w:asciiTheme="minorEastAsia" w:hAnsiTheme="minorEastAsia" w:eastAsiaTheme="minorEastAsia" w:cstheme="minorEastAsia"/>
                <w:bCs/>
                <w:color w:val="000000"/>
                <w:kern w:val="0"/>
                <w:sz w:val="21"/>
                <w:szCs w:val="21"/>
              </w:rPr>
              <w:t>职补助标准</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5000元/学年</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rPr>
            </w:pPr>
            <w:r>
              <w:rPr>
                <w:rFonts w:hint="eastAsia" w:asciiTheme="minorEastAsia" w:hAnsiTheme="minorEastAsia" w:eastAsiaTheme="minorEastAsia" w:cstheme="minorEastAsia"/>
                <w:bCs/>
                <w:color w:val="000000"/>
                <w:kern w:val="0"/>
                <w:sz w:val="21"/>
                <w:szCs w:val="21"/>
                <w:lang w:val="en-US" w:eastAsia="zh-CN"/>
              </w:rPr>
              <w:t>5000元/学年</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restart"/>
            <w:shd w:val="clear" w:color="auto" w:fill="auto"/>
            <w:noWrap w:val="0"/>
            <w:vAlign w:val="center"/>
          </w:tcPr>
          <w:p>
            <w:pPr>
              <w:widowControl/>
              <w:jc w:val="center"/>
              <w:rPr>
                <w:rFonts w:hint="eastAsia" w:ascii="宋体" w:hAnsi="宋体" w:eastAsia="等线" w:cs="宋体"/>
                <w:kern w:val="0"/>
                <w:sz w:val="20"/>
                <w:szCs w:val="20"/>
                <w:lang w:eastAsia="zh-CN"/>
              </w:rPr>
            </w:pPr>
            <w:r>
              <w:rPr>
                <w:rFonts w:hint="eastAsia" w:ascii="宋体" w:hAnsi="宋体" w:eastAsia="等线" w:cs="宋体"/>
                <w:kern w:val="0"/>
                <w:sz w:val="20"/>
                <w:szCs w:val="20"/>
              </w:rPr>
              <w:t>效</w:t>
            </w:r>
          </w:p>
          <w:p>
            <w:pPr>
              <w:widowControl/>
              <w:jc w:val="center"/>
              <w:rPr>
                <w:rFonts w:hint="eastAsia" w:ascii="宋体" w:hAnsi="宋体" w:eastAsia="等线" w:cs="宋体"/>
                <w:kern w:val="0"/>
                <w:sz w:val="20"/>
                <w:szCs w:val="20"/>
                <w:lang w:eastAsia="zh-CN"/>
              </w:rPr>
            </w:pPr>
            <w:r>
              <w:rPr>
                <w:rFonts w:hint="eastAsia" w:ascii="宋体" w:hAnsi="宋体" w:eastAsia="等线" w:cs="宋体"/>
                <w:kern w:val="0"/>
                <w:sz w:val="20"/>
                <w:szCs w:val="20"/>
              </w:rPr>
              <w:t>益</w:t>
            </w:r>
          </w:p>
          <w:p>
            <w:pPr>
              <w:widowControl/>
              <w:jc w:val="center"/>
              <w:rPr>
                <w:rFonts w:hint="eastAsia" w:ascii="宋体" w:hAnsi="宋体" w:eastAsia="等线" w:cs="宋体"/>
                <w:kern w:val="0"/>
                <w:sz w:val="20"/>
                <w:szCs w:val="20"/>
                <w:lang w:eastAsia="zh-CN"/>
              </w:rPr>
            </w:pPr>
            <w:r>
              <w:rPr>
                <w:rFonts w:hint="eastAsia" w:ascii="宋体" w:hAnsi="宋体" w:eastAsia="等线" w:cs="宋体"/>
                <w:kern w:val="0"/>
                <w:sz w:val="20"/>
                <w:szCs w:val="20"/>
              </w:rPr>
              <w:t>指</w:t>
            </w:r>
          </w:p>
          <w:p>
            <w:pPr>
              <w:widowControl/>
              <w:jc w:val="center"/>
              <w:rPr>
                <w:rFonts w:hint="eastAsia" w:ascii="宋体" w:hAnsi="宋体" w:eastAsia="等线" w:cs="宋体"/>
                <w:bCs/>
                <w:color w:val="000000"/>
                <w:kern w:val="0"/>
                <w:sz w:val="24"/>
                <w:szCs w:val="24"/>
              </w:rPr>
            </w:pPr>
            <w:r>
              <w:rPr>
                <w:rFonts w:hint="eastAsia" w:ascii="宋体" w:hAnsi="宋体" w:eastAsia="等线" w:cs="宋体"/>
                <w:kern w:val="0"/>
                <w:sz w:val="20"/>
                <w:szCs w:val="20"/>
              </w:rPr>
              <w:t>标</w:t>
            </w:r>
          </w:p>
        </w:tc>
        <w:tc>
          <w:tcPr>
            <w:tcW w:w="1088" w:type="dxa"/>
            <w:vMerge w:val="restart"/>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kern w:val="0"/>
                <w:sz w:val="20"/>
                <w:szCs w:val="20"/>
              </w:rPr>
              <w:t>经济效益指标</w:t>
            </w:r>
          </w:p>
        </w:tc>
        <w:tc>
          <w:tcPr>
            <w:tcW w:w="3145" w:type="dxa"/>
            <w:gridSpan w:val="2"/>
            <w:shd w:val="clear" w:color="auto" w:fill="auto"/>
            <w:noWrap w:val="0"/>
            <w:vAlign w:val="center"/>
          </w:tcPr>
          <w:p>
            <w:pPr>
              <w:widowControl/>
              <w:jc w:val="left"/>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kern w:val="0"/>
                <w:sz w:val="21"/>
                <w:szCs w:val="21"/>
              </w:rPr>
              <w:t>享受贴息的带动增加脱贫人口全年总收入</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≥1万元</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≥1万元</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both"/>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kern w:val="0"/>
                <w:sz w:val="21"/>
                <w:szCs w:val="21"/>
              </w:rPr>
              <w:t>享受雨露技工补贴增加收入</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≤1200元</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≤1200元</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left"/>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kern w:val="0"/>
                <w:sz w:val="21"/>
                <w:szCs w:val="21"/>
              </w:rPr>
              <w:t>享受雨露计划</w:t>
            </w:r>
            <w:r>
              <w:rPr>
                <w:rFonts w:hint="eastAsia" w:asciiTheme="minorEastAsia" w:hAnsiTheme="minorEastAsia" w:cstheme="minorEastAsia"/>
                <w:kern w:val="0"/>
                <w:sz w:val="21"/>
                <w:szCs w:val="21"/>
                <w:lang w:val="en-US" w:eastAsia="zh-CN"/>
              </w:rPr>
              <w:t>中</w:t>
            </w:r>
            <w:r>
              <w:rPr>
                <w:rFonts w:hint="eastAsia" w:asciiTheme="minorEastAsia" w:hAnsiTheme="minorEastAsia" w:eastAsiaTheme="minorEastAsia" w:cstheme="minorEastAsia"/>
                <w:kern w:val="0"/>
                <w:sz w:val="21"/>
                <w:szCs w:val="21"/>
              </w:rPr>
              <w:t>职教育补助增加收入</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bidi="ar-SA"/>
              </w:rPr>
            </w:pPr>
            <w:r>
              <w:rPr>
                <w:rFonts w:hint="eastAsia" w:asciiTheme="minorEastAsia" w:hAnsiTheme="minorEastAsia" w:eastAsiaTheme="minorEastAsia" w:cstheme="minorEastAsia"/>
                <w:bCs/>
                <w:color w:val="000000"/>
                <w:kern w:val="0"/>
                <w:sz w:val="21"/>
                <w:szCs w:val="21"/>
                <w:lang w:val="en-US" w:eastAsia="zh-CN"/>
              </w:rPr>
              <w:t>3000元/学年</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bidi="ar-SA"/>
              </w:rPr>
            </w:pPr>
            <w:r>
              <w:rPr>
                <w:rFonts w:hint="eastAsia" w:asciiTheme="minorEastAsia" w:hAnsiTheme="minorEastAsia" w:eastAsiaTheme="minorEastAsia" w:cstheme="minorEastAsia"/>
                <w:bCs/>
                <w:color w:val="000000"/>
                <w:kern w:val="0"/>
                <w:sz w:val="21"/>
                <w:szCs w:val="21"/>
                <w:lang w:val="en-US" w:eastAsia="zh-CN"/>
              </w:rPr>
              <w:t>3000元/学年</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3145" w:type="dxa"/>
            <w:gridSpan w:val="2"/>
            <w:shd w:val="clear" w:color="auto" w:fill="auto"/>
            <w:noWrap w:val="0"/>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享受雨露计划高职教育补助增加收入</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bidi="ar-SA"/>
              </w:rPr>
            </w:pPr>
            <w:r>
              <w:rPr>
                <w:rFonts w:hint="eastAsia" w:asciiTheme="minorEastAsia" w:hAnsiTheme="minorEastAsia" w:eastAsiaTheme="minorEastAsia" w:cstheme="minorEastAsia"/>
                <w:bCs/>
                <w:color w:val="000000"/>
                <w:kern w:val="0"/>
                <w:sz w:val="21"/>
                <w:szCs w:val="21"/>
                <w:lang w:val="en-US" w:eastAsia="zh-CN"/>
              </w:rPr>
              <w:t>5000元/学年</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bidi="ar-SA"/>
              </w:rPr>
            </w:pPr>
            <w:r>
              <w:rPr>
                <w:rFonts w:hint="eastAsia" w:asciiTheme="minorEastAsia" w:hAnsiTheme="minorEastAsia" w:eastAsiaTheme="minorEastAsia" w:cstheme="minorEastAsia"/>
                <w:bCs/>
                <w:color w:val="000000"/>
                <w:kern w:val="0"/>
                <w:sz w:val="21"/>
                <w:szCs w:val="21"/>
                <w:lang w:val="en-US" w:eastAsia="zh-CN"/>
              </w:rPr>
              <w:t>5000元/学年</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kern w:val="0"/>
                <w:sz w:val="21"/>
                <w:szCs w:val="21"/>
              </w:rPr>
              <w:t>社会效益指标</w:t>
            </w:r>
          </w:p>
        </w:tc>
        <w:tc>
          <w:tcPr>
            <w:tcW w:w="3145" w:type="dxa"/>
            <w:gridSpan w:val="2"/>
            <w:shd w:val="clear" w:color="auto" w:fill="auto"/>
            <w:noWrap w:val="0"/>
            <w:vAlign w:val="center"/>
          </w:tcPr>
          <w:p>
            <w:pPr>
              <w:widowControl/>
              <w:jc w:val="left"/>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kern w:val="0"/>
                <w:sz w:val="21"/>
                <w:szCs w:val="21"/>
              </w:rPr>
              <w:t>受益对象脱贫攻坚相关政策知晓率</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≥90%</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≥90%</w:t>
            </w:r>
          </w:p>
        </w:tc>
        <w:tc>
          <w:tcPr>
            <w:tcW w:w="2106" w:type="dxa"/>
            <w:shd w:val="clear" w:color="auto" w:fill="auto"/>
            <w:noWrap w:val="0"/>
            <w:vAlign w:val="center"/>
          </w:tcPr>
          <w:p>
            <w:pPr>
              <w:widowControl/>
              <w:jc w:val="left"/>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kern w:val="0"/>
                <w:sz w:val="21"/>
                <w:szCs w:val="21"/>
              </w:rPr>
              <w:t>可持续影响指标</w:t>
            </w:r>
          </w:p>
        </w:tc>
        <w:tc>
          <w:tcPr>
            <w:tcW w:w="3145" w:type="dxa"/>
            <w:gridSpan w:val="2"/>
            <w:shd w:val="clear" w:color="auto" w:fill="auto"/>
            <w:noWrap w:val="0"/>
            <w:vAlign w:val="center"/>
          </w:tcPr>
          <w:p>
            <w:pPr>
              <w:widowControl/>
              <w:jc w:val="left"/>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贷款期限</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≤3年</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≤3年</w:t>
            </w:r>
          </w:p>
        </w:tc>
        <w:tc>
          <w:tcPr>
            <w:tcW w:w="2106" w:type="dxa"/>
            <w:shd w:val="clear" w:color="auto" w:fill="auto"/>
            <w:noWrap w:val="0"/>
            <w:vAlign w:val="center"/>
          </w:tcPr>
          <w:p>
            <w:pPr>
              <w:widowControl/>
              <w:jc w:val="left"/>
              <w:rPr>
                <w:rFonts w:hint="eastAsia" w:asciiTheme="minorEastAsia" w:hAnsiTheme="minorEastAsia" w:eastAsiaTheme="minorEastAsia" w:cstheme="minorEastAsia"/>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restart"/>
            <w:shd w:val="clear" w:color="auto" w:fill="auto"/>
            <w:noWrap w:val="0"/>
            <w:vAlign w:val="center"/>
          </w:tcPr>
          <w:p>
            <w:pPr>
              <w:widowControl/>
              <w:jc w:val="center"/>
              <w:rPr>
                <w:rFonts w:hint="eastAsia" w:ascii="宋体" w:hAnsi="宋体" w:eastAsia="等线" w:cs="宋体"/>
                <w:bCs/>
                <w:color w:val="000000"/>
                <w:kern w:val="0"/>
                <w:sz w:val="24"/>
                <w:szCs w:val="24"/>
              </w:rPr>
            </w:pPr>
            <w:r>
              <w:rPr>
                <w:rFonts w:hint="eastAsia" w:ascii="宋体" w:hAnsi="宋体" w:eastAsia="等线" w:cs="宋体"/>
                <w:kern w:val="0"/>
                <w:sz w:val="20"/>
                <w:szCs w:val="20"/>
              </w:rPr>
              <w:t>满意度指标</w:t>
            </w:r>
          </w:p>
        </w:tc>
        <w:tc>
          <w:tcPr>
            <w:tcW w:w="1088" w:type="dxa"/>
            <w:vMerge w:val="restart"/>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kern w:val="0"/>
                <w:sz w:val="21"/>
                <w:szCs w:val="21"/>
              </w:rPr>
              <w:t>服务对象满意度指标</w:t>
            </w:r>
          </w:p>
        </w:tc>
        <w:tc>
          <w:tcPr>
            <w:tcW w:w="3145" w:type="dxa"/>
            <w:gridSpan w:val="2"/>
            <w:shd w:val="clear" w:color="auto" w:fill="auto"/>
            <w:noWrap w:val="0"/>
            <w:vAlign w:val="center"/>
          </w:tcPr>
          <w:p>
            <w:pPr>
              <w:widowControl/>
              <w:jc w:val="left"/>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kern w:val="0"/>
                <w:sz w:val="21"/>
                <w:szCs w:val="21"/>
              </w:rPr>
              <w:t>市级主管部门对我局工作满意度</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≥95%</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≥95%</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p>
        </w:tc>
        <w:tc>
          <w:tcPr>
            <w:tcW w:w="3145" w:type="dxa"/>
            <w:gridSpan w:val="2"/>
            <w:shd w:val="clear" w:color="auto" w:fill="auto"/>
            <w:noWrap w:val="0"/>
            <w:vAlign w:val="center"/>
          </w:tcPr>
          <w:p>
            <w:pPr>
              <w:widowControl/>
              <w:jc w:val="left"/>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县委县政府对我局工作满意度</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bidi="ar-SA"/>
              </w:rPr>
            </w:pPr>
            <w:r>
              <w:rPr>
                <w:rFonts w:hint="eastAsia" w:asciiTheme="minorEastAsia" w:hAnsiTheme="minorEastAsia" w:eastAsiaTheme="minorEastAsia" w:cstheme="minorEastAsia"/>
                <w:bCs/>
                <w:color w:val="000000"/>
                <w:kern w:val="0"/>
                <w:sz w:val="21"/>
                <w:szCs w:val="21"/>
              </w:rPr>
              <w:t>≥95%</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bidi="ar-SA"/>
              </w:rPr>
            </w:pPr>
            <w:r>
              <w:rPr>
                <w:rFonts w:hint="eastAsia" w:asciiTheme="minorEastAsia" w:hAnsiTheme="minorEastAsia" w:eastAsiaTheme="minorEastAsia" w:cstheme="minorEastAsia"/>
                <w:bCs/>
                <w:color w:val="000000"/>
                <w:kern w:val="0"/>
                <w:sz w:val="21"/>
                <w:szCs w:val="21"/>
              </w:rPr>
              <w:t>≥95%</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242"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774" w:type="dxa"/>
            <w:vMerge w:val="continue"/>
            <w:shd w:val="clear" w:color="auto" w:fill="auto"/>
            <w:noWrap w:val="0"/>
            <w:vAlign w:val="center"/>
          </w:tcPr>
          <w:p>
            <w:pPr>
              <w:widowControl/>
              <w:jc w:val="center"/>
              <w:rPr>
                <w:rFonts w:hint="eastAsia" w:ascii="宋体" w:hAnsi="宋体" w:eastAsia="等线" w:cs="宋体"/>
                <w:bCs/>
                <w:color w:val="000000"/>
                <w:kern w:val="0"/>
                <w:sz w:val="24"/>
                <w:szCs w:val="24"/>
              </w:rPr>
            </w:pPr>
          </w:p>
        </w:tc>
        <w:tc>
          <w:tcPr>
            <w:tcW w:w="1088" w:type="dxa"/>
            <w:vMerge w:val="continue"/>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p>
        </w:tc>
        <w:tc>
          <w:tcPr>
            <w:tcW w:w="3145" w:type="dxa"/>
            <w:gridSpan w:val="2"/>
            <w:shd w:val="clear" w:color="auto" w:fill="auto"/>
            <w:noWrap w:val="0"/>
            <w:vAlign w:val="center"/>
          </w:tcPr>
          <w:p>
            <w:pPr>
              <w:widowControl/>
              <w:jc w:val="left"/>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受益对象满意度</w:t>
            </w:r>
          </w:p>
        </w:tc>
        <w:tc>
          <w:tcPr>
            <w:tcW w:w="1437"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lang w:val="en-US" w:eastAsia="zh-CN" w:bidi="ar-SA"/>
              </w:rPr>
            </w:pPr>
            <w:r>
              <w:rPr>
                <w:rFonts w:hint="eastAsia" w:asciiTheme="minorEastAsia" w:hAnsiTheme="minorEastAsia" w:eastAsiaTheme="minorEastAsia" w:cstheme="minorEastAsia"/>
                <w:bCs/>
                <w:color w:val="000000"/>
                <w:kern w:val="0"/>
                <w:sz w:val="21"/>
                <w:szCs w:val="21"/>
              </w:rPr>
              <w:t>≥9</w:t>
            </w:r>
            <w:r>
              <w:rPr>
                <w:rFonts w:hint="eastAsia" w:asciiTheme="minorEastAsia" w:hAnsiTheme="minorEastAsia" w:eastAsiaTheme="minorEastAsia" w:cstheme="minorEastAsia"/>
                <w:bCs/>
                <w:color w:val="000000"/>
                <w:kern w:val="0"/>
                <w:sz w:val="21"/>
                <w:szCs w:val="21"/>
                <w:lang w:val="en-US" w:eastAsia="zh-CN"/>
              </w:rPr>
              <w:t>0</w:t>
            </w:r>
            <w:r>
              <w:rPr>
                <w:rFonts w:hint="eastAsia" w:asciiTheme="minorEastAsia" w:hAnsiTheme="minorEastAsia" w:eastAsiaTheme="minorEastAsia" w:cstheme="minorEastAsia"/>
                <w:bCs/>
                <w:color w:val="000000"/>
                <w:kern w:val="0"/>
                <w:sz w:val="21"/>
                <w:szCs w:val="21"/>
              </w:rPr>
              <w:t>%</w:t>
            </w:r>
          </w:p>
        </w:tc>
        <w:tc>
          <w:tcPr>
            <w:tcW w:w="1455"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≥95%</w:t>
            </w:r>
          </w:p>
        </w:tc>
        <w:tc>
          <w:tcPr>
            <w:tcW w:w="2106" w:type="dxa"/>
            <w:shd w:val="clear" w:color="auto" w:fill="auto"/>
            <w:noWrap w:val="0"/>
            <w:vAlign w:val="center"/>
          </w:tcPr>
          <w:p>
            <w:pPr>
              <w:widowControl/>
              <w:jc w:val="center"/>
              <w:rPr>
                <w:rFonts w:hint="eastAsia" w:asciiTheme="minorEastAsia" w:hAnsiTheme="minorEastAsia" w:eastAsiaTheme="minorEastAsia" w:cstheme="minorEastAsia"/>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auto"/>
            <w:noWrap w:val="0"/>
            <w:vAlign w:val="center"/>
          </w:tcPr>
          <w:p>
            <w:pPr>
              <w:widowControl/>
              <w:jc w:val="center"/>
              <w:rPr>
                <w:rFonts w:hint="eastAsia" w:ascii="宋体" w:hAnsi="宋体" w:eastAsia="等线" w:cs="宋体"/>
                <w:kern w:val="0"/>
                <w:sz w:val="20"/>
                <w:szCs w:val="20"/>
              </w:rPr>
            </w:pPr>
            <w:r>
              <w:rPr>
                <w:rFonts w:hint="eastAsia" w:ascii="宋体" w:hAnsi="宋体" w:eastAsia="等线" w:cs="宋体"/>
                <w:kern w:val="0"/>
                <w:sz w:val="20"/>
                <w:szCs w:val="20"/>
              </w:rPr>
              <w:t>说明</w:t>
            </w:r>
          </w:p>
        </w:tc>
        <w:tc>
          <w:tcPr>
            <w:tcW w:w="10005" w:type="dxa"/>
            <w:gridSpan w:val="7"/>
            <w:shd w:val="clear" w:color="auto" w:fill="auto"/>
            <w:noWrap w:val="0"/>
            <w:vAlign w:val="center"/>
          </w:tcPr>
          <w:p>
            <w:pPr>
              <w:widowControl/>
              <w:jc w:val="center"/>
              <w:rPr>
                <w:rFonts w:hint="eastAsia" w:ascii="宋体" w:hAnsi="宋体" w:eastAsia="等线" w:cs="宋体"/>
                <w:kern w:val="0"/>
                <w:sz w:val="20"/>
                <w:szCs w:val="20"/>
              </w:rPr>
            </w:pPr>
          </w:p>
        </w:tc>
      </w:tr>
    </w:tbl>
    <w:p>
      <w:pPr>
        <w:widowControl/>
        <w:spacing w:line="594" w:lineRule="exact"/>
        <w:ind w:firstLine="1920" w:firstLineChars="600"/>
        <w:jc w:val="both"/>
        <w:rPr>
          <w:rFonts w:hint="eastAsia" w:ascii="Times New Roman" w:hAnsi="Times New Roman" w:eastAsia="方正小标宋_GBK"/>
          <w:color w:val="000000"/>
          <w:kern w:val="0"/>
          <w:sz w:val="18"/>
          <w:szCs w:val="18"/>
        </w:rPr>
      </w:pPr>
      <w:r>
        <w:rPr>
          <w:rFonts w:ascii="Times New Roman" w:hAnsi="Times New Roman" w:eastAsia="方正小标宋_GBK"/>
          <w:color w:val="000000"/>
          <w:kern w:val="0"/>
          <w:sz w:val="32"/>
          <w:szCs w:val="32"/>
        </w:rPr>
        <w:t>202</w:t>
      </w:r>
      <w:r>
        <w:rPr>
          <w:rFonts w:hint="eastAsia" w:ascii="Times New Roman" w:hAnsi="Times New Roman" w:eastAsia="方正小标宋_GBK"/>
          <w:color w:val="000000"/>
          <w:kern w:val="0"/>
          <w:sz w:val="32"/>
          <w:szCs w:val="32"/>
        </w:rPr>
        <w:t>1</w:t>
      </w:r>
      <w:r>
        <w:rPr>
          <w:rFonts w:ascii="Times New Roman" w:hAnsi="Times New Roman" w:eastAsia="方正小标宋_GBK"/>
          <w:color w:val="000000"/>
          <w:kern w:val="0"/>
          <w:sz w:val="32"/>
          <w:szCs w:val="32"/>
        </w:rPr>
        <w:t>年度项目绩效自评表</w:t>
      </w:r>
    </w:p>
    <w:tbl>
      <w:tblPr>
        <w:tblStyle w:val="5"/>
        <w:tblW w:w="10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763"/>
        <w:gridCol w:w="1068"/>
        <w:gridCol w:w="2136"/>
        <w:gridCol w:w="1087"/>
        <w:gridCol w:w="1069"/>
        <w:gridCol w:w="750"/>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项目</w:t>
            </w:r>
            <w:r>
              <w:rPr>
                <w:rFonts w:hint="eastAsia" w:ascii="宋体" w:hAnsi="宋体" w:eastAsia="等线" w:cs="宋体"/>
                <w:kern w:val="0"/>
                <w:sz w:val="21"/>
                <w:szCs w:val="21"/>
              </w:rPr>
              <w:t>名称</w:t>
            </w:r>
          </w:p>
        </w:tc>
        <w:tc>
          <w:tcPr>
            <w:tcW w:w="6054" w:type="dxa"/>
            <w:gridSpan w:val="4"/>
            <w:shd w:val="clear" w:color="auto" w:fill="auto"/>
            <w:noWrap w:val="0"/>
            <w:vAlign w:val="center"/>
          </w:tcPr>
          <w:p>
            <w:pPr>
              <w:widowControl/>
              <w:jc w:val="left"/>
              <w:rPr>
                <w:rFonts w:hint="eastAsia" w:ascii="宋体" w:hAnsi="宋体" w:eastAsia="等线" w:cs="宋体"/>
                <w:kern w:val="0"/>
                <w:sz w:val="21"/>
                <w:szCs w:val="21"/>
              </w:rPr>
            </w:pPr>
            <w:r>
              <w:rPr>
                <w:rFonts w:hint="eastAsia" w:asciiTheme="minorEastAsia" w:hAnsiTheme="minorEastAsia" w:eastAsiaTheme="minorEastAsia" w:cstheme="minorEastAsia"/>
                <w:kern w:val="0"/>
                <w:sz w:val="21"/>
                <w:szCs w:val="21"/>
              </w:rPr>
              <w:t>2021巩固脱贫保、2020年动态新增精准脱贫保及2021年动态新增巩固脱贫保</w:t>
            </w:r>
          </w:p>
        </w:tc>
        <w:tc>
          <w:tcPr>
            <w:tcW w:w="1069"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自评总分</w:t>
            </w:r>
          </w:p>
        </w:tc>
        <w:tc>
          <w:tcPr>
            <w:tcW w:w="2213" w:type="dxa"/>
            <w:gridSpan w:val="2"/>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主管部门</w:t>
            </w:r>
          </w:p>
        </w:tc>
        <w:tc>
          <w:tcPr>
            <w:tcW w:w="6054" w:type="dxa"/>
            <w:gridSpan w:val="4"/>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丰都县乡村振兴局</w:t>
            </w:r>
          </w:p>
        </w:tc>
        <w:tc>
          <w:tcPr>
            <w:tcW w:w="1069"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实施单位</w:t>
            </w:r>
          </w:p>
        </w:tc>
        <w:tc>
          <w:tcPr>
            <w:tcW w:w="2213" w:type="dxa"/>
            <w:gridSpan w:val="2"/>
            <w:shd w:val="clear" w:color="auto" w:fill="auto"/>
            <w:noWrap w:val="0"/>
            <w:vAlign w:val="center"/>
          </w:tcPr>
          <w:p>
            <w:pPr>
              <w:widowControl/>
              <w:jc w:val="left"/>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rPr>
              <w:t>中国人民财产保险股份有限公司丰都支公司、中国平安财产保险股份有限公</w:t>
            </w:r>
            <w:r>
              <w:rPr>
                <w:rFonts w:hint="eastAsia" w:asciiTheme="majorEastAsia" w:hAnsiTheme="majorEastAsia" w:eastAsiaTheme="majorEastAsia" w:cstheme="majorEastAsia"/>
                <w:sz w:val="21"/>
                <w:szCs w:val="21"/>
              </w:rPr>
              <w:t>司丰都支公司、中国人寿保险股份有限公司丰都县支公司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111" w:type="dxa"/>
            <w:vMerge w:val="restart"/>
            <w:shd w:val="clear" w:color="auto" w:fill="auto"/>
            <w:noWrap w:val="0"/>
            <w:vAlign w:val="center"/>
          </w:tcPr>
          <w:p>
            <w:pPr>
              <w:widowControl/>
              <w:jc w:val="center"/>
              <w:rPr>
                <w:rFonts w:ascii="宋体" w:hAnsi="宋体" w:eastAsia="等线" w:cs="宋体"/>
                <w:kern w:val="0"/>
                <w:sz w:val="21"/>
                <w:szCs w:val="21"/>
              </w:rPr>
            </w:pPr>
            <w:r>
              <w:rPr>
                <w:rFonts w:ascii="宋体" w:hAnsi="宋体" w:eastAsia="等线" w:cs="宋体"/>
                <w:kern w:val="0"/>
                <w:sz w:val="21"/>
                <w:szCs w:val="21"/>
              </w:rPr>
              <w:t>项目资金</w:t>
            </w:r>
          </w:p>
          <w:p>
            <w:pPr>
              <w:widowControl/>
              <w:jc w:val="center"/>
              <w:rPr>
                <w:rFonts w:hint="eastAsia" w:ascii="宋体" w:hAnsi="宋体" w:eastAsia="等线" w:cs="宋体"/>
                <w:kern w:val="0"/>
                <w:sz w:val="21"/>
                <w:szCs w:val="21"/>
              </w:rPr>
            </w:pPr>
            <w:r>
              <w:rPr>
                <w:rFonts w:ascii="宋体" w:hAnsi="宋体" w:eastAsia="等线" w:cs="宋体"/>
                <w:kern w:val="0"/>
                <w:sz w:val="21"/>
                <w:szCs w:val="21"/>
              </w:rPr>
              <w:t>（万元）</w:t>
            </w:r>
          </w:p>
        </w:tc>
        <w:tc>
          <w:tcPr>
            <w:tcW w:w="1763" w:type="dxa"/>
            <w:shd w:val="clear" w:color="auto" w:fill="auto"/>
            <w:noWrap w:val="0"/>
            <w:vAlign w:val="center"/>
          </w:tcPr>
          <w:p>
            <w:pPr>
              <w:widowControl/>
              <w:jc w:val="center"/>
              <w:rPr>
                <w:rFonts w:hint="eastAsia" w:ascii="宋体" w:hAnsi="宋体" w:eastAsia="等线" w:cs="宋体"/>
                <w:kern w:val="0"/>
                <w:sz w:val="21"/>
                <w:szCs w:val="21"/>
              </w:rPr>
            </w:pPr>
          </w:p>
        </w:tc>
        <w:tc>
          <w:tcPr>
            <w:tcW w:w="1068" w:type="dxa"/>
            <w:shd w:val="clear" w:color="auto" w:fill="auto"/>
            <w:noWrap w:val="0"/>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年</w:t>
            </w:r>
            <w:r>
              <w:rPr>
                <w:rFonts w:hint="eastAsia" w:asciiTheme="majorEastAsia" w:hAnsiTheme="majorEastAsia" w:eastAsiaTheme="majorEastAsia" w:cstheme="majorEastAsia"/>
                <w:kern w:val="0"/>
                <w:sz w:val="21"/>
                <w:szCs w:val="21"/>
                <w:lang w:val="en-US" w:eastAsia="zh-CN"/>
              </w:rPr>
              <w:t xml:space="preserve">  </w:t>
            </w:r>
            <w:r>
              <w:rPr>
                <w:rFonts w:hint="eastAsia" w:asciiTheme="majorEastAsia" w:hAnsiTheme="majorEastAsia" w:eastAsiaTheme="majorEastAsia" w:cstheme="majorEastAsia"/>
                <w:kern w:val="0"/>
                <w:sz w:val="21"/>
                <w:szCs w:val="21"/>
              </w:rPr>
              <w:t>初</w:t>
            </w:r>
          </w:p>
          <w:p>
            <w:pPr>
              <w:widowControl/>
              <w:jc w:val="center"/>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rPr>
              <w:t>预算数</w:t>
            </w:r>
          </w:p>
        </w:tc>
        <w:tc>
          <w:tcPr>
            <w:tcW w:w="3223" w:type="dxa"/>
            <w:gridSpan w:val="2"/>
            <w:shd w:val="clear" w:color="auto" w:fill="auto"/>
            <w:noWrap w:val="0"/>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全</w:t>
            </w:r>
            <w:r>
              <w:rPr>
                <w:rFonts w:hint="eastAsia" w:asciiTheme="majorEastAsia" w:hAnsiTheme="majorEastAsia" w:eastAsiaTheme="majorEastAsia" w:cstheme="majorEastAsia"/>
                <w:kern w:val="0"/>
                <w:sz w:val="21"/>
                <w:szCs w:val="21"/>
                <w:lang w:val="en-US" w:eastAsia="zh-CN"/>
              </w:rPr>
              <w:t xml:space="preserve">  </w:t>
            </w:r>
            <w:r>
              <w:rPr>
                <w:rFonts w:hint="eastAsia" w:asciiTheme="majorEastAsia" w:hAnsiTheme="majorEastAsia" w:eastAsiaTheme="majorEastAsia" w:cstheme="majorEastAsia"/>
                <w:kern w:val="0"/>
                <w:sz w:val="21"/>
                <w:szCs w:val="21"/>
              </w:rPr>
              <w:t>年</w:t>
            </w:r>
          </w:p>
          <w:p>
            <w:pPr>
              <w:widowControl/>
              <w:jc w:val="center"/>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rPr>
              <w:t>预</w:t>
            </w:r>
            <w:r>
              <w:rPr>
                <w:rFonts w:hint="eastAsia" w:asciiTheme="majorEastAsia" w:hAnsiTheme="majorEastAsia" w:eastAsiaTheme="majorEastAsia" w:cstheme="majorEastAsia"/>
                <w:kern w:val="0"/>
                <w:sz w:val="21"/>
                <w:szCs w:val="21"/>
                <w:lang w:val="en-US" w:eastAsia="zh-CN"/>
              </w:rPr>
              <w:t xml:space="preserve"> </w:t>
            </w:r>
            <w:r>
              <w:rPr>
                <w:rFonts w:hint="eastAsia" w:asciiTheme="majorEastAsia" w:hAnsiTheme="majorEastAsia" w:eastAsiaTheme="majorEastAsia" w:cstheme="majorEastAsia"/>
                <w:kern w:val="0"/>
                <w:sz w:val="21"/>
                <w:szCs w:val="21"/>
              </w:rPr>
              <w:t>算</w:t>
            </w:r>
            <w:r>
              <w:rPr>
                <w:rFonts w:hint="eastAsia" w:asciiTheme="majorEastAsia" w:hAnsiTheme="majorEastAsia" w:eastAsiaTheme="majorEastAsia" w:cstheme="majorEastAsia"/>
                <w:kern w:val="0"/>
                <w:sz w:val="21"/>
                <w:szCs w:val="21"/>
                <w:lang w:val="en-US" w:eastAsia="zh-CN"/>
              </w:rPr>
              <w:t xml:space="preserve"> </w:t>
            </w:r>
            <w:r>
              <w:rPr>
                <w:rFonts w:hint="eastAsia" w:asciiTheme="majorEastAsia" w:hAnsiTheme="majorEastAsia" w:eastAsiaTheme="majorEastAsia" w:cstheme="majorEastAsia"/>
                <w:kern w:val="0"/>
                <w:sz w:val="21"/>
                <w:szCs w:val="21"/>
              </w:rPr>
              <w:t>数</w:t>
            </w:r>
          </w:p>
        </w:tc>
        <w:tc>
          <w:tcPr>
            <w:tcW w:w="1069" w:type="dxa"/>
            <w:shd w:val="clear" w:color="auto" w:fill="auto"/>
            <w:noWrap w:val="0"/>
            <w:vAlign w:val="center"/>
          </w:tcPr>
          <w:p>
            <w:pPr>
              <w:widowControl/>
              <w:jc w:val="center"/>
              <w:rPr>
                <w:rFonts w:ascii="宋体" w:hAnsi="宋体" w:eastAsia="等线" w:cs="宋体"/>
                <w:kern w:val="0"/>
                <w:sz w:val="21"/>
                <w:szCs w:val="21"/>
              </w:rPr>
            </w:pPr>
            <w:r>
              <w:rPr>
                <w:rFonts w:ascii="宋体" w:hAnsi="宋体" w:eastAsia="等线" w:cs="宋体"/>
                <w:kern w:val="0"/>
                <w:sz w:val="21"/>
                <w:szCs w:val="21"/>
              </w:rPr>
              <w:t>全</w:t>
            </w:r>
            <w:r>
              <w:rPr>
                <w:rFonts w:hint="eastAsia" w:ascii="宋体" w:hAnsi="宋体" w:eastAsia="等线" w:cs="宋体"/>
                <w:kern w:val="0"/>
                <w:sz w:val="21"/>
                <w:szCs w:val="21"/>
                <w:lang w:val="en-US" w:eastAsia="zh-CN"/>
              </w:rPr>
              <w:t xml:space="preserve">  </w:t>
            </w:r>
            <w:r>
              <w:rPr>
                <w:rFonts w:ascii="宋体" w:hAnsi="宋体" w:eastAsia="等线" w:cs="宋体"/>
                <w:kern w:val="0"/>
                <w:sz w:val="21"/>
                <w:szCs w:val="21"/>
              </w:rPr>
              <w:t>年</w:t>
            </w:r>
          </w:p>
          <w:p>
            <w:pPr>
              <w:widowControl/>
              <w:jc w:val="center"/>
              <w:rPr>
                <w:rFonts w:hint="eastAsia" w:ascii="宋体" w:hAnsi="宋体" w:eastAsia="等线" w:cs="宋体"/>
                <w:kern w:val="0"/>
                <w:sz w:val="21"/>
                <w:szCs w:val="21"/>
              </w:rPr>
            </w:pPr>
            <w:r>
              <w:rPr>
                <w:rFonts w:ascii="宋体" w:hAnsi="宋体" w:eastAsia="等线" w:cs="宋体"/>
                <w:kern w:val="0"/>
                <w:sz w:val="21"/>
                <w:szCs w:val="21"/>
              </w:rPr>
              <w:t>执行数</w:t>
            </w:r>
          </w:p>
        </w:tc>
        <w:tc>
          <w:tcPr>
            <w:tcW w:w="2213" w:type="dxa"/>
            <w:gridSpan w:val="2"/>
            <w:shd w:val="clear" w:color="auto" w:fill="auto"/>
            <w:noWrap w:val="0"/>
            <w:vAlign w:val="center"/>
          </w:tcPr>
          <w:p>
            <w:pPr>
              <w:widowControl/>
              <w:jc w:val="center"/>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rPr>
              <w:t>预算执行率（%）（全年执行数/全年预算数）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111"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763"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年度总金额</w:t>
            </w:r>
          </w:p>
        </w:tc>
        <w:tc>
          <w:tcPr>
            <w:tcW w:w="1068" w:type="dxa"/>
            <w:shd w:val="clear" w:color="auto" w:fill="auto"/>
            <w:noWrap w:val="0"/>
            <w:vAlign w:val="center"/>
          </w:tcPr>
          <w:p>
            <w:pPr>
              <w:widowControl/>
              <w:jc w:val="center"/>
              <w:rPr>
                <w:rFonts w:hint="eastAsia" w:ascii="宋体" w:hAnsi="宋体" w:eastAsia="等线" w:cs="宋体"/>
                <w:kern w:val="0"/>
                <w:sz w:val="21"/>
                <w:szCs w:val="21"/>
              </w:rPr>
            </w:pPr>
            <w:r>
              <w:rPr>
                <w:rFonts w:hint="eastAsia"/>
                <w:sz w:val="21"/>
                <w:szCs w:val="21"/>
              </w:rPr>
              <w:t>945.21</w:t>
            </w:r>
          </w:p>
        </w:tc>
        <w:tc>
          <w:tcPr>
            <w:tcW w:w="3223" w:type="dxa"/>
            <w:gridSpan w:val="2"/>
            <w:shd w:val="clear" w:color="auto" w:fill="auto"/>
            <w:noWrap w:val="0"/>
            <w:vAlign w:val="center"/>
          </w:tcPr>
          <w:p>
            <w:pPr>
              <w:widowControl/>
              <w:jc w:val="center"/>
              <w:rPr>
                <w:rFonts w:hint="eastAsia" w:ascii="宋体" w:hAnsi="宋体" w:eastAsia="等线" w:cs="宋体"/>
                <w:kern w:val="0"/>
                <w:sz w:val="21"/>
                <w:szCs w:val="21"/>
              </w:rPr>
            </w:pPr>
            <w:r>
              <w:rPr>
                <w:rFonts w:hint="eastAsia"/>
                <w:sz w:val="21"/>
                <w:szCs w:val="21"/>
              </w:rPr>
              <w:t>945.21</w:t>
            </w:r>
          </w:p>
        </w:tc>
        <w:tc>
          <w:tcPr>
            <w:tcW w:w="1069"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lang w:val="en-US" w:eastAsia="zh-CN"/>
              </w:rPr>
              <w:t>944.13</w:t>
            </w:r>
          </w:p>
        </w:tc>
        <w:tc>
          <w:tcPr>
            <w:tcW w:w="2213" w:type="dxa"/>
            <w:gridSpan w:val="2"/>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99.89</w:t>
            </w:r>
          </w:p>
          <w:p>
            <w:pPr>
              <w:widowControl/>
              <w:jc w:val="center"/>
              <w:rPr>
                <w:rFonts w:hint="eastAsia" w:ascii="宋体" w:hAnsi="宋体" w:eastAsia="等线"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11"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763"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rPr>
              <w:t>其中：财政拨款</w:t>
            </w:r>
          </w:p>
        </w:tc>
        <w:tc>
          <w:tcPr>
            <w:tcW w:w="1068" w:type="dxa"/>
            <w:shd w:val="clear" w:color="auto" w:fill="auto"/>
            <w:noWrap w:val="0"/>
            <w:vAlign w:val="center"/>
          </w:tcPr>
          <w:p>
            <w:pPr>
              <w:widowControl/>
              <w:jc w:val="center"/>
              <w:rPr>
                <w:rFonts w:hint="eastAsia" w:ascii="宋体" w:hAnsi="宋体" w:eastAsia="等线" w:cs="宋体"/>
                <w:kern w:val="0"/>
                <w:sz w:val="21"/>
                <w:szCs w:val="21"/>
              </w:rPr>
            </w:pPr>
            <w:r>
              <w:rPr>
                <w:rFonts w:hint="eastAsia"/>
                <w:sz w:val="21"/>
                <w:szCs w:val="21"/>
              </w:rPr>
              <w:t>945.21</w:t>
            </w:r>
          </w:p>
        </w:tc>
        <w:tc>
          <w:tcPr>
            <w:tcW w:w="3223" w:type="dxa"/>
            <w:gridSpan w:val="2"/>
            <w:shd w:val="clear" w:color="auto" w:fill="auto"/>
            <w:noWrap w:val="0"/>
            <w:vAlign w:val="center"/>
          </w:tcPr>
          <w:p>
            <w:pPr>
              <w:widowControl/>
              <w:jc w:val="center"/>
              <w:rPr>
                <w:rFonts w:hint="eastAsia" w:ascii="宋体" w:hAnsi="宋体" w:eastAsia="等线" w:cs="宋体"/>
                <w:kern w:val="0"/>
                <w:sz w:val="21"/>
                <w:szCs w:val="21"/>
              </w:rPr>
            </w:pPr>
            <w:r>
              <w:rPr>
                <w:rFonts w:hint="eastAsia"/>
                <w:sz w:val="21"/>
                <w:szCs w:val="21"/>
              </w:rPr>
              <w:t>945.21</w:t>
            </w:r>
          </w:p>
        </w:tc>
        <w:tc>
          <w:tcPr>
            <w:tcW w:w="1069"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944.13</w:t>
            </w:r>
          </w:p>
        </w:tc>
        <w:tc>
          <w:tcPr>
            <w:tcW w:w="2213" w:type="dxa"/>
            <w:gridSpan w:val="2"/>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11"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763"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上年结转结余</w:t>
            </w:r>
          </w:p>
        </w:tc>
        <w:tc>
          <w:tcPr>
            <w:tcW w:w="1068" w:type="dxa"/>
            <w:shd w:val="clear" w:color="auto" w:fill="auto"/>
            <w:noWrap w:val="0"/>
            <w:vAlign w:val="center"/>
          </w:tcPr>
          <w:p>
            <w:pPr>
              <w:widowControl/>
              <w:jc w:val="center"/>
              <w:rPr>
                <w:rFonts w:hint="eastAsia" w:ascii="宋体" w:hAnsi="宋体" w:eastAsia="等线" w:cs="宋体"/>
                <w:kern w:val="0"/>
                <w:sz w:val="21"/>
                <w:szCs w:val="21"/>
              </w:rPr>
            </w:pPr>
          </w:p>
        </w:tc>
        <w:tc>
          <w:tcPr>
            <w:tcW w:w="3223" w:type="dxa"/>
            <w:gridSpan w:val="2"/>
            <w:shd w:val="clear" w:color="auto" w:fill="auto"/>
            <w:noWrap w:val="0"/>
            <w:vAlign w:val="center"/>
          </w:tcPr>
          <w:p>
            <w:pPr>
              <w:widowControl/>
              <w:jc w:val="center"/>
              <w:rPr>
                <w:rFonts w:hint="eastAsia" w:ascii="宋体" w:hAnsi="宋体" w:eastAsia="等线" w:cs="宋体"/>
                <w:kern w:val="0"/>
                <w:sz w:val="21"/>
                <w:szCs w:val="21"/>
              </w:rPr>
            </w:pPr>
          </w:p>
        </w:tc>
        <w:tc>
          <w:tcPr>
            <w:tcW w:w="1069" w:type="dxa"/>
            <w:shd w:val="clear" w:color="auto" w:fill="auto"/>
            <w:noWrap w:val="0"/>
            <w:vAlign w:val="center"/>
          </w:tcPr>
          <w:p>
            <w:pPr>
              <w:widowControl/>
              <w:jc w:val="center"/>
              <w:rPr>
                <w:rFonts w:hint="eastAsia" w:ascii="宋体" w:hAnsi="宋体" w:eastAsia="等线" w:cs="宋体"/>
                <w:kern w:val="0"/>
                <w:sz w:val="21"/>
                <w:szCs w:val="21"/>
              </w:rPr>
            </w:pPr>
          </w:p>
        </w:tc>
        <w:tc>
          <w:tcPr>
            <w:tcW w:w="750" w:type="dxa"/>
            <w:shd w:val="clear" w:color="auto" w:fill="auto"/>
            <w:noWrap w:val="0"/>
            <w:vAlign w:val="center"/>
          </w:tcPr>
          <w:p>
            <w:pPr>
              <w:widowControl/>
              <w:jc w:val="center"/>
              <w:rPr>
                <w:rFonts w:hint="eastAsia" w:ascii="宋体" w:hAnsi="宋体" w:eastAsia="等线" w:cs="宋体"/>
                <w:kern w:val="0"/>
                <w:sz w:val="21"/>
                <w:szCs w:val="21"/>
              </w:rPr>
            </w:pPr>
          </w:p>
        </w:tc>
        <w:tc>
          <w:tcPr>
            <w:tcW w:w="1463" w:type="dxa"/>
            <w:shd w:val="clear" w:color="auto" w:fill="auto"/>
            <w:noWrap w:val="0"/>
            <w:vAlign w:val="center"/>
          </w:tcPr>
          <w:p>
            <w:pPr>
              <w:widowControl/>
              <w:jc w:val="center"/>
              <w:rPr>
                <w:rFonts w:hint="eastAsia" w:ascii="宋体" w:hAnsi="宋体" w:eastAsia="等线"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111"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763"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其他资金</w:t>
            </w:r>
          </w:p>
        </w:tc>
        <w:tc>
          <w:tcPr>
            <w:tcW w:w="1068" w:type="dxa"/>
            <w:shd w:val="clear" w:color="auto" w:fill="auto"/>
            <w:noWrap w:val="0"/>
            <w:vAlign w:val="center"/>
          </w:tcPr>
          <w:p>
            <w:pPr>
              <w:widowControl/>
              <w:jc w:val="center"/>
              <w:rPr>
                <w:rFonts w:hint="eastAsia" w:ascii="宋体" w:hAnsi="宋体" w:eastAsia="等线" w:cs="宋体"/>
                <w:kern w:val="0"/>
                <w:sz w:val="21"/>
                <w:szCs w:val="21"/>
              </w:rPr>
            </w:pPr>
          </w:p>
        </w:tc>
        <w:tc>
          <w:tcPr>
            <w:tcW w:w="3223" w:type="dxa"/>
            <w:gridSpan w:val="2"/>
            <w:shd w:val="clear" w:color="auto" w:fill="auto"/>
            <w:noWrap w:val="0"/>
            <w:vAlign w:val="center"/>
          </w:tcPr>
          <w:p>
            <w:pPr>
              <w:widowControl/>
              <w:jc w:val="center"/>
              <w:rPr>
                <w:rFonts w:hint="eastAsia" w:ascii="宋体" w:hAnsi="宋体" w:eastAsia="等线" w:cs="宋体"/>
                <w:kern w:val="0"/>
                <w:sz w:val="21"/>
                <w:szCs w:val="21"/>
              </w:rPr>
            </w:pPr>
          </w:p>
        </w:tc>
        <w:tc>
          <w:tcPr>
            <w:tcW w:w="1069" w:type="dxa"/>
            <w:shd w:val="clear" w:color="auto" w:fill="auto"/>
            <w:noWrap w:val="0"/>
            <w:vAlign w:val="center"/>
          </w:tcPr>
          <w:p>
            <w:pPr>
              <w:widowControl/>
              <w:jc w:val="center"/>
              <w:rPr>
                <w:rFonts w:hint="eastAsia" w:ascii="宋体" w:hAnsi="宋体" w:eastAsia="等线" w:cs="宋体"/>
                <w:kern w:val="0"/>
                <w:sz w:val="21"/>
                <w:szCs w:val="21"/>
              </w:rPr>
            </w:pPr>
          </w:p>
        </w:tc>
        <w:tc>
          <w:tcPr>
            <w:tcW w:w="750" w:type="dxa"/>
            <w:shd w:val="clear" w:color="auto" w:fill="auto"/>
            <w:noWrap w:val="0"/>
            <w:vAlign w:val="center"/>
          </w:tcPr>
          <w:p>
            <w:pPr>
              <w:widowControl/>
              <w:jc w:val="center"/>
              <w:rPr>
                <w:rFonts w:hint="eastAsia" w:ascii="宋体" w:hAnsi="宋体" w:eastAsia="等线" w:cs="宋体"/>
                <w:kern w:val="0"/>
                <w:sz w:val="21"/>
                <w:szCs w:val="21"/>
              </w:rPr>
            </w:pPr>
          </w:p>
        </w:tc>
        <w:tc>
          <w:tcPr>
            <w:tcW w:w="1463" w:type="dxa"/>
            <w:shd w:val="clear" w:color="auto" w:fill="auto"/>
            <w:noWrap w:val="0"/>
            <w:vAlign w:val="center"/>
          </w:tcPr>
          <w:p>
            <w:pPr>
              <w:widowControl/>
              <w:jc w:val="center"/>
              <w:rPr>
                <w:rFonts w:hint="eastAsia" w:ascii="宋体" w:hAnsi="宋体" w:eastAsia="等线"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11" w:type="dxa"/>
            <w:vMerge w:val="restart"/>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年度总体目标</w:t>
            </w:r>
          </w:p>
        </w:tc>
        <w:tc>
          <w:tcPr>
            <w:tcW w:w="6054" w:type="dxa"/>
            <w:gridSpan w:val="4"/>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预期目标</w:t>
            </w:r>
          </w:p>
        </w:tc>
        <w:tc>
          <w:tcPr>
            <w:tcW w:w="3282" w:type="dxa"/>
            <w:gridSpan w:val="3"/>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Merge w:val="continue"/>
            <w:shd w:val="clear" w:color="auto" w:fill="auto"/>
            <w:noWrap w:val="0"/>
            <w:vAlign w:val="center"/>
          </w:tcPr>
          <w:p>
            <w:pPr>
              <w:widowControl/>
              <w:jc w:val="center"/>
              <w:rPr>
                <w:rFonts w:hint="eastAsia" w:asciiTheme="minorEastAsia" w:hAnsiTheme="minorEastAsia" w:eastAsiaTheme="minorEastAsia" w:cstheme="minorEastAsia"/>
                <w:kern w:val="0"/>
                <w:sz w:val="21"/>
                <w:szCs w:val="21"/>
                <w:lang w:eastAsia="zh-CN"/>
              </w:rPr>
            </w:pPr>
          </w:p>
        </w:tc>
        <w:tc>
          <w:tcPr>
            <w:tcW w:w="6054" w:type="dxa"/>
            <w:gridSpan w:val="4"/>
            <w:shd w:val="clear" w:color="auto" w:fill="auto"/>
            <w:noWrap w:val="0"/>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为全县符合条件的脱贫人口、新增人员</w:t>
            </w:r>
            <w:r>
              <w:rPr>
                <w:rFonts w:hint="eastAsia" w:asciiTheme="minorEastAsia" w:hAnsiTheme="minorEastAsia" w:cstheme="minorEastAsia"/>
                <w:kern w:val="0"/>
                <w:sz w:val="21"/>
                <w:szCs w:val="21"/>
                <w:lang w:val="en-US" w:eastAsia="zh-CN"/>
              </w:rPr>
              <w:t>预计</w:t>
            </w:r>
            <w:r>
              <w:rPr>
                <w:rFonts w:hint="eastAsia" w:asciiTheme="minorEastAsia" w:hAnsiTheme="minorEastAsia" w:eastAsiaTheme="minorEastAsia" w:cstheme="minorEastAsia"/>
                <w:kern w:val="0"/>
                <w:sz w:val="21"/>
                <w:szCs w:val="21"/>
                <w:lang w:val="en-US" w:eastAsia="zh-CN"/>
              </w:rPr>
              <w:t>7.2万人，</w:t>
            </w:r>
            <w:r>
              <w:rPr>
                <w:rFonts w:hint="eastAsia" w:asciiTheme="minorEastAsia" w:hAnsiTheme="minorEastAsia" w:eastAsiaTheme="minorEastAsia" w:cstheme="minorEastAsia"/>
                <w:kern w:val="0"/>
                <w:sz w:val="21"/>
                <w:szCs w:val="21"/>
              </w:rPr>
              <w:t>免费购买“巩固脱贫保险”</w:t>
            </w:r>
          </w:p>
        </w:tc>
        <w:tc>
          <w:tcPr>
            <w:tcW w:w="3282" w:type="dxa"/>
            <w:gridSpan w:val="3"/>
            <w:shd w:val="clear" w:color="auto" w:fill="auto"/>
            <w:noWrap w:val="0"/>
            <w:vAlign w:val="center"/>
          </w:tcPr>
          <w:p>
            <w:pPr>
              <w:widowControl/>
              <w:jc w:val="left"/>
              <w:rPr>
                <w:rFonts w:hint="eastAsia" w:asciiTheme="minorEastAsia" w:hAnsiTheme="minorEastAsia" w:eastAsiaTheme="minorEastAsia" w:cstheme="minorEastAsia"/>
                <w:kern w:val="0"/>
                <w:sz w:val="21"/>
                <w:szCs w:val="21"/>
                <w:lang w:val="en-US" w:eastAsia="zh-CN"/>
              </w:rPr>
            </w:pPr>
            <w:r>
              <w:rPr>
                <w:rFonts w:hint="eastAsia" w:asciiTheme="majorEastAsia" w:hAnsiTheme="majorEastAsia" w:eastAsiaTheme="majorEastAsia" w:cstheme="majorEastAsia"/>
                <w:kern w:val="0"/>
                <w:sz w:val="21"/>
                <w:szCs w:val="21"/>
                <w:lang w:val="en-US" w:eastAsia="zh-CN"/>
              </w:rPr>
              <w:t>已为全县符合条件的脱贫人口、新增人员72658人，免费购买“巩固脱贫保险”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111" w:type="dxa"/>
            <w:shd w:val="clear" w:color="auto" w:fill="auto"/>
            <w:noWrap w:val="0"/>
            <w:vAlign w:val="center"/>
          </w:tcPr>
          <w:p>
            <w:pPr>
              <w:widowControl/>
              <w:jc w:val="center"/>
              <w:rPr>
                <w:rFonts w:ascii="宋体" w:hAnsi="宋体" w:eastAsia="等线" w:cs="宋体"/>
                <w:kern w:val="0"/>
                <w:sz w:val="21"/>
                <w:szCs w:val="21"/>
              </w:rPr>
            </w:pPr>
            <w:r>
              <w:rPr>
                <w:rFonts w:ascii="宋体" w:hAnsi="宋体" w:eastAsia="等线" w:cs="宋体"/>
                <w:kern w:val="0"/>
                <w:sz w:val="21"/>
                <w:szCs w:val="21"/>
              </w:rPr>
              <w:t>绩效指标</w:t>
            </w:r>
          </w:p>
        </w:tc>
        <w:tc>
          <w:tcPr>
            <w:tcW w:w="1763"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一级指标</w:t>
            </w:r>
          </w:p>
        </w:tc>
        <w:tc>
          <w:tcPr>
            <w:tcW w:w="1068"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二级指标</w:t>
            </w:r>
          </w:p>
        </w:tc>
        <w:tc>
          <w:tcPr>
            <w:tcW w:w="2136"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三级指标</w:t>
            </w:r>
          </w:p>
        </w:tc>
        <w:tc>
          <w:tcPr>
            <w:tcW w:w="1087" w:type="dxa"/>
            <w:shd w:val="clear" w:color="auto" w:fill="auto"/>
            <w:noWrap w:val="0"/>
            <w:vAlign w:val="center"/>
          </w:tcPr>
          <w:p>
            <w:pPr>
              <w:widowControl/>
              <w:jc w:val="center"/>
              <w:rPr>
                <w:rFonts w:ascii="宋体" w:hAnsi="宋体" w:eastAsia="等线" w:cs="宋体"/>
                <w:kern w:val="0"/>
                <w:sz w:val="21"/>
                <w:szCs w:val="21"/>
              </w:rPr>
            </w:pPr>
            <w:r>
              <w:rPr>
                <w:rFonts w:ascii="宋体" w:hAnsi="宋体" w:eastAsia="等线" w:cs="宋体"/>
                <w:kern w:val="0"/>
                <w:sz w:val="21"/>
                <w:szCs w:val="21"/>
              </w:rPr>
              <w:t>年</w:t>
            </w:r>
            <w:r>
              <w:rPr>
                <w:rFonts w:hint="eastAsia" w:ascii="宋体" w:hAnsi="宋体" w:eastAsia="等线" w:cs="宋体"/>
                <w:kern w:val="0"/>
                <w:sz w:val="21"/>
                <w:szCs w:val="21"/>
                <w:lang w:val="en-US" w:eastAsia="zh-CN"/>
              </w:rPr>
              <w:t xml:space="preserve">  </w:t>
            </w:r>
            <w:r>
              <w:rPr>
                <w:rFonts w:ascii="宋体" w:hAnsi="宋体" w:eastAsia="等线" w:cs="宋体"/>
                <w:kern w:val="0"/>
                <w:sz w:val="21"/>
                <w:szCs w:val="21"/>
              </w:rPr>
              <w:t>度</w:t>
            </w:r>
          </w:p>
          <w:p>
            <w:pPr>
              <w:widowControl/>
              <w:jc w:val="center"/>
              <w:rPr>
                <w:rFonts w:hint="eastAsia" w:ascii="宋体" w:hAnsi="宋体" w:eastAsia="等线" w:cs="宋体"/>
                <w:kern w:val="0"/>
                <w:sz w:val="21"/>
                <w:szCs w:val="21"/>
              </w:rPr>
            </w:pPr>
            <w:r>
              <w:rPr>
                <w:rFonts w:ascii="宋体" w:hAnsi="宋体" w:eastAsia="等线" w:cs="宋体"/>
                <w:kern w:val="0"/>
                <w:sz w:val="21"/>
                <w:szCs w:val="21"/>
              </w:rPr>
              <w:t>指标值</w:t>
            </w:r>
          </w:p>
        </w:tc>
        <w:tc>
          <w:tcPr>
            <w:tcW w:w="1069" w:type="dxa"/>
            <w:shd w:val="clear" w:color="auto" w:fill="auto"/>
            <w:noWrap w:val="0"/>
            <w:vAlign w:val="center"/>
          </w:tcPr>
          <w:p>
            <w:pPr>
              <w:widowControl/>
              <w:jc w:val="center"/>
              <w:rPr>
                <w:rFonts w:ascii="宋体" w:hAnsi="宋体" w:eastAsia="等线" w:cs="宋体"/>
                <w:kern w:val="0"/>
                <w:sz w:val="21"/>
                <w:szCs w:val="21"/>
              </w:rPr>
            </w:pPr>
            <w:r>
              <w:rPr>
                <w:rFonts w:ascii="宋体" w:hAnsi="宋体" w:eastAsia="等线" w:cs="宋体"/>
                <w:kern w:val="0"/>
                <w:sz w:val="21"/>
                <w:szCs w:val="21"/>
              </w:rPr>
              <w:t>实</w:t>
            </w:r>
            <w:r>
              <w:rPr>
                <w:rFonts w:hint="eastAsia" w:ascii="宋体" w:hAnsi="宋体" w:eastAsia="等线" w:cs="宋体"/>
                <w:kern w:val="0"/>
                <w:sz w:val="21"/>
                <w:szCs w:val="21"/>
                <w:lang w:val="en-US" w:eastAsia="zh-CN"/>
              </w:rPr>
              <w:t xml:space="preserve"> </w:t>
            </w:r>
            <w:r>
              <w:rPr>
                <w:rFonts w:ascii="宋体" w:hAnsi="宋体" w:eastAsia="等线" w:cs="宋体"/>
                <w:kern w:val="0"/>
                <w:sz w:val="21"/>
                <w:szCs w:val="21"/>
              </w:rPr>
              <w:t>际</w:t>
            </w:r>
          </w:p>
          <w:p>
            <w:pPr>
              <w:widowControl/>
              <w:jc w:val="center"/>
              <w:rPr>
                <w:rFonts w:hint="eastAsia" w:ascii="宋体" w:hAnsi="宋体" w:eastAsia="等线" w:cs="宋体"/>
                <w:kern w:val="0"/>
                <w:sz w:val="21"/>
                <w:szCs w:val="21"/>
              </w:rPr>
            </w:pPr>
            <w:r>
              <w:rPr>
                <w:rFonts w:ascii="宋体" w:hAnsi="宋体" w:eastAsia="等线" w:cs="宋体"/>
                <w:kern w:val="0"/>
                <w:sz w:val="21"/>
                <w:szCs w:val="21"/>
              </w:rPr>
              <w:t>完</w:t>
            </w:r>
            <w:r>
              <w:rPr>
                <w:rFonts w:hint="eastAsia" w:ascii="宋体" w:hAnsi="宋体" w:eastAsia="等线" w:cs="宋体"/>
                <w:kern w:val="0"/>
                <w:sz w:val="21"/>
                <w:szCs w:val="21"/>
                <w:lang w:val="en-US" w:eastAsia="zh-CN"/>
              </w:rPr>
              <w:t xml:space="preserve"> </w:t>
            </w:r>
            <w:r>
              <w:rPr>
                <w:rFonts w:ascii="宋体" w:hAnsi="宋体" w:eastAsia="等线" w:cs="宋体"/>
                <w:kern w:val="0"/>
                <w:sz w:val="21"/>
                <w:szCs w:val="21"/>
              </w:rPr>
              <w:t>成值</w:t>
            </w:r>
          </w:p>
        </w:tc>
        <w:tc>
          <w:tcPr>
            <w:tcW w:w="750"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分值</w:t>
            </w:r>
          </w:p>
        </w:tc>
        <w:tc>
          <w:tcPr>
            <w:tcW w:w="1463"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111" w:type="dxa"/>
            <w:vMerge w:val="restart"/>
            <w:shd w:val="clear" w:color="auto" w:fill="auto"/>
            <w:noWrap w:val="0"/>
            <w:vAlign w:val="center"/>
          </w:tcPr>
          <w:p>
            <w:pPr>
              <w:widowControl/>
              <w:jc w:val="center"/>
              <w:rPr>
                <w:rFonts w:ascii="宋体" w:hAnsi="宋体" w:eastAsia="等线" w:cs="宋体"/>
                <w:kern w:val="0"/>
                <w:sz w:val="21"/>
                <w:szCs w:val="21"/>
              </w:rPr>
            </w:pPr>
          </w:p>
        </w:tc>
        <w:tc>
          <w:tcPr>
            <w:tcW w:w="1763" w:type="dxa"/>
            <w:vMerge w:val="restart"/>
            <w:shd w:val="clear" w:color="auto" w:fill="auto"/>
            <w:noWrap w:val="0"/>
            <w:vAlign w:val="center"/>
          </w:tcPr>
          <w:p>
            <w:pPr>
              <w:widowControl/>
              <w:rPr>
                <w:rFonts w:hint="eastAsia" w:ascii="宋体" w:hAnsi="宋体" w:eastAsia="等线" w:cs="宋体"/>
                <w:kern w:val="0"/>
                <w:sz w:val="21"/>
                <w:szCs w:val="21"/>
              </w:rPr>
            </w:pPr>
            <w:r>
              <w:rPr>
                <w:rFonts w:ascii="宋体" w:hAnsi="宋体" w:eastAsia="等线" w:cs="宋体"/>
                <w:kern w:val="0"/>
                <w:sz w:val="21"/>
                <w:szCs w:val="21"/>
              </w:rPr>
              <w:t>产出指标</w:t>
            </w:r>
          </w:p>
        </w:tc>
        <w:tc>
          <w:tcPr>
            <w:tcW w:w="1068"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数量指标</w:t>
            </w:r>
          </w:p>
        </w:tc>
        <w:tc>
          <w:tcPr>
            <w:tcW w:w="2136" w:type="dxa"/>
            <w:shd w:val="clear" w:color="auto" w:fill="auto"/>
            <w:noWrap w:val="0"/>
            <w:vAlign w:val="center"/>
          </w:tcPr>
          <w:p>
            <w:pPr>
              <w:widowControl/>
              <w:jc w:val="both"/>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参保人数（人）</w:t>
            </w:r>
          </w:p>
        </w:tc>
        <w:tc>
          <w:tcPr>
            <w:tcW w:w="1087"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default" w:ascii="Arial" w:hAnsi="Arial" w:eastAsia="等线" w:cs="Arial"/>
                <w:kern w:val="0"/>
                <w:sz w:val="21"/>
                <w:szCs w:val="21"/>
              </w:rPr>
              <w:t>≥</w:t>
            </w:r>
            <w:r>
              <w:rPr>
                <w:rFonts w:hint="eastAsia" w:ascii="宋体" w:hAnsi="宋体" w:eastAsia="等线" w:cs="宋体"/>
                <w:kern w:val="0"/>
                <w:sz w:val="21"/>
                <w:szCs w:val="21"/>
                <w:lang w:val="en-US" w:eastAsia="zh-CN"/>
              </w:rPr>
              <w:t>72000</w:t>
            </w:r>
          </w:p>
        </w:tc>
        <w:tc>
          <w:tcPr>
            <w:tcW w:w="1069"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72658</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11" w:type="dxa"/>
            <w:vMerge w:val="continue"/>
            <w:shd w:val="clear" w:color="auto" w:fill="auto"/>
            <w:noWrap w:val="0"/>
            <w:vAlign w:val="center"/>
          </w:tcPr>
          <w:p>
            <w:pPr>
              <w:widowControl/>
              <w:jc w:val="center"/>
              <w:rPr>
                <w:rFonts w:ascii="宋体" w:hAnsi="宋体" w:eastAsia="等线" w:cs="宋体"/>
                <w:kern w:val="0"/>
                <w:sz w:val="21"/>
                <w:szCs w:val="21"/>
              </w:rPr>
            </w:pPr>
          </w:p>
        </w:tc>
        <w:tc>
          <w:tcPr>
            <w:tcW w:w="1763"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068"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质量指标</w:t>
            </w:r>
          </w:p>
        </w:tc>
        <w:tc>
          <w:tcPr>
            <w:tcW w:w="2136"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巩</w:t>
            </w:r>
            <w:r>
              <w:rPr>
                <w:rFonts w:hint="eastAsia" w:asciiTheme="minorEastAsia" w:hAnsiTheme="minorEastAsia" w:eastAsiaTheme="minorEastAsia" w:cstheme="minorEastAsia"/>
                <w:kern w:val="0"/>
                <w:sz w:val="21"/>
                <w:szCs w:val="21"/>
                <w:lang w:val="en-US" w:eastAsia="zh-CN"/>
              </w:rPr>
              <w:t>固脱贫保参保率</w:t>
            </w:r>
          </w:p>
        </w:tc>
        <w:tc>
          <w:tcPr>
            <w:tcW w:w="1087"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100%</w:t>
            </w:r>
          </w:p>
        </w:tc>
        <w:tc>
          <w:tcPr>
            <w:tcW w:w="1069"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100%</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vMerge w:val="continue"/>
            <w:shd w:val="clear" w:color="auto" w:fill="auto"/>
            <w:noWrap w:val="0"/>
            <w:vAlign w:val="center"/>
          </w:tcPr>
          <w:p>
            <w:pPr>
              <w:widowControl/>
              <w:jc w:val="center"/>
              <w:rPr>
                <w:rFonts w:ascii="宋体" w:hAnsi="宋体" w:eastAsia="等线" w:cs="宋体"/>
                <w:kern w:val="0"/>
                <w:sz w:val="21"/>
                <w:szCs w:val="21"/>
              </w:rPr>
            </w:pPr>
          </w:p>
        </w:tc>
        <w:tc>
          <w:tcPr>
            <w:tcW w:w="1763"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068"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质量指标</w:t>
            </w:r>
          </w:p>
        </w:tc>
        <w:tc>
          <w:tcPr>
            <w:tcW w:w="2136" w:type="dxa"/>
            <w:shd w:val="clear" w:color="auto" w:fill="auto"/>
            <w:noWrap w:val="0"/>
            <w:vAlign w:val="center"/>
          </w:tcPr>
          <w:p>
            <w:pPr>
              <w:widowControl/>
              <w:jc w:val="left"/>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lang w:val="en-US" w:eastAsia="zh-CN"/>
              </w:rPr>
              <w:t>全县域内建档立卡贫困人口(脱贫人口)医疗保险“一站式”结算率</w:t>
            </w:r>
          </w:p>
        </w:tc>
        <w:tc>
          <w:tcPr>
            <w:tcW w:w="1087" w:type="dxa"/>
            <w:shd w:val="clear" w:color="auto" w:fill="auto"/>
            <w:noWrap w:val="0"/>
            <w:vAlign w:val="center"/>
          </w:tcPr>
          <w:p>
            <w:pPr>
              <w:widowControl/>
              <w:jc w:val="center"/>
              <w:rPr>
                <w:rFonts w:hint="eastAsia" w:ascii="宋体" w:hAnsi="宋体" w:eastAsia="等线" w:cs="宋体"/>
                <w:kern w:val="0"/>
                <w:sz w:val="21"/>
                <w:szCs w:val="21"/>
                <w:lang w:val="en-US" w:eastAsia="zh-CN" w:bidi="ar-SA"/>
              </w:rPr>
            </w:pPr>
            <w:r>
              <w:rPr>
                <w:rFonts w:hint="eastAsia" w:ascii="宋体" w:hAnsi="宋体" w:eastAsia="等线" w:cs="宋体"/>
                <w:kern w:val="0"/>
                <w:sz w:val="21"/>
                <w:szCs w:val="21"/>
                <w:lang w:val="en-US" w:eastAsia="zh-CN"/>
              </w:rPr>
              <w:t>100%</w:t>
            </w:r>
          </w:p>
        </w:tc>
        <w:tc>
          <w:tcPr>
            <w:tcW w:w="1069" w:type="dxa"/>
            <w:shd w:val="clear" w:color="auto" w:fill="auto"/>
            <w:noWrap w:val="0"/>
            <w:vAlign w:val="center"/>
          </w:tcPr>
          <w:p>
            <w:pPr>
              <w:widowControl/>
              <w:jc w:val="center"/>
              <w:rPr>
                <w:rFonts w:hint="eastAsia" w:ascii="宋体" w:hAnsi="宋体" w:eastAsia="等线" w:cs="宋体"/>
                <w:kern w:val="0"/>
                <w:sz w:val="21"/>
                <w:szCs w:val="21"/>
                <w:lang w:val="en-US" w:eastAsia="zh-CN" w:bidi="ar-SA"/>
              </w:rPr>
            </w:pPr>
            <w:r>
              <w:rPr>
                <w:rFonts w:hint="eastAsia" w:ascii="宋体" w:hAnsi="宋体" w:eastAsia="等线" w:cs="宋体"/>
                <w:kern w:val="0"/>
                <w:sz w:val="21"/>
                <w:szCs w:val="21"/>
                <w:lang w:val="en-US" w:eastAsia="zh-CN"/>
              </w:rPr>
              <w:t>100%</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vMerge w:val="continue"/>
            <w:shd w:val="clear" w:color="auto" w:fill="auto"/>
            <w:noWrap w:val="0"/>
            <w:vAlign w:val="center"/>
          </w:tcPr>
          <w:p>
            <w:pPr>
              <w:widowControl/>
              <w:jc w:val="center"/>
              <w:rPr>
                <w:rFonts w:ascii="宋体" w:hAnsi="宋体" w:eastAsia="等线" w:cs="宋体"/>
                <w:kern w:val="0"/>
                <w:sz w:val="21"/>
                <w:szCs w:val="21"/>
              </w:rPr>
            </w:pPr>
          </w:p>
        </w:tc>
        <w:tc>
          <w:tcPr>
            <w:tcW w:w="1763"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068"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时效指标</w:t>
            </w:r>
          </w:p>
        </w:tc>
        <w:tc>
          <w:tcPr>
            <w:tcW w:w="2136" w:type="dxa"/>
            <w:shd w:val="clear" w:color="auto" w:fill="auto"/>
            <w:noWrap w:val="0"/>
            <w:vAlign w:val="center"/>
          </w:tcPr>
          <w:p>
            <w:pPr>
              <w:widowControl/>
              <w:jc w:val="left"/>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lang w:val="en-US" w:eastAsia="zh-CN"/>
              </w:rPr>
              <w:t>建卡贫困户（脱贫户）房屋受灾处置率</w:t>
            </w:r>
          </w:p>
        </w:tc>
        <w:tc>
          <w:tcPr>
            <w:tcW w:w="1087" w:type="dxa"/>
            <w:shd w:val="clear" w:color="auto" w:fill="auto"/>
            <w:noWrap w:val="0"/>
            <w:vAlign w:val="center"/>
          </w:tcPr>
          <w:p>
            <w:pPr>
              <w:widowControl/>
              <w:jc w:val="center"/>
              <w:rPr>
                <w:rFonts w:hint="eastAsia" w:ascii="宋体" w:hAnsi="宋体" w:eastAsia="等线" w:cs="宋体"/>
                <w:kern w:val="0"/>
                <w:sz w:val="21"/>
                <w:szCs w:val="21"/>
                <w:lang w:val="en-US" w:eastAsia="zh-CN" w:bidi="ar-SA"/>
              </w:rPr>
            </w:pPr>
            <w:r>
              <w:rPr>
                <w:rFonts w:hint="eastAsia" w:ascii="宋体" w:hAnsi="宋体" w:eastAsia="等线" w:cs="宋体"/>
                <w:kern w:val="0"/>
                <w:sz w:val="21"/>
                <w:szCs w:val="21"/>
                <w:lang w:val="en-US" w:eastAsia="zh-CN"/>
              </w:rPr>
              <w:t>100%</w:t>
            </w:r>
          </w:p>
        </w:tc>
        <w:tc>
          <w:tcPr>
            <w:tcW w:w="1069" w:type="dxa"/>
            <w:shd w:val="clear" w:color="auto" w:fill="auto"/>
            <w:noWrap w:val="0"/>
            <w:vAlign w:val="center"/>
          </w:tcPr>
          <w:p>
            <w:pPr>
              <w:widowControl/>
              <w:jc w:val="center"/>
              <w:rPr>
                <w:rFonts w:hint="eastAsia" w:ascii="宋体" w:hAnsi="宋体" w:eastAsia="等线" w:cs="宋体"/>
                <w:kern w:val="0"/>
                <w:sz w:val="21"/>
                <w:szCs w:val="21"/>
                <w:lang w:val="en-US" w:eastAsia="zh-CN" w:bidi="ar-SA"/>
              </w:rPr>
            </w:pPr>
            <w:r>
              <w:rPr>
                <w:rFonts w:hint="eastAsia" w:ascii="宋体" w:hAnsi="宋体" w:eastAsia="等线" w:cs="宋体"/>
                <w:kern w:val="0"/>
                <w:sz w:val="21"/>
                <w:szCs w:val="21"/>
                <w:lang w:val="en-US" w:eastAsia="zh-CN"/>
              </w:rPr>
              <w:t>100%</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111" w:type="dxa"/>
            <w:vMerge w:val="continue"/>
            <w:shd w:val="clear" w:color="auto" w:fill="auto"/>
            <w:noWrap w:val="0"/>
            <w:vAlign w:val="center"/>
          </w:tcPr>
          <w:p>
            <w:pPr>
              <w:widowControl/>
              <w:jc w:val="center"/>
              <w:rPr>
                <w:rFonts w:ascii="宋体" w:hAnsi="宋体" w:eastAsia="等线" w:cs="宋体"/>
                <w:kern w:val="0"/>
                <w:sz w:val="21"/>
                <w:szCs w:val="21"/>
              </w:rPr>
            </w:pPr>
          </w:p>
        </w:tc>
        <w:tc>
          <w:tcPr>
            <w:tcW w:w="1763"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068"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成本指标</w:t>
            </w:r>
          </w:p>
        </w:tc>
        <w:tc>
          <w:tcPr>
            <w:tcW w:w="2136"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参保标准（元/人/年）</w:t>
            </w:r>
          </w:p>
        </w:tc>
        <w:tc>
          <w:tcPr>
            <w:tcW w:w="1087"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130</w:t>
            </w:r>
          </w:p>
        </w:tc>
        <w:tc>
          <w:tcPr>
            <w:tcW w:w="1069"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130</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vMerge w:val="continue"/>
            <w:shd w:val="clear" w:color="auto" w:fill="auto"/>
            <w:noWrap w:val="0"/>
            <w:vAlign w:val="center"/>
          </w:tcPr>
          <w:p>
            <w:pPr>
              <w:widowControl/>
              <w:jc w:val="center"/>
              <w:rPr>
                <w:rFonts w:ascii="宋体" w:hAnsi="宋体" w:eastAsia="等线" w:cs="宋体"/>
                <w:kern w:val="0"/>
                <w:sz w:val="21"/>
                <w:szCs w:val="21"/>
              </w:rPr>
            </w:pPr>
          </w:p>
        </w:tc>
        <w:tc>
          <w:tcPr>
            <w:tcW w:w="1763" w:type="dxa"/>
            <w:vMerge w:val="restart"/>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效益指标</w:t>
            </w:r>
          </w:p>
        </w:tc>
        <w:tc>
          <w:tcPr>
            <w:tcW w:w="1068"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社会效益</w:t>
            </w:r>
          </w:p>
        </w:tc>
        <w:tc>
          <w:tcPr>
            <w:tcW w:w="2136"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lang w:val="en-US" w:eastAsia="zh-CN"/>
              </w:rPr>
              <w:t>受益对象巩固脱贫保政策知晓率</w:t>
            </w:r>
          </w:p>
        </w:tc>
        <w:tc>
          <w:tcPr>
            <w:tcW w:w="1087"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≥90%</w:t>
            </w:r>
          </w:p>
        </w:tc>
        <w:tc>
          <w:tcPr>
            <w:tcW w:w="1069"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9</w:t>
            </w:r>
            <w:r>
              <w:rPr>
                <w:rFonts w:hint="eastAsia" w:ascii="宋体" w:hAnsi="宋体" w:eastAsia="等线" w:cs="宋体"/>
                <w:kern w:val="0"/>
                <w:sz w:val="21"/>
                <w:szCs w:val="21"/>
                <w:lang w:val="en-US" w:eastAsia="zh-CN"/>
              </w:rPr>
              <w:t>5</w:t>
            </w:r>
            <w:r>
              <w:rPr>
                <w:rFonts w:hint="eastAsia" w:ascii="宋体" w:hAnsi="宋体" w:eastAsia="等线" w:cs="宋体"/>
                <w:kern w:val="0"/>
                <w:sz w:val="21"/>
                <w:szCs w:val="21"/>
              </w:rPr>
              <w:t>%</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15</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vMerge w:val="continue"/>
            <w:shd w:val="clear" w:color="auto" w:fill="auto"/>
            <w:noWrap w:val="0"/>
            <w:vAlign w:val="center"/>
          </w:tcPr>
          <w:p>
            <w:pPr>
              <w:widowControl/>
              <w:jc w:val="center"/>
              <w:rPr>
                <w:rFonts w:ascii="宋体" w:hAnsi="宋体" w:eastAsia="等线" w:cs="宋体"/>
                <w:kern w:val="0"/>
                <w:sz w:val="21"/>
                <w:szCs w:val="21"/>
              </w:rPr>
            </w:pPr>
          </w:p>
        </w:tc>
        <w:tc>
          <w:tcPr>
            <w:tcW w:w="1763"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068" w:type="dxa"/>
            <w:shd w:val="clear" w:color="auto" w:fill="auto"/>
            <w:noWrap w:val="0"/>
            <w:vAlign w:val="center"/>
          </w:tcPr>
          <w:p>
            <w:pPr>
              <w:widowControl/>
              <w:jc w:val="center"/>
              <w:rPr>
                <w:rFonts w:hint="eastAsia" w:ascii="宋体" w:hAnsi="宋体" w:eastAsia="等线" w:cs="宋体"/>
                <w:kern w:val="0"/>
                <w:sz w:val="21"/>
                <w:szCs w:val="21"/>
              </w:rPr>
            </w:pPr>
          </w:p>
        </w:tc>
        <w:tc>
          <w:tcPr>
            <w:tcW w:w="2136"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受益人数（人）</w:t>
            </w:r>
          </w:p>
        </w:tc>
        <w:tc>
          <w:tcPr>
            <w:tcW w:w="1087" w:type="dxa"/>
            <w:shd w:val="clear" w:color="auto" w:fill="auto"/>
            <w:noWrap w:val="0"/>
            <w:vAlign w:val="center"/>
          </w:tcPr>
          <w:p>
            <w:pPr>
              <w:widowControl/>
              <w:jc w:val="center"/>
              <w:rPr>
                <w:rFonts w:hint="default" w:ascii="宋体" w:hAnsi="宋体" w:eastAsia="等线" w:cs="宋体"/>
                <w:kern w:val="0"/>
                <w:sz w:val="21"/>
                <w:szCs w:val="21"/>
                <w:lang w:val="en-US" w:eastAsia="zh-CN" w:bidi="ar-SA"/>
              </w:rPr>
            </w:pPr>
            <w:r>
              <w:rPr>
                <w:rFonts w:hint="default" w:ascii="Arial" w:hAnsi="Arial" w:eastAsia="等线" w:cs="Arial"/>
                <w:kern w:val="0"/>
                <w:sz w:val="21"/>
                <w:szCs w:val="21"/>
              </w:rPr>
              <w:t>≥</w:t>
            </w:r>
            <w:r>
              <w:rPr>
                <w:rFonts w:hint="eastAsia" w:ascii="宋体" w:hAnsi="宋体" w:eastAsia="等线" w:cs="宋体"/>
                <w:kern w:val="0"/>
                <w:sz w:val="21"/>
                <w:szCs w:val="21"/>
                <w:lang w:val="en-US" w:eastAsia="zh-CN"/>
              </w:rPr>
              <w:t>72000</w:t>
            </w:r>
          </w:p>
        </w:tc>
        <w:tc>
          <w:tcPr>
            <w:tcW w:w="1069" w:type="dxa"/>
            <w:shd w:val="clear" w:color="auto" w:fill="auto"/>
            <w:noWrap w:val="0"/>
            <w:vAlign w:val="center"/>
          </w:tcPr>
          <w:p>
            <w:pPr>
              <w:widowControl/>
              <w:jc w:val="center"/>
              <w:rPr>
                <w:rFonts w:hint="eastAsia" w:ascii="宋体" w:hAnsi="宋体" w:eastAsia="等线" w:cs="宋体"/>
                <w:kern w:val="0"/>
                <w:sz w:val="21"/>
                <w:szCs w:val="21"/>
                <w:lang w:val="en-US" w:eastAsia="zh-CN" w:bidi="ar-SA"/>
              </w:rPr>
            </w:pPr>
            <w:r>
              <w:rPr>
                <w:rFonts w:hint="eastAsia" w:ascii="宋体" w:hAnsi="宋体" w:eastAsia="等线" w:cs="宋体"/>
                <w:kern w:val="0"/>
                <w:sz w:val="21"/>
                <w:szCs w:val="21"/>
                <w:lang w:val="en-US" w:eastAsia="zh-CN"/>
              </w:rPr>
              <w:t>72658</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15</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vMerge w:val="continue"/>
            <w:shd w:val="clear" w:color="auto" w:fill="auto"/>
            <w:noWrap w:val="0"/>
            <w:vAlign w:val="center"/>
          </w:tcPr>
          <w:p>
            <w:pPr>
              <w:widowControl/>
              <w:jc w:val="center"/>
              <w:rPr>
                <w:rFonts w:ascii="宋体" w:hAnsi="宋体" w:eastAsia="等线" w:cs="宋体"/>
                <w:kern w:val="0"/>
                <w:sz w:val="21"/>
                <w:szCs w:val="21"/>
              </w:rPr>
            </w:pPr>
          </w:p>
        </w:tc>
        <w:tc>
          <w:tcPr>
            <w:tcW w:w="1763"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满意度指标</w:t>
            </w:r>
          </w:p>
        </w:tc>
        <w:tc>
          <w:tcPr>
            <w:tcW w:w="1068"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lang w:val="en-US" w:eastAsia="zh-CN"/>
              </w:rPr>
              <w:t>服务对象满意度</w:t>
            </w:r>
          </w:p>
        </w:tc>
        <w:tc>
          <w:tcPr>
            <w:tcW w:w="2136"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受益</w:t>
            </w:r>
            <w:r>
              <w:rPr>
                <w:rFonts w:hint="eastAsia" w:ascii="宋体" w:hAnsi="宋体" w:eastAsia="等线" w:cs="宋体"/>
                <w:kern w:val="0"/>
                <w:sz w:val="21"/>
                <w:szCs w:val="21"/>
                <w:lang w:val="en-US" w:eastAsia="zh-CN"/>
              </w:rPr>
              <w:t>对象</w:t>
            </w:r>
            <w:r>
              <w:rPr>
                <w:rFonts w:hint="eastAsia" w:ascii="宋体" w:hAnsi="宋体" w:eastAsia="等线" w:cs="宋体"/>
                <w:kern w:val="0"/>
                <w:sz w:val="21"/>
                <w:szCs w:val="21"/>
              </w:rPr>
              <w:t>满意度</w:t>
            </w:r>
          </w:p>
        </w:tc>
        <w:tc>
          <w:tcPr>
            <w:tcW w:w="1087"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≥90%</w:t>
            </w:r>
          </w:p>
        </w:tc>
        <w:tc>
          <w:tcPr>
            <w:tcW w:w="1069"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9</w:t>
            </w:r>
            <w:r>
              <w:rPr>
                <w:rFonts w:hint="eastAsia" w:ascii="宋体" w:hAnsi="宋体" w:eastAsia="等线" w:cs="宋体"/>
                <w:kern w:val="0"/>
                <w:sz w:val="21"/>
                <w:szCs w:val="21"/>
                <w:lang w:val="en-US" w:eastAsia="zh-CN"/>
              </w:rPr>
              <w:t>5</w:t>
            </w:r>
            <w:r>
              <w:rPr>
                <w:rFonts w:hint="eastAsia" w:ascii="宋体" w:hAnsi="宋体" w:eastAsia="等线" w:cs="宋体"/>
                <w:kern w:val="0"/>
                <w:sz w:val="21"/>
                <w:szCs w:val="21"/>
              </w:rPr>
              <w:t>%</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20</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shd w:val="clear" w:color="auto" w:fill="auto"/>
            <w:noWrap w:val="0"/>
            <w:vAlign w:val="center"/>
          </w:tcPr>
          <w:p>
            <w:pPr>
              <w:widowControl/>
              <w:jc w:val="center"/>
              <w:rPr>
                <w:rFonts w:ascii="宋体" w:hAnsi="宋体" w:eastAsia="等线" w:cs="宋体"/>
                <w:kern w:val="0"/>
                <w:sz w:val="21"/>
                <w:szCs w:val="21"/>
              </w:rPr>
            </w:pPr>
            <w:r>
              <w:rPr>
                <w:rFonts w:ascii="宋体" w:hAnsi="宋体" w:eastAsia="等线" w:cs="宋体"/>
                <w:kern w:val="0"/>
                <w:sz w:val="21"/>
                <w:szCs w:val="21"/>
              </w:rPr>
              <w:t>说明</w:t>
            </w:r>
          </w:p>
        </w:tc>
        <w:tc>
          <w:tcPr>
            <w:tcW w:w="9336" w:type="dxa"/>
            <w:gridSpan w:val="7"/>
            <w:shd w:val="clear" w:color="auto" w:fill="auto"/>
            <w:noWrap w:val="0"/>
            <w:vAlign w:val="center"/>
          </w:tcPr>
          <w:p>
            <w:pPr>
              <w:widowControl/>
              <w:jc w:val="center"/>
              <w:rPr>
                <w:rFonts w:hint="eastAsia" w:ascii="宋体" w:hAnsi="宋体" w:eastAsia="等线" w:cs="宋体"/>
                <w:kern w:val="0"/>
                <w:sz w:val="21"/>
                <w:szCs w:val="21"/>
              </w:rPr>
            </w:pP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eastAsia" w:ascii="Times New Roman" w:hAnsi="Times New Roman" w:eastAsia="方正仿宋_GBK"/>
          <w:b w:val="0"/>
          <w:color w:val="000000"/>
          <w:sz w:val="32"/>
          <w:szCs w:val="32"/>
        </w:rPr>
      </w:pPr>
      <w:r>
        <w:rPr>
          <w:rFonts w:ascii="Times New Roman" w:hAnsi="Times New Roman" w:eastAsia="方正仿宋_GBK"/>
          <w:sz w:val="32"/>
          <w:szCs w:val="32"/>
        </w:rPr>
        <w:pict>
          <v:shape id="_x0000_s2050" o:spid="_x0000_s2050" o:spt="32" type="#_x0000_t32" style="position:absolute;left:0pt;margin-left:-20.6pt;margin-top:-552.05pt;height:0pt;width:36pt;z-index:251660288;mso-width-relative:page;mso-height-relative:page;" o:connectortype="straight" filled="f" coordsize="21600,21600">
            <v:path arrowok="t"/>
            <v:fill on="f" focussize="0,0"/>
            <v:stroke/>
            <v:imagedata o:title=""/>
            <o:lock v:ext="edit"/>
          </v:shape>
        </w:pict>
      </w:r>
      <w:r>
        <w:rPr>
          <w:rStyle w:val="7"/>
          <w:rFonts w:hint="eastAsia" w:ascii="Times New Roman" w:hAnsi="Times New Roman" w:eastAsia="方正仿宋_GBK"/>
          <w:b w:val="0"/>
          <w:color w:val="000000"/>
          <w:sz w:val="32"/>
          <w:szCs w:val="32"/>
          <w:lang w:val="en-US" w:eastAsia="zh-CN"/>
        </w:rPr>
        <w:t>2.</w:t>
      </w:r>
      <w:r>
        <w:rPr>
          <w:rStyle w:val="7"/>
          <w:rFonts w:hint="eastAsia" w:ascii="Times New Roman" w:hAnsi="Times New Roman" w:eastAsia="方正仿宋_GBK"/>
          <w:b w:val="0"/>
          <w:color w:val="000000"/>
          <w:sz w:val="32"/>
          <w:szCs w:val="32"/>
        </w:rPr>
        <w:t>绩效自评报告或案例</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eastAsia" w:ascii="Times New Roman" w:hAnsi="Times New Roman" w:eastAsia="方正仿宋_GBK"/>
          <w:b w:val="0"/>
          <w:color w:val="000000"/>
          <w:sz w:val="32"/>
          <w:szCs w:val="32"/>
        </w:rPr>
      </w:pPr>
      <w:r>
        <w:rPr>
          <w:rStyle w:val="7"/>
          <w:rFonts w:hint="eastAsia" w:ascii="Times New Roman" w:hAnsi="Times New Roman" w:eastAsia="方正仿宋_GBK"/>
          <w:b w:val="0"/>
          <w:color w:val="000000"/>
          <w:sz w:val="32"/>
          <w:szCs w:val="32"/>
          <w:lang w:val="en-US" w:eastAsia="zh-CN"/>
        </w:rPr>
        <w:t>我单位</w:t>
      </w:r>
      <w:r>
        <w:rPr>
          <w:rStyle w:val="7"/>
          <w:rFonts w:hint="eastAsia" w:ascii="Times New Roman" w:hAnsi="Times New Roman" w:eastAsia="方正仿宋_GBK"/>
          <w:b w:val="0"/>
          <w:color w:val="000000"/>
          <w:sz w:val="32"/>
          <w:szCs w:val="32"/>
        </w:rPr>
        <w:t>未委托第三方开展绩效自评。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关于绩效自评结果的说明</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我单位绩效自评均已完成年度绩效目标。</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320" w:firstLineChars="100"/>
        <w:jc w:val="both"/>
        <w:textAlignment w:val="auto"/>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（三）重点绩效评价结果</w:t>
      </w:r>
    </w:p>
    <w:p>
      <w:pPr>
        <w:pStyle w:val="4"/>
        <w:widowControl w:val="0"/>
        <w:spacing w:before="0" w:beforeAutospacing="0" w:after="0" w:afterAutospacing="0" w:line="570" w:lineRule="exact"/>
        <w:ind w:firstLine="640" w:firstLineChars="200"/>
        <w:jc w:val="both"/>
        <w:rPr>
          <w:rStyle w:val="7"/>
          <w:rFonts w:ascii="Times New Roman" w:hAnsi="Times New Roman" w:cs="Times New Roman" w:eastAsiaTheme="minorEastAsia"/>
          <w:sz w:val="27"/>
          <w:szCs w:val="27"/>
        </w:rPr>
      </w:pPr>
      <w:r>
        <w:rPr>
          <w:rStyle w:val="7"/>
          <w:rFonts w:hint="eastAsia" w:ascii="Times New Roman" w:hAnsi="Times New Roman" w:eastAsia="方正仿宋_GBK"/>
          <w:b w:val="0"/>
          <w:color w:val="000000"/>
          <w:sz w:val="32"/>
          <w:szCs w:val="32"/>
          <w:lang w:val="en-US" w:eastAsia="zh-CN"/>
        </w:rPr>
        <w:t>我单位</w:t>
      </w:r>
      <w:r>
        <w:rPr>
          <w:rStyle w:val="7"/>
          <w:rFonts w:hint="eastAsia" w:ascii="Times New Roman" w:hAnsi="Times New Roman" w:eastAsia="方正仿宋_GBK"/>
          <w:b w:val="0"/>
          <w:color w:val="000000"/>
          <w:sz w:val="32"/>
          <w:szCs w:val="32"/>
        </w:rPr>
        <w:t>未委托第三方开展重点绩效评价。</w:t>
      </w:r>
      <w:r>
        <w:rPr>
          <w:rStyle w:val="7"/>
          <w:rFonts w:ascii="Times New Roman" w:hAnsi="Times New Roman" w:cs="Times New Roman" w:eastAsiaTheme="minorEastAsia"/>
          <w:sz w:val="27"/>
          <w:szCs w:val="27"/>
        </w:rPr>
        <w:t> </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eastAsia" w:ascii="Times New Roman" w:hAnsi="Times New Roman" w:cs="Times New Roman" w:eastAsiaTheme="minorEastAsia"/>
          <w:sz w:val="27"/>
          <w:szCs w:val="27"/>
        </w:rPr>
      </w:pPr>
      <w:r>
        <w:rPr>
          <w:rStyle w:val="7"/>
          <w:rFonts w:hint="eastAsia" w:ascii="黑体" w:hAnsi="黑体" w:eastAsia="黑体" w:cs="Times New Roman"/>
          <w:b w:val="0"/>
          <w:color w:val="000000"/>
          <w:sz w:val="32"/>
          <w:szCs w:val="32"/>
        </w:rPr>
        <w:t>六、专业名词解释</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（一）财政拨款收入：</w:t>
      </w:r>
      <w:r>
        <w:rPr>
          <w:rFonts w:hint="eastAsia" w:ascii="Times New Roman" w:hAnsi="Times New Roman" w:eastAsia="方正仿宋_GBK"/>
          <w:sz w:val="32"/>
          <w:szCs w:val="32"/>
          <w:lang w:val="en-US" w:eastAsia="zh-CN"/>
        </w:rPr>
        <w:t>指本年度从本级财政部门取得的财政拨款，包括一般公共预算财政拨款和政府性基金预算财政拨款。</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（二）事业收入：</w:t>
      </w:r>
      <w:r>
        <w:rPr>
          <w:rFonts w:hint="eastAsia" w:ascii="Times New Roman" w:hAnsi="Times New Roman" w:eastAsia="方正仿宋_GBK"/>
          <w:sz w:val="32"/>
          <w:szCs w:val="32"/>
          <w:lang w:val="en-US" w:eastAsia="zh-CN"/>
        </w:rPr>
        <w:t>指事业单位开展专业业务活动及其辅助活动取得的现金流入；事业单位收到的财政专户实际核拨的教育收费等资金在此反映。</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eastAsia" w:ascii="方正楷体_GBK" w:hAnsi="Times New Roman" w:eastAsia="方正楷体_GBK" w:cs="Times New Roman"/>
          <w:b w:val="0"/>
          <w:color w:val="000000"/>
          <w:sz w:val="32"/>
          <w:szCs w:val="32"/>
        </w:rPr>
      </w:pPr>
      <w:r>
        <w:rPr>
          <w:rStyle w:val="7"/>
          <w:rFonts w:hint="eastAsia" w:ascii="方正楷体_GBK" w:hAnsi="Times New Roman" w:eastAsia="方正楷体_GBK" w:cs="Times New Roman"/>
          <w:b w:val="0"/>
          <w:color w:val="000000"/>
          <w:sz w:val="32"/>
          <w:szCs w:val="32"/>
        </w:rPr>
        <w:t> （三）经营收入：</w:t>
      </w:r>
      <w:r>
        <w:rPr>
          <w:rFonts w:hint="eastAsia" w:ascii="Times New Roman" w:hAnsi="Times New Roman" w:eastAsia="方正仿宋_GBK"/>
          <w:sz w:val="32"/>
          <w:szCs w:val="32"/>
          <w:lang w:val="en-US" w:eastAsia="zh-CN"/>
        </w:rPr>
        <w:t>指事业单位在专业业务活动及其辅助活动之外开展非独立核算经营活动取得的现金流入。</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（四）其他收入：</w:t>
      </w:r>
      <w:r>
        <w:rPr>
          <w:rFonts w:hint="eastAsia" w:ascii="Times New Roman" w:hAnsi="Times New Roman" w:eastAsia="方正仿宋_GBK"/>
          <w:sz w:val="32"/>
          <w:szCs w:val="32"/>
          <w:lang w:val="en-US" w:eastAsia="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（五）使用非财政拨款结余：</w:t>
      </w:r>
      <w:r>
        <w:rPr>
          <w:rFonts w:hint="eastAsia" w:ascii="Times New Roman" w:hAnsi="Times New Roman" w:eastAsia="方正仿宋_GBK"/>
          <w:sz w:val="32"/>
          <w:szCs w:val="32"/>
          <w:lang w:val="en-US" w:eastAsia="zh-CN"/>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（六）年初结转和结余：</w:t>
      </w:r>
      <w:r>
        <w:rPr>
          <w:rFonts w:hint="eastAsia" w:ascii="Times New Roman" w:hAnsi="Times New Roman" w:eastAsia="方正仿宋_GBK"/>
          <w:sz w:val="32"/>
          <w:szCs w:val="32"/>
          <w:lang w:val="en-US" w:eastAsia="zh-CN"/>
        </w:rPr>
        <w:t>指单位上年结转本年使用的基本支出结转、项目支出结转和结余、经营结余。</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（七）结余分配：</w:t>
      </w:r>
      <w:r>
        <w:rPr>
          <w:rFonts w:hint="eastAsia" w:ascii="Times New Roman" w:hAnsi="Times New Roman" w:eastAsia="方正仿宋_GBK"/>
          <w:sz w:val="32"/>
          <w:szCs w:val="32"/>
          <w:lang w:val="en-US" w:eastAsia="zh-CN"/>
        </w:rPr>
        <w:t>指单位按照国家有关规定，缴纳所得税、提取专用基金、转入非财政拨款结余等当年结余的分配情况。</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（八）年末结转和结余：</w:t>
      </w:r>
      <w:r>
        <w:rPr>
          <w:rFonts w:hint="eastAsia" w:ascii="Times New Roman" w:hAnsi="Times New Roman" w:eastAsia="方正仿宋_GBK"/>
          <w:sz w:val="32"/>
          <w:szCs w:val="32"/>
          <w:lang w:val="en-US" w:eastAsia="zh-CN"/>
        </w:rPr>
        <w:t>指单位结转下年的基本支出结转、项目支出结转和结余、经营结余。</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（九）基本支出：</w:t>
      </w:r>
      <w:r>
        <w:rPr>
          <w:rFonts w:hint="eastAsia" w:ascii="Times New Roman" w:hAnsi="Times New Roman" w:eastAsia="方正仿宋_GBK"/>
          <w:sz w:val="32"/>
          <w:szCs w:val="32"/>
          <w:lang w:val="en-US" w:eastAsia="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（十）项目支出：</w:t>
      </w:r>
      <w:r>
        <w:rPr>
          <w:rFonts w:hint="eastAsia" w:ascii="Times New Roman" w:hAnsi="Times New Roman" w:eastAsia="方正仿宋_GBK"/>
          <w:sz w:val="32"/>
          <w:szCs w:val="32"/>
          <w:lang w:val="en-US" w:eastAsia="zh-CN"/>
        </w:rPr>
        <w:t>指在基本支出之外为完成特定行政任务和事业发展目标所发生的支出。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（十一）经营支出：</w:t>
      </w:r>
      <w:r>
        <w:rPr>
          <w:rFonts w:hint="eastAsia" w:ascii="Times New Roman" w:hAnsi="Times New Roman" w:eastAsia="方正仿宋_GBK"/>
          <w:sz w:val="32"/>
          <w:szCs w:val="32"/>
          <w:lang w:val="en-US" w:eastAsia="zh-CN"/>
        </w:rPr>
        <w:t>指事业单位在专业业务活动及其辅助活动之外开展非独立核算经营活动发生的支出。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（十二）“三公”经费：</w:t>
      </w:r>
      <w:r>
        <w:rPr>
          <w:rFonts w:hint="eastAsia" w:ascii="Times New Roman" w:hAnsi="Times New Roman" w:eastAsia="方正仿宋_GBK"/>
          <w:sz w:val="32"/>
          <w:szCs w:val="32"/>
          <w:lang w:val="en-US" w:eastAsia="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（十三）机关运行经费：</w:t>
      </w:r>
      <w:r>
        <w:rPr>
          <w:rFonts w:hint="eastAsia" w:ascii="Times New Roman" w:hAnsi="Times New Roman" w:eastAsia="方正仿宋_GBK"/>
          <w:sz w:val="32"/>
          <w:szCs w:val="32"/>
          <w:lang w:val="en-US"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（十四）工资福利支出（支出经济分类科目类级）：</w:t>
      </w:r>
      <w:r>
        <w:rPr>
          <w:rFonts w:hint="eastAsia" w:ascii="Times New Roman" w:hAnsi="Times New Roman" w:eastAsia="方正仿宋_GBK"/>
          <w:sz w:val="32"/>
          <w:szCs w:val="32"/>
          <w:lang w:val="en-US" w:eastAsia="zh-CN"/>
        </w:rPr>
        <w:t>反映单位开支的在职职工和编制外长期聘用人员的各类劳动报酬，以及为上述人员缴纳的各项社会保险费等。</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（十五）商品和服务支出（支出经济分类科目类级）：</w:t>
      </w:r>
      <w:r>
        <w:rPr>
          <w:rFonts w:hint="eastAsia" w:ascii="Times New Roman" w:hAnsi="Times New Roman" w:eastAsia="方正仿宋_GBK"/>
          <w:sz w:val="32"/>
          <w:szCs w:val="32"/>
          <w:lang w:val="en-US" w:eastAsia="zh-CN"/>
        </w:rPr>
        <w:t>反映单位购买商品和服务的支出（不包括用于购置固定资产的支出、战略性和应急储备支出）。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（十六）对个人和家庭的补助（支出经济分类科目类级）：</w:t>
      </w:r>
      <w:r>
        <w:rPr>
          <w:rFonts w:hint="eastAsia" w:ascii="Times New Roman" w:hAnsi="Times New Roman" w:eastAsia="方正仿宋_GBK"/>
          <w:sz w:val="32"/>
          <w:szCs w:val="32"/>
          <w:lang w:val="en-US" w:eastAsia="zh-CN"/>
        </w:rPr>
        <w:t>反映用于对个人和家庭的补助支出。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（十七）其他资本性支出（支出经济分类科目类级）：</w:t>
      </w:r>
      <w:r>
        <w:rPr>
          <w:rFonts w:hint="eastAsia" w:ascii="Times New Roman" w:hAnsi="Times New Roman" w:eastAsia="方正仿宋_GBK"/>
          <w:sz w:val="32"/>
          <w:szCs w:val="32"/>
          <w:lang w:val="en-US" w:eastAsia="zh-CN"/>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542" w:firstLineChars="200"/>
        <w:jc w:val="both"/>
        <w:textAlignment w:val="auto"/>
        <w:rPr>
          <w:rStyle w:val="7"/>
          <w:rFonts w:ascii="黑体" w:hAnsi="黑体" w:eastAsia="黑体"/>
          <w:b w:val="0"/>
          <w:color w:val="000000"/>
          <w:sz w:val="32"/>
          <w:szCs w:val="32"/>
        </w:rPr>
      </w:pPr>
      <w:r>
        <w:rPr>
          <w:rStyle w:val="7"/>
          <w:sz w:val="27"/>
          <w:szCs w:val="27"/>
        </w:rPr>
        <w:t> </w:t>
      </w:r>
      <w:r>
        <w:rPr>
          <w:rStyle w:val="7"/>
          <w:rFonts w:hint="eastAsia" w:ascii="黑体" w:hAnsi="黑体" w:eastAsia="黑体"/>
          <w:b w:val="0"/>
          <w:color w:val="000000"/>
          <w:sz w:val="32"/>
          <w:szCs w:val="32"/>
        </w:rPr>
        <w:t>七、决算公开联系方式及信息反馈渠道</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pPr>
      <w:r>
        <w:rPr>
          <w:rFonts w:hint="eastAsia" w:ascii="Times New Roman" w:hAnsi="Times New Roman" w:eastAsia="方正仿宋_GBK"/>
          <w:sz w:val="32"/>
          <w:szCs w:val="32"/>
          <w:lang w:val="en-US" w:eastAsia="zh-CN"/>
        </w:rPr>
        <w:t>本部门决算公开信息反馈和联系方式： 023-70605715</w:t>
      </w:r>
    </w:p>
    <w:p/>
    <w:sectPr>
      <w:footerReference r:id="rId3" w:type="default"/>
      <w:pgSz w:w="11906" w:h="16838"/>
      <w:pgMar w:top="1440" w:right="1800" w:bottom="1440" w:left="1800"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等线">
    <w:altName w:val="汉仪中圆B5"/>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Q4YzE3OWZjYTMzZjI3M2U0MDU0NjUyYjRjMGNlNzYifQ=="/>
  </w:docVars>
  <w:rsids>
    <w:rsidRoot w:val="001B56B8"/>
    <w:rsid w:val="001B56B8"/>
    <w:rsid w:val="00FD3E40"/>
    <w:rsid w:val="01EE1133"/>
    <w:rsid w:val="02A96E98"/>
    <w:rsid w:val="02DA1F3A"/>
    <w:rsid w:val="033105C6"/>
    <w:rsid w:val="03E80687"/>
    <w:rsid w:val="046F64AA"/>
    <w:rsid w:val="05145BD8"/>
    <w:rsid w:val="065A057C"/>
    <w:rsid w:val="07607BA6"/>
    <w:rsid w:val="07D77825"/>
    <w:rsid w:val="07E37D09"/>
    <w:rsid w:val="08394BED"/>
    <w:rsid w:val="09C17495"/>
    <w:rsid w:val="0A6376ED"/>
    <w:rsid w:val="0AEB42C2"/>
    <w:rsid w:val="0B3568A8"/>
    <w:rsid w:val="0B3D575C"/>
    <w:rsid w:val="0B6542B2"/>
    <w:rsid w:val="0CB41BA5"/>
    <w:rsid w:val="0D814026"/>
    <w:rsid w:val="0D9D0734"/>
    <w:rsid w:val="0DA76D6F"/>
    <w:rsid w:val="0F115431"/>
    <w:rsid w:val="0F24110D"/>
    <w:rsid w:val="103A226A"/>
    <w:rsid w:val="104F772E"/>
    <w:rsid w:val="13070B2A"/>
    <w:rsid w:val="130C4392"/>
    <w:rsid w:val="14BA1BCC"/>
    <w:rsid w:val="14E07884"/>
    <w:rsid w:val="15155054"/>
    <w:rsid w:val="15C63646"/>
    <w:rsid w:val="15FD4923"/>
    <w:rsid w:val="178E7A6B"/>
    <w:rsid w:val="184B770B"/>
    <w:rsid w:val="19006747"/>
    <w:rsid w:val="1B2D17A4"/>
    <w:rsid w:val="1D0F1D67"/>
    <w:rsid w:val="1D3544E5"/>
    <w:rsid w:val="1DAB47A7"/>
    <w:rsid w:val="1EFC1182"/>
    <w:rsid w:val="213A071E"/>
    <w:rsid w:val="22981ACF"/>
    <w:rsid w:val="23C6233B"/>
    <w:rsid w:val="24AD730D"/>
    <w:rsid w:val="272C6959"/>
    <w:rsid w:val="27D44E91"/>
    <w:rsid w:val="29A13581"/>
    <w:rsid w:val="29A924E3"/>
    <w:rsid w:val="2B050629"/>
    <w:rsid w:val="2B0D6AA1"/>
    <w:rsid w:val="2B3B53BD"/>
    <w:rsid w:val="2B433043"/>
    <w:rsid w:val="2BA967CA"/>
    <w:rsid w:val="2E2515A5"/>
    <w:rsid w:val="2E536048"/>
    <w:rsid w:val="30C10112"/>
    <w:rsid w:val="314E571E"/>
    <w:rsid w:val="31901DBB"/>
    <w:rsid w:val="31F6693E"/>
    <w:rsid w:val="33C176B5"/>
    <w:rsid w:val="33D22636"/>
    <w:rsid w:val="34D83C7C"/>
    <w:rsid w:val="35B07AF9"/>
    <w:rsid w:val="35ED3757"/>
    <w:rsid w:val="370B658B"/>
    <w:rsid w:val="37294C63"/>
    <w:rsid w:val="382F4F0F"/>
    <w:rsid w:val="38FF39F5"/>
    <w:rsid w:val="393C345D"/>
    <w:rsid w:val="3995038E"/>
    <w:rsid w:val="3A4D0124"/>
    <w:rsid w:val="3AA06FEA"/>
    <w:rsid w:val="3B824942"/>
    <w:rsid w:val="3B96663F"/>
    <w:rsid w:val="3E02584E"/>
    <w:rsid w:val="42907FB1"/>
    <w:rsid w:val="43DE6DD5"/>
    <w:rsid w:val="44527333"/>
    <w:rsid w:val="45C4137A"/>
    <w:rsid w:val="47C167F2"/>
    <w:rsid w:val="48482A6F"/>
    <w:rsid w:val="48943F06"/>
    <w:rsid w:val="49466F03"/>
    <w:rsid w:val="4B810772"/>
    <w:rsid w:val="4B8D34D4"/>
    <w:rsid w:val="4D2C0708"/>
    <w:rsid w:val="4DD728CB"/>
    <w:rsid w:val="4E564138"/>
    <w:rsid w:val="4EC217CD"/>
    <w:rsid w:val="4EE71234"/>
    <w:rsid w:val="4FCD042A"/>
    <w:rsid w:val="50A82C45"/>
    <w:rsid w:val="522D3402"/>
    <w:rsid w:val="52F61B03"/>
    <w:rsid w:val="558C48E3"/>
    <w:rsid w:val="56C76324"/>
    <w:rsid w:val="56FA587C"/>
    <w:rsid w:val="572823EA"/>
    <w:rsid w:val="57454D4A"/>
    <w:rsid w:val="576D42A0"/>
    <w:rsid w:val="5C5E240A"/>
    <w:rsid w:val="5D170F36"/>
    <w:rsid w:val="5D8F4F70"/>
    <w:rsid w:val="5DDE752F"/>
    <w:rsid w:val="5EE412EC"/>
    <w:rsid w:val="5F9C3B34"/>
    <w:rsid w:val="60010231"/>
    <w:rsid w:val="60065292"/>
    <w:rsid w:val="60161979"/>
    <w:rsid w:val="604E15F9"/>
    <w:rsid w:val="60DD3A26"/>
    <w:rsid w:val="614027FA"/>
    <w:rsid w:val="634A36E8"/>
    <w:rsid w:val="63896D02"/>
    <w:rsid w:val="63FD02BC"/>
    <w:rsid w:val="644A7E43"/>
    <w:rsid w:val="647A640E"/>
    <w:rsid w:val="654725D5"/>
    <w:rsid w:val="65EB11B2"/>
    <w:rsid w:val="6655487D"/>
    <w:rsid w:val="67062766"/>
    <w:rsid w:val="67B64473"/>
    <w:rsid w:val="68242759"/>
    <w:rsid w:val="68871CCB"/>
    <w:rsid w:val="68D73C6F"/>
    <w:rsid w:val="68D75E0F"/>
    <w:rsid w:val="69F936EF"/>
    <w:rsid w:val="6ABE50E7"/>
    <w:rsid w:val="6BC54253"/>
    <w:rsid w:val="6BD6650A"/>
    <w:rsid w:val="6CEB1A97"/>
    <w:rsid w:val="6D697DDA"/>
    <w:rsid w:val="6D6E4E1D"/>
    <w:rsid w:val="727D7636"/>
    <w:rsid w:val="72BD7A32"/>
    <w:rsid w:val="73263829"/>
    <w:rsid w:val="73BE7F06"/>
    <w:rsid w:val="74D67E03"/>
    <w:rsid w:val="753A5EA6"/>
    <w:rsid w:val="7567112B"/>
    <w:rsid w:val="77534E09"/>
    <w:rsid w:val="77791C41"/>
    <w:rsid w:val="78493FEE"/>
    <w:rsid w:val="794A4D1D"/>
    <w:rsid w:val="7A28257D"/>
    <w:rsid w:val="7A5655E0"/>
    <w:rsid w:val="7A9F18C5"/>
    <w:rsid w:val="7B152305"/>
    <w:rsid w:val="7B3960C4"/>
    <w:rsid w:val="7B3C200A"/>
    <w:rsid w:val="7B537186"/>
    <w:rsid w:val="7BAA4093"/>
    <w:rsid w:val="7C413482"/>
    <w:rsid w:val="7D382AD7"/>
    <w:rsid w:val="7DE44A0D"/>
    <w:rsid w:val="7DF12C86"/>
    <w:rsid w:val="FE3E7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8160</Words>
  <Characters>9092</Characters>
  <Lines>65</Lines>
  <Paragraphs>18</Paragraphs>
  <TotalTime>1</TotalTime>
  <ScaleCrop>false</ScaleCrop>
  <LinksUpToDate>false</LinksUpToDate>
  <CharactersWithSpaces>9224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2022-10-10T08:55:00Z</dcterms:created>
  <dc:creator>微软用户</dc:creator>
  <cp:lastModifiedBy>user</cp:lastModifiedBy>
  <dcterms:modified xsi:type="dcterms:W3CDTF">2023-05-24T16:30:12Z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481039ED4EDA4B79B66D2F4E11B4051A</vt:lpwstr>
  </property>
</Properties>
</file>