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570" w:lineRule="exact"/>
        <w:jc w:val="center"/>
        <w:rPr>
          <w:rFonts w:hint="eastAsia" w:ascii="Times New Roman" w:hAnsi="Times New Roman" w:eastAsia="方正小标宋_GBK" w:cs="Times New Roman"/>
          <w:color w:val="000000"/>
          <w:sz w:val="44"/>
          <w:szCs w:val="44"/>
        </w:rPr>
      </w:pPr>
    </w:p>
    <w:p>
      <w:pPr>
        <w:pStyle w:val="4"/>
        <w:widowControl w:val="0"/>
        <w:spacing w:before="0" w:beforeAutospacing="0" w:after="0" w:afterAutospacing="0" w:line="570"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重庆市丰都县乡村振兴局（本级）</w:t>
      </w:r>
    </w:p>
    <w:p>
      <w:pPr>
        <w:pStyle w:val="4"/>
        <w:widowControl w:val="0"/>
        <w:spacing w:before="0" w:beforeAutospacing="0" w:after="0" w:afterAutospacing="0" w:line="570" w:lineRule="exact"/>
        <w:jc w:val="center"/>
        <w:rPr>
          <w:rFonts w:hint="eastAsia" w:ascii="Times New Roman" w:hAnsi="Times New Roman" w:eastAsia="方正小标宋_GBK" w:cs="Times New Roman"/>
          <w:color w:val="000000"/>
          <w:sz w:val="44"/>
          <w:szCs w:val="44"/>
        </w:rPr>
      </w:pPr>
      <w:r>
        <w:rPr>
          <w:rFonts w:hint="eastAsia" w:ascii="Times New Roman" w:hAnsi="Times New Roman" w:eastAsia="方正小标宋_GBK" w:cs="Times New Roman"/>
          <w:color w:val="000000"/>
          <w:sz w:val="44"/>
          <w:szCs w:val="44"/>
        </w:rPr>
        <w:t>2021年度部门决算情况说明</w:t>
      </w:r>
    </w:p>
    <w:p>
      <w:pPr>
        <w:spacing w:line="570" w:lineRule="exact"/>
        <w:ind w:firstLine="640" w:firstLineChars="200"/>
        <w:rPr>
          <w:rFonts w:hint="eastAsia" w:ascii="黑体" w:hAnsi="黑体" w:eastAsia="黑体" w:cs="仿宋_GB2312"/>
          <w:sz w:val="32"/>
          <w:szCs w:val="32"/>
          <w:lang w:val="en-US" w:eastAsia="zh-CN"/>
        </w:rPr>
      </w:pPr>
      <w:bookmarkStart w:id="0" w:name="_GoBack"/>
      <w:bookmarkEnd w:id="0"/>
    </w:p>
    <w:p>
      <w:pPr>
        <w:spacing w:line="57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部门基本情况</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（一）职能职责</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丰都县乡村振兴局（原丰都县扶贫开发办公室）职能职责：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监督扶贫资金、物资的使用管理；负责管理扶贫开发项目，指导扶贫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 （二）机构设置</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丰都县扶贫开发办公室（本级）二级预算单位，内设3个职能科室（综合科、项目计划与产业发展科、社会扶贫与资金监管科），行政编制为9名，工勤编制1名，在职人数8人。</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rPr>
        <w:t>（三）单位构成</w:t>
      </w:r>
    </w:p>
    <w:p>
      <w:pPr>
        <w:spacing w:line="570" w:lineRule="exact"/>
        <w:ind w:firstLine="640" w:firstLineChars="200"/>
        <w:rPr>
          <w:rFonts w:hint="eastAsia" w:ascii="方正楷体_GBK" w:hAnsi="Times New Roman" w:eastAsia="方正楷体_GBK" w:cs="仿宋_GB2312"/>
          <w:bCs/>
          <w:sz w:val="32"/>
          <w:szCs w:val="32"/>
        </w:rPr>
      </w:pPr>
      <w:r>
        <w:rPr>
          <w:rFonts w:hint="eastAsia" w:ascii="方正楷体_GBK" w:hAnsi="Times New Roman" w:eastAsia="方正楷体_GBK" w:cs="仿宋_GB2312"/>
          <w:bCs/>
          <w:sz w:val="32"/>
          <w:szCs w:val="32"/>
          <w:lang w:val="en-US" w:eastAsia="zh-CN"/>
        </w:rPr>
        <w:t>从预算单位构成看，</w:t>
      </w:r>
      <w:r>
        <w:rPr>
          <w:rFonts w:hint="eastAsia" w:ascii="方正楷体_GBK" w:hAnsi="Times New Roman" w:eastAsia="方正楷体_GBK" w:cs="仿宋_GB2312"/>
          <w:bCs/>
          <w:sz w:val="32"/>
          <w:szCs w:val="32"/>
        </w:rPr>
        <w:t>无</w:t>
      </w:r>
      <w:r>
        <w:rPr>
          <w:rFonts w:hint="eastAsia" w:ascii="方正楷体_GBK" w:hAnsi="Times New Roman" w:eastAsia="方正楷体_GBK" w:cs="仿宋_GB2312"/>
          <w:bCs/>
          <w:sz w:val="32"/>
          <w:szCs w:val="32"/>
          <w:lang w:val="en-US" w:eastAsia="zh-CN"/>
        </w:rPr>
        <w:t>纳入</w:t>
      </w:r>
      <w:r>
        <w:rPr>
          <w:rFonts w:hint="eastAsia" w:ascii="方正楷体_GBK" w:hAnsi="Times New Roman" w:eastAsia="方正楷体_GBK" w:cs="仿宋_GB2312"/>
          <w:bCs/>
          <w:sz w:val="32"/>
          <w:szCs w:val="32"/>
        </w:rPr>
        <w:t>本单位</w:t>
      </w:r>
      <w:r>
        <w:rPr>
          <w:rFonts w:hint="eastAsia" w:ascii="方正楷体_GBK" w:hAnsi="Times New Roman" w:eastAsia="方正楷体_GBK" w:cs="仿宋_GB2312"/>
          <w:bCs/>
          <w:sz w:val="32"/>
          <w:szCs w:val="32"/>
          <w:lang w:val="en-US" w:eastAsia="zh-CN"/>
        </w:rPr>
        <w:t>2021年度决算编制的</w:t>
      </w:r>
      <w:r>
        <w:rPr>
          <w:rFonts w:hint="eastAsia" w:ascii="方正楷体_GBK" w:hAnsi="Times New Roman" w:eastAsia="方正楷体_GBK" w:cs="仿宋_GB2312"/>
          <w:bCs/>
          <w:sz w:val="32"/>
          <w:szCs w:val="32"/>
        </w:rPr>
        <w:t>下级预算单位。</w:t>
      </w:r>
    </w:p>
    <w:p>
      <w:pPr>
        <w:spacing w:line="57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二、部门决算情况说明 </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（一）收入支出决算总体情况说明</w:t>
      </w:r>
    </w:p>
    <w:p>
      <w:pPr>
        <w:spacing w:line="570" w:lineRule="exact"/>
        <w:ind w:firstLine="642"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ascii="Times New Roman" w:hAnsi="Times New Roman" w:eastAsia="方正仿宋_GBK" w:cs="Times New Roman"/>
          <w:color w:val="000000"/>
          <w:kern w:val="0"/>
          <w:sz w:val="32"/>
          <w:szCs w:val="32"/>
        </w:rPr>
        <w:t xml:space="preserve"> 1.总体情况。</w:t>
      </w:r>
      <w:r>
        <w:rPr>
          <w:rStyle w:val="7"/>
          <w:rFonts w:hint="default" w:ascii="Times New Roman" w:hAnsi="Times New Roman" w:eastAsia="方正仿宋_GBK" w:cs="Times New Roman"/>
          <w:b w:val="0"/>
          <w:color w:val="000000"/>
          <w:kern w:val="0"/>
          <w:sz w:val="32"/>
          <w:szCs w:val="32"/>
          <w:lang w:val="en-US" w:eastAsia="zh-CN" w:bidi="ar-SA"/>
        </w:rPr>
        <w:t>2021年度收入总计4,720.36万元，支出总计4,720.36万元。收支较上年决算数增加1,069.27万元、增长29.3%，主要原因是</w:t>
      </w:r>
      <w:r>
        <w:rPr>
          <w:rStyle w:val="7"/>
          <w:rFonts w:hint="eastAsia" w:ascii="Times New Roman" w:hAnsi="Times New Roman" w:eastAsia="方正仿宋_GBK" w:cs="Times New Roman"/>
          <w:b w:val="0"/>
          <w:color w:val="000000"/>
          <w:kern w:val="0"/>
          <w:sz w:val="32"/>
          <w:szCs w:val="32"/>
          <w:lang w:val="en-US" w:eastAsia="zh-CN" w:bidi="ar-SA"/>
        </w:rPr>
        <w:t>政策性调资晋级、巩固拓展脱贫攻坚成果同乡村振兴有效衔接项目资金投入增加等</w:t>
      </w:r>
      <w:r>
        <w:rPr>
          <w:rStyle w:val="7"/>
          <w:rFonts w:hint="default" w:ascii="Times New Roman" w:hAnsi="Times New Roman" w:eastAsia="方正仿宋_GBK" w:cs="Times New Roman"/>
          <w:b w:val="0"/>
          <w:color w:val="000000"/>
          <w:kern w:val="0"/>
          <w:sz w:val="32"/>
          <w:szCs w:val="32"/>
          <w:lang w:val="en-US" w:eastAsia="zh-CN" w:bidi="ar-SA"/>
        </w:rPr>
        <w:t>。</w:t>
      </w:r>
    </w:p>
    <w:p>
      <w:pPr>
        <w:spacing w:line="570" w:lineRule="exact"/>
        <w:ind w:firstLine="642"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ascii="Times New Roman" w:hAnsi="Times New Roman" w:eastAsia="方正仿宋_GBK" w:cs="Times New Roman"/>
          <w:color w:val="000000"/>
          <w:kern w:val="0"/>
          <w:sz w:val="32"/>
          <w:szCs w:val="32"/>
          <w:lang w:val="en-US" w:eastAsia="zh-CN"/>
        </w:rPr>
        <w:t>2.收入情况。</w:t>
      </w:r>
      <w:r>
        <w:rPr>
          <w:rStyle w:val="7"/>
          <w:rFonts w:hint="default" w:ascii="Times New Roman" w:hAnsi="Times New Roman" w:eastAsia="方正仿宋_GBK" w:cs="Times New Roman"/>
          <w:b w:val="0"/>
          <w:color w:val="000000"/>
          <w:kern w:val="0"/>
          <w:sz w:val="32"/>
          <w:szCs w:val="32"/>
          <w:lang w:val="en-US" w:eastAsia="zh-CN" w:bidi="ar-SA"/>
        </w:rPr>
        <w:t>2021年度收入合计4,207.58万元，较上年决算数增加1,617.95万元，增长62.5%，主要原因是</w:t>
      </w:r>
      <w:r>
        <w:rPr>
          <w:rStyle w:val="7"/>
          <w:rFonts w:hint="eastAsia" w:ascii="Times New Roman" w:hAnsi="Times New Roman" w:eastAsia="方正仿宋_GBK" w:cs="Times New Roman"/>
          <w:b w:val="0"/>
          <w:color w:val="000000"/>
          <w:kern w:val="0"/>
          <w:sz w:val="32"/>
          <w:szCs w:val="32"/>
          <w:lang w:val="en-US" w:eastAsia="zh-CN" w:bidi="ar-SA"/>
        </w:rPr>
        <w:t>政策性调资晋级、巩固拓展脱贫攻坚成果同乡村振兴有效衔接项目资金投入增加等</w:t>
      </w:r>
      <w:r>
        <w:rPr>
          <w:rStyle w:val="7"/>
          <w:rFonts w:hint="default" w:ascii="Times New Roman" w:hAnsi="Times New Roman" w:eastAsia="方正仿宋_GBK" w:cs="Times New Roman"/>
          <w:b w:val="0"/>
          <w:color w:val="000000"/>
          <w:kern w:val="0"/>
          <w:sz w:val="32"/>
          <w:szCs w:val="32"/>
          <w:lang w:val="en-US" w:eastAsia="zh-CN" w:bidi="ar-SA"/>
        </w:rPr>
        <w:t>。其中：财政拨款收入4,207.58万元，占100%。此外，使用非财政拨款结余0.00万元，年初结转和结余512.78万元。</w:t>
      </w:r>
    </w:p>
    <w:p>
      <w:pPr>
        <w:spacing w:line="570" w:lineRule="exact"/>
        <w:ind w:firstLine="642" w:firstLineChars="200"/>
        <w:rPr>
          <w:rStyle w:val="7"/>
          <w:rFonts w:hint="default" w:ascii="Times New Roman" w:hAnsi="Times New Roman" w:eastAsia="方正仿宋_GBK" w:cs="Times New Roman"/>
          <w:b w:val="0"/>
          <w:color w:val="000000"/>
          <w:kern w:val="0"/>
          <w:sz w:val="32"/>
          <w:szCs w:val="32"/>
          <w:lang w:val="en-US" w:eastAsia="zh-CN" w:bidi="ar-SA"/>
        </w:rPr>
      </w:pPr>
      <w:r>
        <w:rPr>
          <w:rStyle w:val="7"/>
          <w:rFonts w:ascii="Times New Roman" w:hAnsi="Times New Roman" w:eastAsia="方正仿宋_GBK" w:cs="Times New Roman"/>
          <w:color w:val="000000"/>
          <w:kern w:val="0"/>
          <w:sz w:val="32"/>
          <w:szCs w:val="32"/>
          <w:lang w:val="en-US" w:eastAsia="zh-CN"/>
        </w:rPr>
        <w:t>3.支出情况。</w:t>
      </w:r>
      <w:r>
        <w:rPr>
          <w:rStyle w:val="7"/>
          <w:rFonts w:hint="default" w:ascii="Times New Roman" w:hAnsi="Times New Roman" w:eastAsia="方正仿宋_GBK" w:cs="Times New Roman"/>
          <w:b w:val="0"/>
          <w:color w:val="000000"/>
          <w:kern w:val="0"/>
          <w:sz w:val="32"/>
          <w:szCs w:val="32"/>
          <w:lang w:val="en-US" w:eastAsia="zh-CN" w:bidi="ar-SA"/>
        </w:rPr>
        <w:t>2021年度支出合计4,207.23万元，较上年决算数增加1,068.92万元，增长34.1%，主要原因是</w:t>
      </w:r>
      <w:r>
        <w:rPr>
          <w:rStyle w:val="7"/>
          <w:rFonts w:hint="eastAsia" w:ascii="Times New Roman" w:hAnsi="Times New Roman" w:eastAsia="方正仿宋_GBK" w:cs="Times New Roman"/>
          <w:b w:val="0"/>
          <w:color w:val="000000"/>
          <w:kern w:val="0"/>
          <w:sz w:val="32"/>
          <w:szCs w:val="32"/>
          <w:lang w:val="en-US" w:eastAsia="zh-CN" w:bidi="ar-SA"/>
        </w:rPr>
        <w:t>政策性调资晋级、巩固拓展脱贫攻坚成果同乡村振兴有效衔接项目资金投入增加等</w:t>
      </w:r>
      <w:r>
        <w:rPr>
          <w:rStyle w:val="7"/>
          <w:rFonts w:hint="default" w:ascii="Times New Roman" w:hAnsi="Times New Roman" w:eastAsia="方正仿宋_GBK" w:cs="Times New Roman"/>
          <w:b w:val="0"/>
          <w:color w:val="000000"/>
          <w:kern w:val="0"/>
          <w:sz w:val="32"/>
          <w:szCs w:val="32"/>
          <w:lang w:val="en-US" w:eastAsia="zh-CN" w:bidi="ar-SA"/>
        </w:rPr>
        <w:t>。其中：基本支出361.34万元，占8.6%；项目支出3,845.89万元，占91.4%。此外，结余分配0.00万元。</w:t>
      </w:r>
    </w:p>
    <w:p>
      <w:pPr>
        <w:spacing w:line="570" w:lineRule="exact"/>
        <w:ind w:firstLine="642" w:firstLineChars="200"/>
        <w:rPr>
          <w:rFonts w:hint="default" w:ascii="Times New Roman" w:hAnsi="Times New Roman" w:eastAsia="方正楷体_GBK" w:cs="Times New Roman"/>
          <w:bCs/>
          <w:sz w:val="32"/>
          <w:szCs w:val="32"/>
          <w:lang w:val="en-US" w:eastAsia="zh-CN"/>
        </w:rPr>
      </w:pPr>
      <w:r>
        <w:rPr>
          <w:rStyle w:val="7"/>
          <w:rFonts w:ascii="Times New Roman" w:hAnsi="Times New Roman" w:eastAsia="方正仿宋_GBK" w:cs="Times New Roman"/>
          <w:color w:val="000000"/>
          <w:kern w:val="0"/>
          <w:sz w:val="32"/>
          <w:szCs w:val="32"/>
        </w:rPr>
        <w:t> 4.结转结余情况。</w:t>
      </w:r>
      <w:r>
        <w:rPr>
          <w:rStyle w:val="7"/>
          <w:rFonts w:hint="default" w:ascii="Times New Roman" w:hAnsi="Times New Roman" w:eastAsia="方正仿宋_GBK" w:cs="Times New Roman"/>
          <w:b w:val="0"/>
          <w:color w:val="000000"/>
          <w:kern w:val="0"/>
          <w:sz w:val="32"/>
          <w:szCs w:val="32"/>
          <w:lang w:val="en-US" w:eastAsia="zh-CN" w:bidi="ar-SA"/>
        </w:rPr>
        <w:t>2021年度年末结转和结余513.14万元，较上年决算数增加0.36万元，增长0.1%，主要原因是</w:t>
      </w:r>
      <w:r>
        <w:rPr>
          <w:rStyle w:val="7"/>
          <w:rFonts w:hint="eastAsia" w:ascii="Times New Roman" w:hAnsi="Times New Roman" w:eastAsia="方正仿宋_GBK" w:cs="Times New Roman"/>
          <w:b w:val="0"/>
          <w:color w:val="000000"/>
          <w:kern w:val="0"/>
          <w:sz w:val="32"/>
          <w:szCs w:val="32"/>
          <w:lang w:val="en-US" w:eastAsia="zh-CN" w:bidi="ar-SA"/>
        </w:rPr>
        <w:t>金融扶贫小额信贷风险补偿金</w:t>
      </w:r>
      <w:r>
        <w:rPr>
          <w:rStyle w:val="7"/>
          <w:rFonts w:hint="default" w:ascii="Times New Roman" w:hAnsi="Times New Roman" w:eastAsia="方正仿宋_GBK" w:cs="Times New Roman"/>
          <w:b w:val="0"/>
          <w:color w:val="000000"/>
          <w:kern w:val="0"/>
          <w:sz w:val="32"/>
          <w:szCs w:val="32"/>
          <w:lang w:val="en-US" w:eastAsia="zh-CN" w:bidi="ar-SA"/>
        </w:rPr>
        <w:t>。</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（二）财政拨款收入支出决算总体情况说明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2021年度财政拨款收、支总计4,720.36万元。与2020年相比，财政拨款收、支总计各增加1,069.27万元，增长29.3%。主要原因是.政策性调资晋级、巩固拓展脱贫攻坚成果同乡村振兴有效衔接项目资金投入增加等。</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（三）一般公共预算财政拨款收入支出决算情况说明</w:t>
      </w:r>
    </w:p>
    <w:p>
      <w:pPr>
        <w:pStyle w:val="4"/>
        <w:widowControl w:val="0"/>
        <w:spacing w:before="0" w:beforeAutospacing="0" w:after="0" w:afterAutospacing="0" w:line="570" w:lineRule="exact"/>
        <w:ind w:firstLine="640" w:firstLineChars="200"/>
        <w:jc w:val="both"/>
        <w:rPr>
          <w:rStyle w:val="7"/>
          <w:rFonts w:hint="eastAsia" w:ascii="Times New Roman" w:hAnsi="Times New Roman" w:eastAsia="方正仿宋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 </w:t>
      </w:r>
      <w:r>
        <w:rPr>
          <w:rStyle w:val="7"/>
          <w:rFonts w:hint="eastAsia" w:ascii="Times New Roman" w:hAnsi="Times New Roman" w:eastAsia="方正仿宋_GBK" w:cs="Times New Roman"/>
          <w:color w:val="000000"/>
          <w:kern w:val="0"/>
          <w:sz w:val="32"/>
          <w:szCs w:val="32"/>
          <w:lang w:val="en-US" w:eastAsia="zh-CN"/>
        </w:rPr>
        <w:t>1.收入情况。</w:t>
      </w:r>
      <w:r>
        <w:rPr>
          <w:rStyle w:val="7"/>
          <w:rFonts w:hint="eastAsia" w:ascii="Times New Roman" w:hAnsi="Times New Roman" w:eastAsia="方正仿宋_GBK" w:cs="Times New Roman"/>
          <w:b w:val="0"/>
          <w:color w:val="000000"/>
          <w:sz w:val="32"/>
          <w:szCs w:val="32"/>
          <w:lang w:val="en-US" w:eastAsia="zh-CN"/>
        </w:rPr>
        <w:t>2021年度一般公共预算财政拨款收入4,207.58万元，较上年决算数增加1,617.95万元，增长62.5%。主要原因是政策性调资晋级、巩固拓展脱贫攻坚成果同乡村振兴有效衔接项目资金投入增加等</w:t>
      </w:r>
      <w:r>
        <w:rPr>
          <w:rStyle w:val="7"/>
          <w:rFonts w:hint="default" w:ascii="Times New Roman" w:hAnsi="Times New Roman" w:eastAsia="方正仿宋_GBK" w:cs="Times New Roman"/>
          <w:b w:val="0"/>
          <w:color w:val="000000"/>
          <w:sz w:val="32"/>
          <w:szCs w:val="32"/>
          <w:lang w:val="en-US" w:eastAsia="zh-CN"/>
        </w:rPr>
        <w:t>。</w:t>
      </w:r>
      <w:r>
        <w:rPr>
          <w:rStyle w:val="7"/>
          <w:rFonts w:hint="eastAsia" w:ascii="Times New Roman" w:hAnsi="Times New Roman" w:eastAsia="方正仿宋_GBK" w:cs="Times New Roman"/>
          <w:b w:val="0"/>
          <w:color w:val="000000"/>
          <w:sz w:val="32"/>
          <w:szCs w:val="32"/>
          <w:lang w:val="en-US" w:eastAsia="zh-CN"/>
        </w:rPr>
        <w:t>较年初预算数减少6,716.03万元，下降61.5%。主要原因是部分项目资金纳入年初预算的，而实际资金未到本单位未列支。此外，年初财政拨款结转和结余512.78万元。</w:t>
      </w:r>
    </w:p>
    <w:p>
      <w:pPr>
        <w:pStyle w:val="4"/>
        <w:widowControl w:val="0"/>
        <w:spacing w:before="0" w:beforeAutospacing="0" w:after="0" w:afterAutospacing="0" w:line="570" w:lineRule="exact"/>
        <w:ind w:firstLine="642" w:firstLineChars="200"/>
        <w:jc w:val="both"/>
        <w:rPr>
          <w:rStyle w:val="7"/>
          <w:rFonts w:hint="eastAsia" w:ascii="Times New Roman" w:hAnsi="Times New Roman" w:eastAsia="方正仿宋_GBK" w:cs="Times New Roman"/>
          <w:b w:val="0"/>
          <w:color w:val="000000"/>
          <w:sz w:val="32"/>
          <w:szCs w:val="32"/>
        </w:rPr>
      </w:pPr>
      <w:r>
        <w:rPr>
          <w:rStyle w:val="7"/>
          <w:rFonts w:ascii="Times New Roman" w:hAnsi="Times New Roman" w:eastAsia="方正仿宋_GBK"/>
          <w:color w:val="000000"/>
          <w:kern w:val="0"/>
          <w:sz w:val="32"/>
          <w:szCs w:val="32"/>
        </w:rPr>
        <w:t>2.</w:t>
      </w:r>
      <w:r>
        <w:rPr>
          <w:rStyle w:val="7"/>
          <w:rFonts w:hint="eastAsia" w:ascii="Times New Roman" w:hAnsi="Times New Roman" w:eastAsia="方正仿宋_GBK"/>
          <w:color w:val="000000"/>
          <w:kern w:val="0"/>
          <w:sz w:val="32"/>
          <w:szCs w:val="32"/>
        </w:rPr>
        <w:t>支出情况。</w:t>
      </w:r>
      <w:r>
        <w:rPr>
          <w:rStyle w:val="7"/>
          <w:rFonts w:hint="eastAsia" w:ascii="Times New Roman" w:hAnsi="Times New Roman" w:eastAsia="方正仿宋_GBK" w:cs="Times New Roman"/>
          <w:b w:val="0"/>
          <w:color w:val="000000"/>
          <w:sz w:val="32"/>
          <w:szCs w:val="32"/>
        </w:rPr>
        <w:t>2021年度一般公共预算财政拨款支出4,207.23万元，较上年决算数增加1,068.92万元，增长34.1%。主要原因是</w:t>
      </w:r>
      <w:r>
        <w:rPr>
          <w:rStyle w:val="7"/>
          <w:rFonts w:hint="eastAsia" w:ascii="Times New Roman" w:hAnsi="Times New Roman" w:eastAsia="方正仿宋_GBK" w:cs="Times New Roman"/>
          <w:b w:val="0"/>
          <w:color w:val="000000"/>
          <w:kern w:val="0"/>
          <w:sz w:val="32"/>
          <w:szCs w:val="32"/>
          <w:lang w:val="en-US" w:eastAsia="zh-CN" w:bidi="ar-SA"/>
        </w:rPr>
        <w:t>政策性调资晋级、巩固拓展脱贫攻坚成果同乡村振兴有效衔接项目资金投入增加等</w:t>
      </w:r>
      <w:r>
        <w:rPr>
          <w:rStyle w:val="7"/>
          <w:rFonts w:hint="eastAsia" w:ascii="Times New Roman" w:hAnsi="Times New Roman" w:eastAsia="方正仿宋_GBK" w:cs="Times New Roman"/>
          <w:b w:val="0"/>
          <w:color w:val="000000"/>
          <w:sz w:val="32"/>
          <w:szCs w:val="32"/>
        </w:rPr>
        <w:t>。较年初预算数减少6,716.38万元，下降61.5%。主要原因是</w:t>
      </w:r>
      <w:r>
        <w:rPr>
          <w:rStyle w:val="7"/>
          <w:rFonts w:hint="eastAsia"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eastAsia" w:ascii="Times New Roman" w:hAnsi="Times New Roman" w:eastAsia="方正仿宋_GBK" w:cs="Times New Roman"/>
          <w:b w:val="0"/>
          <w:color w:val="000000"/>
          <w:sz w:val="32"/>
          <w:szCs w:val="32"/>
        </w:rPr>
        <w:t>。</w:t>
      </w:r>
    </w:p>
    <w:p>
      <w:pPr>
        <w:pStyle w:val="4"/>
        <w:widowControl w:val="0"/>
        <w:spacing w:before="0" w:beforeAutospacing="0" w:after="0" w:afterAutospacing="0" w:line="570" w:lineRule="exact"/>
        <w:ind w:firstLine="642" w:firstLineChars="200"/>
        <w:jc w:val="both"/>
        <w:rPr>
          <w:rStyle w:val="7"/>
          <w:rFonts w:hint="eastAsia" w:ascii="Times New Roman" w:hAnsi="Times New Roman" w:eastAsia="方正仿宋_GBK" w:cs="Times New Roman"/>
          <w:b w:val="0"/>
          <w:color w:val="000000"/>
          <w:sz w:val="32"/>
          <w:szCs w:val="32"/>
        </w:rPr>
      </w:pPr>
      <w:r>
        <w:rPr>
          <w:rStyle w:val="7"/>
          <w:rFonts w:ascii="Times New Roman" w:hAnsi="Times New Roman" w:eastAsia="方正仿宋_GBK" w:cstheme="minorBidi"/>
          <w:color w:val="000000"/>
          <w:kern w:val="0"/>
          <w:sz w:val="32"/>
          <w:szCs w:val="32"/>
        </w:rPr>
        <w:t> 3.结转结余情况。</w:t>
      </w:r>
      <w:r>
        <w:rPr>
          <w:rStyle w:val="7"/>
          <w:rFonts w:hint="eastAsia" w:ascii="Times New Roman" w:hAnsi="Times New Roman" w:eastAsia="方正仿宋_GBK" w:cs="Times New Roman"/>
          <w:b w:val="0"/>
          <w:color w:val="000000"/>
          <w:sz w:val="32"/>
          <w:szCs w:val="32"/>
        </w:rPr>
        <w:t>2021年度年末一般公共预算财政拨款结转和结余513.14万元，较上年决算数增加0.36万元，增长0.1%，主要原因是</w:t>
      </w:r>
      <w:r>
        <w:rPr>
          <w:rStyle w:val="7"/>
          <w:rFonts w:hint="eastAsia" w:ascii="Times New Roman" w:hAnsi="Times New Roman" w:eastAsia="方正仿宋_GBK" w:cs="Times New Roman"/>
          <w:b w:val="0"/>
          <w:color w:val="000000"/>
          <w:kern w:val="0"/>
          <w:sz w:val="32"/>
          <w:szCs w:val="32"/>
          <w:lang w:val="en-US" w:eastAsia="zh-CN" w:bidi="ar-SA"/>
        </w:rPr>
        <w:t>金融扶贫小额信贷风险补偿金</w:t>
      </w:r>
      <w:r>
        <w:rPr>
          <w:rStyle w:val="7"/>
          <w:rFonts w:hint="eastAsia" w:ascii="Times New Roman" w:hAnsi="Times New Roman" w:eastAsia="方正仿宋_GBK" w:cs="Times New Roman"/>
          <w:b w:val="0"/>
          <w:color w:val="000000"/>
          <w:sz w:val="32"/>
          <w:szCs w:val="32"/>
        </w:rPr>
        <w:t>。</w:t>
      </w:r>
    </w:p>
    <w:p>
      <w:pPr>
        <w:pStyle w:val="4"/>
        <w:widowControl w:val="0"/>
        <w:spacing w:before="0" w:beforeAutospacing="0" w:after="0" w:afterAutospacing="0" w:line="570" w:lineRule="exact"/>
        <w:ind w:firstLine="642" w:firstLineChars="200"/>
        <w:jc w:val="both"/>
        <w:rPr>
          <w:rStyle w:val="7"/>
          <w:rFonts w:hint="eastAsia" w:ascii="Times New Roman" w:hAnsi="Times New Roman" w:eastAsia="方正仿宋_GBK" w:cs="Times New Roman"/>
          <w:b w:val="0"/>
          <w:color w:val="000000"/>
          <w:sz w:val="32"/>
          <w:szCs w:val="32"/>
        </w:rPr>
      </w:pPr>
      <w:r>
        <w:rPr>
          <w:rStyle w:val="7"/>
          <w:rFonts w:ascii="Times New Roman" w:hAnsi="Times New Roman" w:eastAsia="方正仿宋_GBK" w:cstheme="minorBidi"/>
          <w:color w:val="000000"/>
          <w:kern w:val="0"/>
          <w:sz w:val="32"/>
          <w:szCs w:val="32"/>
        </w:rPr>
        <w:t>  4.比较情况。</w:t>
      </w:r>
      <w:r>
        <w:rPr>
          <w:rStyle w:val="7"/>
          <w:rFonts w:hint="eastAsia" w:ascii="Times New Roman" w:hAnsi="Times New Roman" w:eastAsia="方正仿宋_GBK" w:cs="Times New Roman"/>
          <w:b w:val="0"/>
          <w:color w:val="000000"/>
          <w:sz w:val="32"/>
          <w:szCs w:val="32"/>
        </w:rPr>
        <w:t>本</w:t>
      </w:r>
      <w:r>
        <w:rPr>
          <w:rStyle w:val="7"/>
          <w:rFonts w:hint="eastAsia" w:ascii="Times New Roman" w:hAnsi="Times New Roman" w:eastAsia="方正仿宋_GBK" w:cs="Times New Roman"/>
          <w:b w:val="0"/>
          <w:color w:val="000000"/>
          <w:sz w:val="32"/>
          <w:szCs w:val="32"/>
          <w:lang w:val="en-US" w:eastAsia="zh-CN"/>
        </w:rPr>
        <w:t>单位</w:t>
      </w:r>
      <w:r>
        <w:rPr>
          <w:rStyle w:val="7"/>
          <w:rFonts w:hint="eastAsia" w:ascii="Times New Roman" w:hAnsi="Times New Roman" w:eastAsia="方正仿宋_GBK" w:cs="Times New Roman"/>
          <w:b w:val="0"/>
          <w:color w:val="000000"/>
          <w:sz w:val="32"/>
          <w:szCs w:val="32"/>
        </w:rPr>
        <w:t>2021年度一般公共预算财政拨款支出主要用于以下几个方面：</w:t>
      </w:r>
    </w:p>
    <w:p>
      <w:pPr>
        <w:spacing w:line="570" w:lineRule="exact"/>
        <w:ind w:firstLine="642"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ascii="Times New Roman" w:hAnsi="Times New Roman" w:eastAsia="方正仿宋_GBK" w:cstheme="minorBidi"/>
          <w:color w:val="000000"/>
          <w:kern w:val="0"/>
          <w:sz w:val="32"/>
          <w:szCs w:val="32"/>
        </w:rPr>
        <w:t xml:space="preserve">  </w:t>
      </w:r>
      <w:r>
        <w:rPr>
          <w:rStyle w:val="7"/>
          <w:rFonts w:hint="eastAsia" w:ascii="Times New Roman" w:hAnsi="Times New Roman" w:eastAsia="方正仿宋_GBK" w:cs="Times New Roman"/>
          <w:b w:val="0"/>
          <w:color w:val="000000"/>
          <w:kern w:val="0"/>
          <w:sz w:val="32"/>
          <w:szCs w:val="32"/>
          <w:lang w:val="en-US" w:eastAsia="zh-CN" w:bidi="ar-SA"/>
        </w:rPr>
        <w:t>（1）一般公共服务支出4.35万元，占0.1%，较年初预算数增加4.35万元，增长100%，主要原因是</w:t>
      </w:r>
      <w:r>
        <w:rPr>
          <w:rFonts w:hint="eastAsia" w:ascii="Times New Roman" w:hAnsi="Times New Roman" w:eastAsia="方正仿宋_GBK" w:cs="Times New Roman"/>
          <w:color w:val="000000"/>
          <w:sz w:val="32"/>
          <w:szCs w:val="32"/>
        </w:rPr>
        <w:t>根据工作需要，中途调整</w:t>
      </w:r>
      <w:r>
        <w:rPr>
          <w:rFonts w:hint="eastAsia" w:ascii="Times New Roman" w:hAnsi="Times New Roman" w:eastAsia="方正仿宋_GBK" w:cs="Times New Roman"/>
          <w:color w:val="000000"/>
          <w:sz w:val="32"/>
          <w:szCs w:val="32"/>
          <w:lang w:val="en-US" w:eastAsia="zh-CN"/>
        </w:rPr>
        <w:t>增加</w:t>
      </w:r>
      <w:r>
        <w:rPr>
          <w:rFonts w:hint="eastAsia" w:ascii="Times New Roman" w:hAnsi="Times New Roman" w:eastAsia="方正仿宋_GBK" w:cs="Times New Roman"/>
          <w:color w:val="000000"/>
          <w:sz w:val="32"/>
          <w:szCs w:val="32"/>
        </w:rPr>
        <w:t>预算</w:t>
      </w:r>
      <w:r>
        <w:rPr>
          <w:rStyle w:val="7"/>
          <w:rFonts w:hint="eastAsia" w:ascii="Times New Roman" w:hAnsi="Times New Roman" w:eastAsia="方正仿宋_GBK" w:cs="Times New Roman"/>
          <w:b w:val="0"/>
          <w:color w:val="000000"/>
          <w:kern w:val="0"/>
          <w:sz w:val="32"/>
          <w:szCs w:val="32"/>
          <w:lang w:val="en-US" w:eastAsia="zh-CN" w:bidi="ar-SA"/>
        </w:rPr>
        <w:t>。</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（2）社会保障与就业支出22.09万元，占0.5%，较年初预算数增加3.39万元，增长18.1%，主要原因是政策性调增。</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（3）卫生健康支出10.00万元，占0.2%，较年初预算数增加0.01万元，增长0.1%，主要原因是政策性调增。</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（4）农林水支出4,162.31万元，占98.9%，较年初预算数减少6,724.13万元，下降61.77%，主要原因是</w:t>
      </w:r>
      <w:r>
        <w:rPr>
          <w:rStyle w:val="7"/>
          <w:rFonts w:hint="eastAsia" w:ascii="Times New Roman" w:hAnsi="Times New Roman" w:eastAsia="方正仿宋_GBK" w:cs="Times New Roman"/>
          <w:b w:val="0"/>
          <w:color w:val="000000"/>
          <w:sz w:val="32"/>
          <w:szCs w:val="32"/>
          <w:lang w:val="en-US" w:eastAsia="zh-CN"/>
        </w:rPr>
        <w:t>部分项目资金纳入年初预算的，而实际资金未到本单位未列支</w:t>
      </w:r>
      <w:r>
        <w:rPr>
          <w:rStyle w:val="7"/>
          <w:rFonts w:hint="eastAsia" w:ascii="Times New Roman" w:hAnsi="Times New Roman" w:eastAsia="方正仿宋_GBK" w:cs="Times New Roman"/>
          <w:b w:val="0"/>
          <w:color w:val="000000"/>
          <w:kern w:val="0"/>
          <w:sz w:val="32"/>
          <w:szCs w:val="32"/>
          <w:lang w:val="en-US" w:eastAsia="zh-CN" w:bidi="ar-SA"/>
        </w:rPr>
        <w:t>。</w:t>
      </w:r>
    </w:p>
    <w:p>
      <w:pPr>
        <w:spacing w:line="570" w:lineRule="exact"/>
        <w:ind w:firstLine="640" w:firstLineChars="200"/>
        <w:rPr>
          <w:rFonts w:ascii="Times New Roman" w:hAnsi="Times New Roman" w:eastAsia="方正仿宋_GBK"/>
          <w:color w:val="000000"/>
          <w:kern w:val="0"/>
          <w:sz w:val="32"/>
          <w:szCs w:val="32"/>
        </w:rPr>
      </w:pPr>
      <w:r>
        <w:rPr>
          <w:rStyle w:val="7"/>
          <w:rFonts w:hint="eastAsia" w:ascii="Times New Roman" w:hAnsi="Times New Roman" w:eastAsia="方正仿宋_GBK" w:cs="Times New Roman"/>
          <w:b w:val="0"/>
          <w:color w:val="000000"/>
          <w:kern w:val="0"/>
          <w:sz w:val="32"/>
          <w:szCs w:val="32"/>
          <w:lang w:val="en-US" w:eastAsia="zh-CN" w:bidi="ar-SA"/>
        </w:rPr>
        <w:t> （5）住房保障支出8.48万元，占0.2%，</w:t>
      </w:r>
      <w:r>
        <w:rPr>
          <w:rFonts w:hint="eastAsia" w:ascii="Times New Roman" w:hAnsi="Times New Roman" w:eastAsia="方正仿宋_GBK"/>
          <w:color w:val="000000"/>
          <w:kern w:val="0"/>
          <w:sz w:val="32"/>
          <w:szCs w:val="32"/>
        </w:rPr>
        <w:t>与年初预算数持平。</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 （四）一般公共预算财政拨款基本支出决算情况说明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方正楷体_GBK" w:hAnsi="Times New Roman" w:eastAsia="方正楷体_GBK" w:cs="Times New Roman"/>
          <w:b w:val="0"/>
          <w:color w:val="000000"/>
          <w:sz w:val="32"/>
          <w:szCs w:val="32"/>
          <w:lang w:val="en-US" w:eastAsia="zh-CN"/>
        </w:rPr>
        <w:t> </w:t>
      </w:r>
      <w:r>
        <w:rPr>
          <w:rStyle w:val="7"/>
          <w:rFonts w:hint="eastAsia" w:ascii="Times New Roman" w:hAnsi="Times New Roman" w:eastAsia="方正仿宋_GBK" w:cs="Times New Roman"/>
          <w:b w:val="0"/>
          <w:color w:val="000000"/>
          <w:kern w:val="0"/>
          <w:sz w:val="32"/>
          <w:szCs w:val="32"/>
          <w:lang w:val="en-US" w:eastAsia="zh-CN" w:bidi="ar-SA"/>
        </w:rPr>
        <w:t xml:space="preserve"> 2021年度一般公共财政拨款基本支出361.34万元。其中：人员经费193.82万元，较上年决算数减少14.79万元，下降7.1%，主要原因是2021年人员变动。人员经费用途主要包括基本工资、津贴补贴、奖金、基本医疗保险、机关事业单位基本养老保险、职业年金缴费、住房公积金等。公用经费167.52万元，较上年决算数减少56.82万元，下降25.3%，主要原因是严格执行财务制度，厉行节约，导致费用下降。公用经费用途主要包括办公费、印刷费、咨询费、维护费、水电费、物管费、邮电费、差旅费、劳务费、租赁费、其他交通费等。</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（五）政府性基金预算收支决算情况说明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方正楷体_GBK" w:hAnsi="Times New Roman" w:eastAsia="方正楷体_GBK" w:cs="Times New Roman"/>
          <w:b w:val="0"/>
          <w:color w:val="000000"/>
          <w:sz w:val="32"/>
          <w:szCs w:val="32"/>
          <w:lang w:val="en-US" w:eastAsia="zh-CN"/>
        </w:rPr>
        <w:t> </w:t>
      </w:r>
      <w:r>
        <w:rPr>
          <w:rStyle w:val="7"/>
          <w:rFonts w:hint="eastAsia" w:ascii="Times New Roman" w:hAnsi="Times New Roman" w:eastAsia="方正仿宋_GBK" w:cs="Times New Roman"/>
          <w:b w:val="0"/>
          <w:color w:val="000000"/>
          <w:kern w:val="0"/>
          <w:sz w:val="32"/>
          <w:szCs w:val="32"/>
          <w:lang w:val="en-US" w:eastAsia="zh-CN" w:bidi="ar-SA"/>
        </w:rPr>
        <w:t>本单位</w:t>
      </w:r>
      <w:r>
        <w:rPr>
          <w:rStyle w:val="7"/>
          <w:rFonts w:hint="default" w:ascii="Times New Roman" w:hAnsi="Times New Roman" w:eastAsia="方正仿宋_GBK" w:cs="Times New Roman"/>
          <w:b w:val="0"/>
          <w:color w:val="000000"/>
          <w:kern w:val="0"/>
          <w:sz w:val="32"/>
          <w:szCs w:val="32"/>
          <w:lang w:val="en-US" w:eastAsia="zh-CN" w:bidi="ar-SA"/>
        </w:rPr>
        <w:t>2021年度</w:t>
      </w:r>
      <w:r>
        <w:rPr>
          <w:rStyle w:val="7"/>
          <w:rFonts w:hint="eastAsia" w:ascii="Times New Roman" w:hAnsi="Times New Roman" w:eastAsia="方正仿宋_GBK" w:cs="Times New Roman"/>
          <w:b w:val="0"/>
          <w:color w:val="000000"/>
          <w:kern w:val="0"/>
          <w:sz w:val="32"/>
          <w:szCs w:val="32"/>
          <w:lang w:val="en-US" w:eastAsia="zh-CN" w:bidi="ar-SA"/>
        </w:rPr>
        <w:t>无政府性基金预算财政拨款收支。</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（六）国有资本经营预算财政拨款支出决算情况说明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xml:space="preserve">本单位2021年度无国有资本经营预算财政拨款支出。  </w:t>
      </w:r>
    </w:p>
    <w:p>
      <w:pPr>
        <w:spacing w:line="570" w:lineRule="exact"/>
        <w:ind w:firstLine="640" w:firstLineChars="200"/>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三、“三公”经费情况说明</w:t>
      </w:r>
    </w:p>
    <w:p>
      <w:pPr>
        <w:spacing w:line="570" w:lineRule="exact"/>
        <w:ind w:firstLine="640" w:firstLineChars="200"/>
        <w:rPr>
          <w:rStyle w:val="7"/>
          <w:rFonts w:hint="eastAsia" w:ascii="方正楷体_GBK" w:hAnsi="Times New Roman" w:eastAsia="方正楷体_GBK" w:cs="Times New Roman"/>
          <w:b w:val="0"/>
          <w:color w:val="000000"/>
          <w:sz w:val="32"/>
          <w:szCs w:val="32"/>
          <w:lang w:val="en-US" w:eastAsia="zh-CN"/>
        </w:rPr>
      </w:pPr>
      <w:r>
        <w:rPr>
          <w:rStyle w:val="7"/>
          <w:rFonts w:hint="eastAsia" w:ascii="方正楷体_GBK" w:hAnsi="Times New Roman" w:eastAsia="方正楷体_GBK" w:cs="Times New Roman"/>
          <w:b w:val="0"/>
          <w:color w:val="000000"/>
          <w:sz w:val="32"/>
          <w:szCs w:val="32"/>
          <w:lang w:val="en-US" w:eastAsia="zh-CN"/>
        </w:rPr>
        <w:t>（一）“三公”经费支出总体情况说明</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2021年度“三公”经费支出共计10.00万元，较年初预算数减少2.70万元，下降21.3%，主要原因是严格按照预算执行不超预算和认真执行财务制度，厉行节约，导致费用下降。较上年支出数减少4.95万元，下降33.1%，主要原因是认真执行财务制度、厉行节约，导致费用下降。</w:t>
      </w:r>
    </w:p>
    <w:p>
      <w:pPr>
        <w:spacing w:line="570" w:lineRule="exact"/>
        <w:ind w:firstLine="542" w:firstLineChars="200"/>
        <w:rPr>
          <w:rStyle w:val="7"/>
          <w:rFonts w:hint="eastAsia" w:ascii="方正楷体_GBK" w:hAnsi="Times New Roman" w:eastAsia="方正楷体_GBK" w:cs="Times New Roman"/>
          <w:b w:val="0"/>
          <w:color w:val="000000"/>
          <w:sz w:val="32"/>
          <w:szCs w:val="32"/>
          <w:lang w:val="en-US" w:eastAsia="zh-CN"/>
        </w:rPr>
      </w:pPr>
      <w:r>
        <w:rPr>
          <w:rStyle w:val="7"/>
          <w:sz w:val="27"/>
          <w:szCs w:val="27"/>
        </w:rPr>
        <w:t> </w:t>
      </w:r>
      <w:r>
        <w:rPr>
          <w:rStyle w:val="7"/>
          <w:rFonts w:hint="eastAsia" w:ascii="方正楷体_GBK" w:hAnsi="Times New Roman" w:eastAsia="方正楷体_GBK" w:cs="Times New Roman"/>
          <w:b w:val="0"/>
          <w:color w:val="000000"/>
          <w:sz w:val="32"/>
          <w:szCs w:val="32"/>
          <w:lang w:val="en-US" w:eastAsia="zh-CN"/>
        </w:rPr>
        <w:t>（二）“三公”经费分项支出情况</w:t>
      </w:r>
    </w:p>
    <w:p>
      <w:pPr>
        <w:pStyle w:val="4"/>
        <w:widowControl w:val="0"/>
        <w:spacing w:before="0" w:beforeAutospacing="0" w:after="0" w:afterAutospacing="0" w:line="570" w:lineRule="exact"/>
        <w:ind w:firstLine="640" w:firstLineChars="200"/>
        <w:jc w:val="both"/>
        <w:rPr>
          <w:rFonts w:ascii="Times New Roman" w:hAnsi="Times New Roman" w:eastAsia="方正仿宋_GBK" w:cs="Times New Roman"/>
          <w:b/>
          <w:bCs/>
          <w:color w:val="000000"/>
          <w:sz w:val="32"/>
          <w:szCs w:val="32"/>
        </w:rPr>
      </w:pPr>
      <w:r>
        <w:rPr>
          <w:rStyle w:val="7"/>
          <w:rFonts w:hint="eastAsia" w:ascii="Times New Roman" w:hAnsi="Times New Roman" w:eastAsia="方正仿宋_GBK" w:cs="Times New Roman"/>
          <w:b w:val="0"/>
          <w:color w:val="000000"/>
          <w:kern w:val="0"/>
          <w:sz w:val="32"/>
          <w:szCs w:val="32"/>
          <w:lang w:val="en-US" w:eastAsia="zh-CN" w:bidi="ar-SA"/>
        </w:rPr>
        <w:t> 2021年度</w:t>
      </w:r>
      <w:r>
        <w:rPr>
          <w:rFonts w:hint="eastAsia" w:ascii="Times New Roman" w:hAnsi="Times New Roman" w:eastAsia="方正仿宋_GBK" w:cs="Times New Roman"/>
          <w:bCs/>
          <w:color w:val="000000"/>
          <w:sz w:val="32"/>
          <w:szCs w:val="32"/>
        </w:rPr>
        <w:t>本</w:t>
      </w:r>
      <w:r>
        <w:rPr>
          <w:rFonts w:hint="eastAsia" w:ascii="Times New Roman" w:hAnsi="Times New Roman" w:eastAsia="方正仿宋_GBK" w:cs="Times New Roman"/>
          <w:bCs/>
          <w:color w:val="000000"/>
          <w:sz w:val="32"/>
          <w:szCs w:val="32"/>
          <w:lang w:val="en-US" w:eastAsia="zh-CN"/>
        </w:rPr>
        <w:t>单位因</w:t>
      </w:r>
      <w:r>
        <w:rPr>
          <w:rFonts w:hint="eastAsia" w:ascii="Times New Roman" w:hAnsi="Times New Roman" w:eastAsia="方正仿宋_GBK" w:cs="Times New Roman"/>
          <w:bCs/>
          <w:color w:val="000000"/>
          <w:sz w:val="32"/>
          <w:szCs w:val="32"/>
        </w:rPr>
        <w:t>公出国（境）费用</w:t>
      </w:r>
      <w:r>
        <w:rPr>
          <w:rFonts w:hint="eastAsia" w:ascii="Times New Roman" w:hAnsi="Times New Roman" w:eastAsia="方正仿宋_GBK" w:cs="Times New Roman"/>
          <w:bCs/>
          <w:color w:val="000000"/>
          <w:sz w:val="32"/>
          <w:szCs w:val="32"/>
          <w:lang w:val="en-US" w:eastAsia="zh-CN"/>
        </w:rPr>
        <w:t>0.00万元，与</w:t>
      </w:r>
      <w:r>
        <w:rPr>
          <w:rStyle w:val="7"/>
          <w:rFonts w:hint="eastAsia" w:ascii="Times New Roman" w:hAnsi="Times New Roman" w:eastAsia="方正仿宋_GBK" w:cs="Times New Roman"/>
          <w:b w:val="0"/>
          <w:color w:val="000000"/>
          <w:kern w:val="0"/>
          <w:sz w:val="32"/>
          <w:szCs w:val="32"/>
          <w:lang w:val="en-US" w:eastAsia="zh-CN" w:bidi="ar-SA"/>
        </w:rPr>
        <w:t>年初预算数及</w:t>
      </w:r>
      <w:r>
        <w:rPr>
          <w:rFonts w:hint="eastAsia" w:ascii="Times New Roman" w:hAnsi="Times New Roman" w:eastAsia="方正仿宋_GBK" w:cs="Times New Roman"/>
          <w:bCs/>
          <w:color w:val="000000"/>
          <w:sz w:val="32"/>
          <w:szCs w:val="32"/>
          <w:lang w:val="en-US" w:eastAsia="zh-CN"/>
        </w:rPr>
        <w:t>上年支出数持平</w:t>
      </w:r>
      <w:r>
        <w:rPr>
          <w:rFonts w:hint="eastAsia"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ascii="Times New Roman" w:hAnsi="Times New Roman" w:eastAsia="方正仿宋_GBK" w:cs="Times New Roman"/>
          <w:bCs/>
          <w:color w:val="000000"/>
          <w:sz w:val="32"/>
          <w:szCs w:val="32"/>
        </w:rPr>
      </w:pPr>
      <w:r>
        <w:rPr>
          <w:rStyle w:val="7"/>
          <w:rFonts w:hint="eastAsia" w:ascii="Times New Roman" w:hAnsi="Times New Roman" w:eastAsia="方正仿宋_GBK" w:cs="Times New Roman"/>
          <w:b w:val="0"/>
          <w:color w:val="000000"/>
          <w:kern w:val="0"/>
          <w:sz w:val="32"/>
          <w:szCs w:val="32"/>
          <w:lang w:val="en-US" w:eastAsia="zh-CN" w:bidi="ar-SA"/>
        </w:rPr>
        <w:t>2021年度</w:t>
      </w:r>
      <w:r>
        <w:rPr>
          <w:rFonts w:hint="eastAsia" w:ascii="Times New Roman" w:hAnsi="Times New Roman" w:eastAsia="方正仿宋_GBK" w:cs="Times New Roman"/>
          <w:bCs/>
          <w:color w:val="000000"/>
          <w:sz w:val="32"/>
          <w:szCs w:val="32"/>
        </w:rPr>
        <w:t>本</w:t>
      </w:r>
      <w:r>
        <w:rPr>
          <w:rFonts w:hint="eastAsia" w:ascii="Times New Roman" w:hAnsi="Times New Roman" w:eastAsia="方正仿宋_GBK" w:cs="Times New Roman"/>
          <w:bCs/>
          <w:color w:val="000000"/>
          <w:sz w:val="32"/>
          <w:szCs w:val="32"/>
          <w:lang w:val="en-US" w:eastAsia="zh-CN"/>
        </w:rPr>
        <w:t>单位</w:t>
      </w:r>
      <w:r>
        <w:rPr>
          <w:rFonts w:hint="eastAsia" w:ascii="Times New Roman" w:hAnsi="Times New Roman" w:eastAsia="方正仿宋_GBK" w:cs="Times New Roman"/>
          <w:bCs/>
          <w:color w:val="000000"/>
          <w:sz w:val="32"/>
          <w:szCs w:val="32"/>
        </w:rPr>
        <w:t>公务车购置费用</w:t>
      </w:r>
      <w:r>
        <w:rPr>
          <w:rFonts w:hint="eastAsia" w:ascii="Times New Roman" w:hAnsi="Times New Roman" w:eastAsia="方正仿宋_GBK" w:cs="Times New Roman"/>
          <w:bCs/>
          <w:color w:val="000000"/>
          <w:sz w:val="32"/>
          <w:szCs w:val="32"/>
          <w:lang w:val="en-US" w:eastAsia="zh-CN"/>
        </w:rPr>
        <w:t>0.00万元，与</w:t>
      </w:r>
      <w:r>
        <w:rPr>
          <w:rStyle w:val="7"/>
          <w:rFonts w:hint="eastAsia" w:ascii="Times New Roman" w:hAnsi="Times New Roman" w:eastAsia="方正仿宋_GBK" w:cs="Times New Roman"/>
          <w:b w:val="0"/>
          <w:color w:val="000000"/>
          <w:kern w:val="0"/>
          <w:sz w:val="32"/>
          <w:szCs w:val="32"/>
          <w:lang w:val="en-US" w:eastAsia="zh-CN" w:bidi="ar-SA"/>
        </w:rPr>
        <w:t>年初预算数及</w:t>
      </w:r>
      <w:r>
        <w:rPr>
          <w:rFonts w:hint="eastAsia" w:ascii="Times New Roman" w:hAnsi="Times New Roman" w:eastAsia="方正仿宋_GBK" w:cs="Times New Roman"/>
          <w:bCs/>
          <w:color w:val="000000"/>
          <w:sz w:val="32"/>
          <w:szCs w:val="32"/>
          <w:lang w:val="en-US" w:eastAsia="zh-CN"/>
        </w:rPr>
        <w:t>上年支出数持平</w:t>
      </w:r>
      <w:r>
        <w:rPr>
          <w:rFonts w:hint="eastAsia" w:ascii="Times New Roman" w:hAnsi="Times New Roman" w:eastAsia="方正仿宋_GBK" w:cs="Times New Roman"/>
          <w:bCs/>
          <w:color w:val="000000"/>
          <w:sz w:val="32"/>
          <w:szCs w:val="32"/>
        </w:rPr>
        <w:t>。</w:t>
      </w:r>
    </w:p>
    <w:p>
      <w:pPr>
        <w:pStyle w:val="4"/>
        <w:widowControl w:val="0"/>
        <w:spacing w:before="0" w:beforeAutospacing="0" w:after="0" w:afterAutospacing="0" w:line="570" w:lineRule="exact"/>
        <w:ind w:firstLine="640" w:firstLineChars="200"/>
        <w:jc w:val="both"/>
        <w:rPr>
          <w:rFonts w:ascii="Times New Roman" w:hAnsi="Times New Roman" w:eastAsia="方正仿宋_GBK" w:cs="Times New Roman"/>
          <w:bCs/>
          <w:color w:val="000000"/>
          <w:sz w:val="32"/>
          <w:szCs w:val="32"/>
        </w:rPr>
      </w:pPr>
      <w:r>
        <w:rPr>
          <w:rStyle w:val="7"/>
          <w:rFonts w:hint="eastAsia" w:ascii="Times New Roman" w:hAnsi="Times New Roman" w:eastAsia="方正仿宋_GBK" w:cs="Times New Roman"/>
          <w:b w:val="0"/>
          <w:color w:val="000000"/>
          <w:kern w:val="0"/>
          <w:sz w:val="32"/>
          <w:szCs w:val="32"/>
          <w:lang w:val="en-US" w:eastAsia="zh-CN" w:bidi="ar-SA"/>
        </w:rPr>
        <w:t> </w:t>
      </w:r>
      <w:r>
        <w:rPr>
          <w:rFonts w:ascii="Times New Roman" w:hAnsi="Times New Roman" w:eastAsia="方正仿宋_GBK" w:cs="Times New Roman"/>
          <w:bCs/>
          <w:color w:val="000000"/>
          <w:sz w:val="32"/>
          <w:szCs w:val="32"/>
        </w:rPr>
        <w:t>202</w:t>
      </w:r>
      <w:r>
        <w:rPr>
          <w:rFonts w:hint="eastAsia" w:ascii="Times New Roman" w:hAnsi="Times New Roman" w:eastAsia="方正仿宋_GBK" w:cs="Times New Roman"/>
          <w:bCs/>
          <w:color w:val="000000"/>
          <w:sz w:val="32"/>
          <w:szCs w:val="32"/>
          <w:lang w:val="en-US" w:eastAsia="zh-CN"/>
        </w:rPr>
        <w:t>1</w:t>
      </w:r>
      <w:r>
        <w:rPr>
          <w:rFonts w:hint="eastAsia" w:ascii="Times New Roman" w:hAnsi="Times New Roman" w:eastAsia="方正仿宋_GBK" w:cs="Times New Roman"/>
          <w:bCs/>
          <w:color w:val="000000"/>
          <w:sz w:val="32"/>
          <w:szCs w:val="32"/>
        </w:rPr>
        <w:t>年度本单位未发生公务车运行维护费用</w:t>
      </w:r>
      <w:r>
        <w:rPr>
          <w:rFonts w:hint="eastAsia" w:ascii="Times New Roman" w:hAnsi="Times New Roman" w:eastAsia="方正仿宋_GBK" w:cs="Times New Roman"/>
          <w:bCs/>
          <w:color w:val="000000"/>
          <w:sz w:val="32"/>
          <w:szCs w:val="32"/>
          <w:lang w:val="en-US" w:eastAsia="zh-CN"/>
        </w:rPr>
        <w:t>0.00万元，与</w:t>
      </w:r>
      <w:r>
        <w:rPr>
          <w:rStyle w:val="7"/>
          <w:rFonts w:hint="eastAsia" w:ascii="Times New Roman" w:hAnsi="Times New Roman" w:eastAsia="方正仿宋_GBK" w:cs="Times New Roman"/>
          <w:b w:val="0"/>
          <w:color w:val="000000"/>
          <w:kern w:val="0"/>
          <w:sz w:val="32"/>
          <w:szCs w:val="32"/>
          <w:lang w:val="en-US" w:eastAsia="zh-CN" w:bidi="ar-SA"/>
        </w:rPr>
        <w:t>年初预算数及</w:t>
      </w:r>
      <w:r>
        <w:rPr>
          <w:rFonts w:hint="eastAsia" w:ascii="Times New Roman" w:hAnsi="Times New Roman" w:eastAsia="方正仿宋_GBK" w:cs="Times New Roman"/>
          <w:bCs/>
          <w:color w:val="000000"/>
          <w:sz w:val="32"/>
          <w:szCs w:val="32"/>
          <w:lang w:val="en-US" w:eastAsia="zh-CN"/>
        </w:rPr>
        <w:t>上年支出数持平</w:t>
      </w:r>
      <w:r>
        <w:rPr>
          <w:rFonts w:hint="eastAsia" w:ascii="Times New Roman" w:hAnsi="Times New Roman" w:eastAsia="方正仿宋_GBK" w:cs="Times New Roman"/>
          <w:bCs/>
          <w:color w:val="000000"/>
          <w:sz w:val="32"/>
          <w:szCs w:val="32"/>
        </w:rPr>
        <w:t>。</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 2021年本单位公务接待费10.00万元，主要用于</w:t>
      </w:r>
      <w:r>
        <w:rPr>
          <w:rFonts w:hint="eastAsia" w:ascii="Times New Roman" w:hAnsi="Times New Roman" w:eastAsia="方正仿宋_GBK" w:cs="Times New Roman"/>
          <w:bCs/>
          <w:color w:val="000000"/>
          <w:sz w:val="32"/>
          <w:szCs w:val="32"/>
        </w:rPr>
        <w:t>接待开展</w:t>
      </w:r>
      <w:r>
        <w:rPr>
          <w:rFonts w:hint="eastAsia" w:ascii="Times New Roman" w:hAnsi="Times New Roman" w:eastAsia="方正仿宋_GBK" w:cs="Times New Roman"/>
          <w:bCs/>
          <w:color w:val="000000"/>
          <w:sz w:val="32"/>
          <w:szCs w:val="32"/>
          <w:lang w:val="en-US" w:eastAsia="zh-CN"/>
        </w:rPr>
        <w:t>巩固拓展脱贫攻坚成果同乡村振兴有效衔接工作考核评估和督导检查、</w:t>
      </w:r>
      <w:r>
        <w:rPr>
          <w:rFonts w:hint="eastAsia" w:ascii="Times New Roman" w:hAnsi="Times New Roman" w:eastAsia="方正仿宋_GBK" w:cs="Times New Roman"/>
          <w:bCs/>
          <w:color w:val="000000"/>
          <w:sz w:val="32"/>
          <w:szCs w:val="32"/>
        </w:rPr>
        <w:t>项目跟踪检查、资金绩效考核、县外来考察学习等</w:t>
      </w:r>
      <w:r>
        <w:rPr>
          <w:rFonts w:hint="eastAsia" w:ascii="Times New Roman" w:hAnsi="Times New Roman" w:eastAsia="方正仿宋_GBK" w:cs="Times New Roman"/>
          <w:bCs/>
          <w:color w:val="000000"/>
          <w:sz w:val="32"/>
          <w:szCs w:val="32"/>
          <w:lang w:val="en-US" w:eastAsia="zh-CN"/>
        </w:rPr>
        <w:t>巩固</w:t>
      </w:r>
      <w:r>
        <w:rPr>
          <w:rFonts w:hint="eastAsia" w:ascii="Times New Roman" w:hAnsi="Times New Roman" w:eastAsia="方正仿宋_GBK" w:cs="Times New Roman"/>
          <w:bCs/>
          <w:color w:val="000000"/>
          <w:sz w:val="32"/>
          <w:szCs w:val="32"/>
        </w:rPr>
        <w:t>脱贫攻坚工作。</w:t>
      </w:r>
      <w:r>
        <w:rPr>
          <w:rStyle w:val="7"/>
          <w:rFonts w:hint="eastAsia" w:ascii="Times New Roman" w:hAnsi="Times New Roman" w:eastAsia="方正仿宋_GBK" w:cs="Times New Roman"/>
          <w:b w:val="0"/>
          <w:color w:val="000000"/>
          <w:kern w:val="0"/>
          <w:sz w:val="32"/>
          <w:szCs w:val="32"/>
          <w:lang w:val="en-US" w:eastAsia="zh-CN" w:bidi="ar-SA"/>
        </w:rPr>
        <w:t>费用支出较年初预算数减少2.70万元，下降21.3%，主要原因是严格按照预算执行不超预算和认真执行财务制度、厉行节约，导致费用下降。较上年支出数减少4.95万元，下降33.1%，主要原因是严格按照预算执行不超预算和认真执行财务制度、厉行节约，导致费用下降。</w:t>
      </w:r>
    </w:p>
    <w:p>
      <w:pPr>
        <w:pStyle w:val="4"/>
        <w:widowControl w:val="0"/>
        <w:spacing w:before="0" w:beforeAutospacing="0" w:after="0" w:afterAutospacing="0" w:line="570" w:lineRule="exact"/>
        <w:ind w:firstLine="640" w:firstLineChars="200"/>
        <w:jc w:val="both"/>
        <w:rPr>
          <w:rStyle w:val="7"/>
          <w:sz w:val="27"/>
          <w:szCs w:val="27"/>
        </w:rPr>
      </w:pPr>
      <w:r>
        <w:rPr>
          <w:rStyle w:val="7"/>
          <w:rFonts w:hint="eastAsia" w:ascii="方正楷体_GBK" w:hAnsi="Times New Roman" w:eastAsia="方正楷体_GBK"/>
          <w:b w:val="0"/>
          <w:color w:val="000000"/>
          <w:sz w:val="32"/>
          <w:szCs w:val="32"/>
        </w:rPr>
        <w:t>（三）“三公”经费实物量情况</w:t>
      </w:r>
    </w:p>
    <w:p>
      <w:pPr>
        <w:spacing w:line="570" w:lineRule="exact"/>
        <w:ind w:firstLine="542"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sz w:val="27"/>
          <w:szCs w:val="27"/>
        </w:rPr>
        <w:t xml:space="preserve">  </w:t>
      </w:r>
      <w:r>
        <w:rPr>
          <w:rStyle w:val="7"/>
          <w:rFonts w:hint="eastAsia" w:ascii="Times New Roman" w:hAnsi="Times New Roman" w:eastAsia="方正仿宋_GBK" w:cs="Times New Roman"/>
          <w:b w:val="0"/>
          <w:color w:val="000000"/>
          <w:kern w:val="0"/>
          <w:sz w:val="32"/>
          <w:szCs w:val="32"/>
          <w:lang w:val="en-US" w:eastAsia="zh-CN" w:bidi="ar-SA"/>
        </w:rPr>
        <w:t>2021年度本单位因公出国（境）共计0个团组，0人；公务用车购置0辆，公务车保有量为0辆；国内公务接待125批次1,001人，其中：国内外事接待0批次，0人；国（境）外公务接待0批次，0人。2021年本部门人均接待费99.93元，车均购置费0.00万元，车均维护费0.00万元。</w:t>
      </w:r>
    </w:p>
    <w:p>
      <w:pPr>
        <w:pStyle w:val="4"/>
        <w:widowControl w:val="0"/>
        <w:spacing w:before="0" w:beforeAutospacing="0" w:after="0" w:afterAutospacing="0" w:line="570" w:lineRule="exact"/>
        <w:ind w:firstLine="542" w:firstLineChars="200"/>
        <w:jc w:val="both"/>
        <w:rPr>
          <w:rStyle w:val="7"/>
          <w:rFonts w:ascii="黑体" w:hAnsi="黑体" w:eastAsia="黑体"/>
          <w:b w:val="0"/>
          <w:color w:val="000000"/>
          <w:sz w:val="32"/>
          <w:szCs w:val="32"/>
        </w:rPr>
      </w:pPr>
      <w:r>
        <w:rPr>
          <w:rStyle w:val="7"/>
          <w:sz w:val="27"/>
          <w:szCs w:val="27"/>
        </w:rPr>
        <w:t> </w:t>
      </w:r>
      <w:r>
        <w:rPr>
          <w:rStyle w:val="7"/>
          <w:rFonts w:hint="eastAsia" w:ascii="黑体" w:hAnsi="黑体" w:eastAsia="黑体"/>
          <w:b w:val="0"/>
          <w:color w:val="000000"/>
          <w:sz w:val="32"/>
          <w:szCs w:val="32"/>
        </w:rPr>
        <w:t>四、其他需要说明的事项</w:t>
      </w:r>
    </w:p>
    <w:p>
      <w:pPr>
        <w:spacing w:line="570" w:lineRule="exact"/>
        <w:ind w:firstLine="542"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sz w:val="27"/>
          <w:szCs w:val="27"/>
        </w:rPr>
        <w:t> </w:t>
      </w:r>
      <w:r>
        <w:rPr>
          <w:rStyle w:val="7"/>
          <w:rFonts w:hint="eastAsia" w:ascii="方正楷体_GBK" w:hAnsi="Times New Roman" w:eastAsia="方正楷体_GBK" w:cstheme="minorBidi"/>
          <w:b w:val="0"/>
          <w:color w:val="000000"/>
          <w:kern w:val="0"/>
          <w:sz w:val="32"/>
          <w:szCs w:val="32"/>
          <w:lang w:val="en-US" w:eastAsia="zh-CN" w:bidi="ar-SA"/>
        </w:rPr>
        <w:t>（一）一般公共预算财政拨款会议费和培训费情况说明</w:t>
      </w:r>
    </w:p>
    <w:p>
      <w:pPr>
        <w:spacing w:line="570" w:lineRule="exact"/>
        <w:ind w:firstLine="542"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sz w:val="27"/>
          <w:szCs w:val="27"/>
        </w:rPr>
        <w:t xml:space="preserve">  </w:t>
      </w:r>
      <w:r>
        <w:rPr>
          <w:rStyle w:val="7"/>
          <w:rFonts w:hint="eastAsia" w:ascii="Times New Roman" w:hAnsi="Times New Roman" w:eastAsia="方正仿宋_GBK" w:cs="Times New Roman"/>
          <w:b w:val="0"/>
          <w:color w:val="000000"/>
          <w:kern w:val="0"/>
          <w:sz w:val="32"/>
          <w:szCs w:val="32"/>
          <w:lang w:val="en-US" w:eastAsia="zh-CN" w:bidi="ar-SA"/>
        </w:rPr>
        <w:t>2021年度会议费支出20.96万元，较上年决算数增加6.64万元，增长46.4%，主要原因是</w:t>
      </w:r>
      <w:r>
        <w:rPr>
          <w:rFonts w:hint="eastAsia" w:ascii="Times New Roman" w:hAnsi="Times New Roman" w:eastAsia="方正仿宋_GBK" w:cs="Times New Roman"/>
          <w:bCs/>
          <w:color w:val="000000"/>
          <w:sz w:val="32"/>
          <w:szCs w:val="32"/>
          <w:lang w:val="en-US" w:eastAsia="zh-CN"/>
        </w:rPr>
        <w:t>巩固拓展脱贫攻坚成果同乡村振兴有效衔接工作内容增加（新增扶贫资产管理、乡村治理、乡村建设等），导致会议费增加</w:t>
      </w:r>
      <w:r>
        <w:rPr>
          <w:rStyle w:val="7"/>
          <w:rFonts w:hint="eastAsia" w:ascii="Times New Roman" w:hAnsi="Times New Roman" w:eastAsia="方正仿宋_GBK" w:cs="Times New Roman"/>
          <w:b w:val="0"/>
          <w:color w:val="000000"/>
          <w:kern w:val="0"/>
          <w:sz w:val="32"/>
          <w:szCs w:val="32"/>
          <w:lang w:val="en-US" w:eastAsia="zh-CN" w:bidi="ar-SA"/>
        </w:rPr>
        <w:t>。</w:t>
      </w:r>
    </w:p>
    <w:p>
      <w:pPr>
        <w:spacing w:line="570" w:lineRule="exact"/>
        <w:ind w:firstLine="640"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hint="eastAsia" w:ascii="Times New Roman" w:hAnsi="Times New Roman" w:eastAsia="方正仿宋_GBK" w:cs="Times New Roman"/>
          <w:b w:val="0"/>
          <w:color w:val="000000"/>
          <w:kern w:val="0"/>
          <w:sz w:val="32"/>
          <w:szCs w:val="32"/>
          <w:lang w:val="en-US" w:eastAsia="zh-CN" w:bidi="ar-SA"/>
        </w:rPr>
        <w:t>2021年度培训费支出105.22万元，较上年决算数增加45.19万元，增长75.3%，主要原因是加大开展就业创业技能培训，驻乡驻村工作队第一书记和工作队员培训、乡村振兴干部培训等培训，导致费用增加。</w:t>
      </w:r>
    </w:p>
    <w:p>
      <w:pPr>
        <w:spacing w:line="570" w:lineRule="exact"/>
        <w:ind w:firstLine="640"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rFonts w:hint="eastAsia" w:ascii="方正楷体_GBK" w:hAnsi="Times New Roman" w:eastAsia="方正楷体_GBK" w:cstheme="minorBidi"/>
          <w:b w:val="0"/>
          <w:color w:val="000000"/>
          <w:kern w:val="0"/>
          <w:sz w:val="32"/>
          <w:szCs w:val="32"/>
          <w:lang w:val="en-US" w:eastAsia="zh-CN" w:bidi="ar-SA"/>
        </w:rPr>
        <w:t xml:space="preserve"> （二）机关运行经费情况说明</w:t>
      </w:r>
    </w:p>
    <w:p>
      <w:pPr>
        <w:spacing w:line="570" w:lineRule="exact"/>
        <w:ind w:firstLine="542" w:firstLineChars="200"/>
        <w:rPr>
          <w:rStyle w:val="7"/>
          <w:rFonts w:hint="eastAsia" w:ascii="Times New Roman" w:hAnsi="Times New Roman" w:eastAsia="方正仿宋_GBK" w:cs="Times New Roman"/>
          <w:b w:val="0"/>
          <w:color w:val="000000"/>
          <w:kern w:val="0"/>
          <w:sz w:val="32"/>
          <w:szCs w:val="32"/>
          <w:lang w:val="en-US" w:eastAsia="zh-CN" w:bidi="ar-SA"/>
        </w:rPr>
      </w:pPr>
      <w:r>
        <w:rPr>
          <w:rStyle w:val="7"/>
          <w:rFonts w:ascii="Times New Roman" w:hAnsi="Times New Roman" w:eastAsia="宋体" w:cs="Times New Roman"/>
          <w:sz w:val="27"/>
          <w:szCs w:val="27"/>
        </w:rPr>
        <w:t> </w:t>
      </w:r>
      <w:r>
        <w:rPr>
          <w:rStyle w:val="7"/>
          <w:rFonts w:hint="eastAsia" w:ascii="Times New Roman" w:hAnsi="Times New Roman" w:eastAsia="方正仿宋_GBK" w:cs="Times New Roman"/>
          <w:b w:val="0"/>
          <w:color w:val="000000"/>
          <w:kern w:val="0"/>
          <w:sz w:val="32"/>
          <w:szCs w:val="32"/>
          <w:lang w:val="en-US" w:eastAsia="zh-CN" w:bidi="ar-SA"/>
        </w:rPr>
        <w:t xml:space="preserve"> 2021年度本部门机关运行经费支出167.52万元，机关运行经费主要用于</w:t>
      </w:r>
      <w:r>
        <w:rPr>
          <w:rFonts w:hint="eastAsia" w:ascii="Times New Roman" w:hAnsi="Times New Roman" w:eastAsia="方正仿宋_GBK" w:cs="Times New Roman"/>
          <w:bCs/>
          <w:color w:val="000000"/>
          <w:sz w:val="32"/>
          <w:szCs w:val="32"/>
        </w:rPr>
        <w:t>本单位日常正常运转费用</w:t>
      </w:r>
      <w:r>
        <w:rPr>
          <w:rFonts w:hint="eastAsia" w:ascii="Times New Roman" w:hAnsi="Times New Roman" w:eastAsia="方正仿宋_GBK" w:cs="Times New Roman"/>
          <w:bCs/>
          <w:color w:val="000000"/>
          <w:sz w:val="32"/>
          <w:szCs w:val="32"/>
          <w:lang w:val="en-US" w:eastAsia="zh-CN"/>
        </w:rPr>
        <w:t>和巩固拓展</w:t>
      </w:r>
      <w:r>
        <w:rPr>
          <w:rFonts w:hint="eastAsia" w:ascii="Times New Roman" w:hAnsi="Times New Roman" w:eastAsia="方正仿宋_GBK" w:cs="Times New Roman"/>
          <w:bCs/>
          <w:color w:val="000000"/>
          <w:sz w:val="32"/>
          <w:szCs w:val="32"/>
        </w:rPr>
        <w:t>脱贫攻坚</w:t>
      </w:r>
      <w:r>
        <w:rPr>
          <w:rFonts w:hint="eastAsia" w:ascii="Times New Roman" w:hAnsi="Times New Roman" w:eastAsia="方正仿宋_GBK" w:cs="Times New Roman"/>
          <w:bCs/>
          <w:color w:val="000000"/>
          <w:sz w:val="32"/>
          <w:szCs w:val="32"/>
          <w:lang w:val="en-US" w:eastAsia="zh-CN"/>
        </w:rPr>
        <w:t>成果同乡村振兴有效衔接</w:t>
      </w:r>
      <w:r>
        <w:rPr>
          <w:rFonts w:hint="eastAsia" w:ascii="Times New Roman" w:hAnsi="Times New Roman" w:eastAsia="方正仿宋_GBK" w:cs="Times New Roman"/>
          <w:bCs/>
          <w:color w:val="000000"/>
          <w:sz w:val="32"/>
          <w:szCs w:val="32"/>
        </w:rPr>
        <w:t>工作需要，开支办公费、印刷费、水电费、</w:t>
      </w:r>
      <w:r>
        <w:rPr>
          <w:rFonts w:hint="eastAsia" w:ascii="Times New Roman" w:hAnsi="Times New Roman" w:eastAsia="方正仿宋_GBK" w:cs="Times New Roman"/>
          <w:bCs/>
          <w:color w:val="000000"/>
          <w:sz w:val="32"/>
          <w:szCs w:val="32"/>
          <w:lang w:val="en-US" w:eastAsia="zh-CN"/>
        </w:rPr>
        <w:t>咨询费、</w:t>
      </w:r>
      <w:r>
        <w:rPr>
          <w:rFonts w:hint="eastAsia" w:ascii="Times New Roman" w:hAnsi="Times New Roman" w:eastAsia="方正仿宋_GBK" w:cs="Times New Roman"/>
          <w:bCs/>
          <w:color w:val="000000"/>
          <w:sz w:val="32"/>
          <w:szCs w:val="32"/>
        </w:rPr>
        <w:t>差旅费、劳务费、其他交通费、办公设备购置等费用。</w:t>
      </w:r>
      <w:r>
        <w:rPr>
          <w:rStyle w:val="7"/>
          <w:rFonts w:hint="eastAsia" w:ascii="Times New Roman" w:hAnsi="Times New Roman" w:eastAsia="方正仿宋_GBK" w:cs="Times New Roman"/>
          <w:b w:val="0"/>
          <w:color w:val="000000"/>
          <w:kern w:val="0"/>
          <w:sz w:val="32"/>
          <w:szCs w:val="32"/>
          <w:lang w:val="en-US" w:eastAsia="zh-CN" w:bidi="ar-SA"/>
        </w:rPr>
        <w:t>机关运行经费较上年决算数减少56.82万元，下降25.3%，主要原因是认真执行财务制度、厉行节约，导致费用下降。</w:t>
      </w:r>
    </w:p>
    <w:p>
      <w:pPr>
        <w:spacing w:line="570" w:lineRule="exact"/>
        <w:ind w:firstLine="640"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rFonts w:hint="eastAsia" w:ascii="方正楷体_GBK" w:hAnsi="Times New Roman" w:eastAsia="方正楷体_GBK" w:cstheme="minorBidi"/>
          <w:b w:val="0"/>
          <w:color w:val="000000"/>
          <w:kern w:val="0"/>
          <w:sz w:val="32"/>
          <w:szCs w:val="32"/>
          <w:lang w:val="en-US" w:eastAsia="zh-CN" w:bidi="ar-SA"/>
        </w:rPr>
        <w:t xml:space="preserve"> （三）国有资产占用情况说明</w:t>
      </w:r>
    </w:p>
    <w:p>
      <w:pPr>
        <w:spacing w:line="570" w:lineRule="exact"/>
        <w:ind w:firstLine="640" w:firstLineChars="200"/>
        <w:rPr>
          <w:rFonts w:hint="eastAsia" w:ascii="Times New Roman" w:hAnsi="Times New Roman" w:eastAsia="方正仿宋_GBK" w:cs="Times New Roman"/>
          <w:bCs/>
          <w:color w:val="000000"/>
          <w:sz w:val="32"/>
          <w:szCs w:val="32"/>
          <w:lang w:val="en-US" w:eastAsia="zh-CN"/>
        </w:rPr>
      </w:pPr>
      <w:r>
        <w:rPr>
          <w:rStyle w:val="7"/>
          <w:rFonts w:hint="eastAsia" w:ascii="方正楷体_GBK" w:hAnsi="Times New Roman" w:eastAsia="方正楷体_GBK" w:cstheme="minorBidi"/>
          <w:b w:val="0"/>
          <w:color w:val="000000"/>
          <w:kern w:val="0"/>
          <w:sz w:val="32"/>
          <w:szCs w:val="32"/>
          <w:lang w:val="en-US" w:eastAsia="zh-CN" w:bidi="ar-SA"/>
        </w:rPr>
        <w:t> </w:t>
      </w:r>
      <w:r>
        <w:rPr>
          <w:rFonts w:hint="eastAsia" w:ascii="Times New Roman" w:hAnsi="Times New Roman" w:eastAsia="方正仿宋_GBK" w:cs="Times New Roman"/>
          <w:bCs/>
          <w:color w:val="000000"/>
          <w:sz w:val="32"/>
          <w:szCs w:val="32"/>
          <w:lang w:val="en-US" w:eastAsia="zh-CN"/>
        </w:rPr>
        <w:t xml:space="preserve"> 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570" w:lineRule="exact"/>
        <w:ind w:firstLine="542"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sz w:val="27"/>
          <w:szCs w:val="27"/>
        </w:rPr>
        <w:t xml:space="preserve">  </w:t>
      </w:r>
      <w:r>
        <w:rPr>
          <w:rStyle w:val="7"/>
          <w:rFonts w:hint="eastAsia" w:ascii="方正楷体_GBK" w:hAnsi="Times New Roman" w:eastAsia="方正楷体_GBK" w:cstheme="minorBidi"/>
          <w:b w:val="0"/>
          <w:color w:val="000000"/>
          <w:kern w:val="0"/>
          <w:sz w:val="32"/>
          <w:szCs w:val="32"/>
          <w:lang w:val="en-US" w:eastAsia="zh-CN" w:bidi="ar-SA"/>
        </w:rPr>
        <w:t>（四）政府采购支出情况说明</w:t>
      </w:r>
    </w:p>
    <w:p>
      <w:pPr>
        <w:spacing w:line="570" w:lineRule="exact"/>
        <w:ind w:firstLine="640" w:firstLineChars="200"/>
        <w:rPr>
          <w:rFonts w:hint="eastAsia" w:ascii="Times New Roman" w:hAnsi="Times New Roman" w:eastAsia="方正仿宋_GBK" w:cs="Times New Roman"/>
          <w:bCs/>
          <w:color w:val="000000"/>
          <w:sz w:val="32"/>
          <w:szCs w:val="32"/>
          <w:lang w:val="en-US" w:eastAsia="zh-CN"/>
        </w:rPr>
      </w:pPr>
      <w:r>
        <w:rPr>
          <w:rStyle w:val="7"/>
          <w:rFonts w:hint="eastAsia" w:ascii="方正楷体_GBK" w:hAnsi="Times New Roman" w:eastAsia="方正楷体_GBK" w:cstheme="minorBidi"/>
          <w:b w:val="0"/>
          <w:color w:val="000000"/>
          <w:kern w:val="0"/>
          <w:sz w:val="32"/>
          <w:szCs w:val="32"/>
          <w:lang w:val="en-US" w:eastAsia="zh-CN" w:bidi="ar-SA"/>
        </w:rPr>
        <w:t> </w:t>
      </w:r>
      <w:r>
        <w:rPr>
          <w:rFonts w:hint="eastAsia" w:ascii="Times New Roman" w:hAnsi="Times New Roman" w:eastAsia="方正仿宋_GBK" w:cs="Times New Roman"/>
          <w:bCs/>
          <w:color w:val="000000"/>
          <w:sz w:val="32"/>
          <w:szCs w:val="32"/>
          <w:lang w:val="en-US" w:eastAsia="zh-CN"/>
        </w:rPr>
        <w:t xml:space="preserve"> 2021年度本部门政府采购支出总额1,331.94万元，其中：政府采购服务支出1,331.94万元。授予中小企业合同金额29.77万元，占政府采购支出总额的2.2%，其中：授予小微企业合同金额29.77万元，占政府采购支出总额的2.2%。主要用于采购巩固脱贫保942.18万元、农村居民综合防贫保险360万元、非贫困村致富带头人培训29.76万元。</w:t>
      </w:r>
    </w:p>
    <w:p>
      <w:pPr>
        <w:pStyle w:val="4"/>
        <w:widowControl w:val="0"/>
        <w:spacing w:before="0" w:beforeAutospacing="0" w:after="0" w:afterAutospacing="0" w:line="570" w:lineRule="exact"/>
        <w:ind w:firstLine="542" w:firstLineChars="200"/>
        <w:jc w:val="both"/>
        <w:rPr>
          <w:rStyle w:val="7"/>
          <w:rFonts w:ascii="Times New Roman" w:hAnsi="Times New Roman" w:cs="Times New Roman"/>
          <w:sz w:val="27"/>
          <w:szCs w:val="27"/>
        </w:rPr>
      </w:pPr>
      <w:r>
        <w:rPr>
          <w:rStyle w:val="7"/>
          <w:rFonts w:hint="eastAsia" w:ascii="Times New Roman" w:hAnsi="Times New Roman" w:cs="Times New Roman"/>
          <w:sz w:val="27"/>
          <w:szCs w:val="27"/>
          <w:lang w:val="en-US" w:eastAsia="zh-CN"/>
        </w:rPr>
        <w:t xml:space="preserve">  </w:t>
      </w:r>
      <w:r>
        <w:rPr>
          <w:rStyle w:val="7"/>
          <w:rFonts w:ascii="Times New Roman" w:hAnsi="Times New Roman" w:cs="Times New Roman"/>
          <w:sz w:val="27"/>
          <w:szCs w:val="27"/>
        </w:rPr>
        <w:t> 五、预算绩效管理情况说明</w:t>
      </w:r>
    </w:p>
    <w:p>
      <w:pPr>
        <w:spacing w:line="570" w:lineRule="exact"/>
        <w:ind w:firstLine="542"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sz w:val="27"/>
          <w:szCs w:val="27"/>
        </w:rPr>
        <w:t xml:space="preserve">  </w:t>
      </w:r>
      <w:r>
        <w:rPr>
          <w:rStyle w:val="7"/>
          <w:rFonts w:hint="eastAsia" w:ascii="方正楷体_GBK" w:hAnsi="Times New Roman" w:eastAsia="方正楷体_GBK" w:cstheme="minorBidi"/>
          <w:b w:val="0"/>
          <w:color w:val="000000"/>
          <w:kern w:val="0"/>
          <w:sz w:val="32"/>
          <w:szCs w:val="32"/>
          <w:lang w:val="en-US" w:eastAsia="zh-CN" w:bidi="ar-SA"/>
        </w:rPr>
        <w:t>（一）预算绩效管理工作开展情况。</w:t>
      </w:r>
    </w:p>
    <w:p>
      <w:pPr>
        <w:pStyle w:val="4"/>
        <w:widowControl w:val="0"/>
        <w:spacing w:before="0" w:beforeAutospacing="0" w:after="0" w:afterAutospacing="0" w:line="570" w:lineRule="exact"/>
        <w:ind w:firstLine="640" w:firstLineChars="200"/>
        <w:jc w:val="both"/>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rPr>
        <w:t>根据预算绩效管理要求，本单位</w:t>
      </w:r>
      <w:r>
        <w:rPr>
          <w:rFonts w:hint="eastAsia" w:ascii="Times New Roman" w:hAnsi="Times New Roman" w:eastAsia="方正仿宋_GBK" w:cs="Times New Roman"/>
          <w:color w:val="000000"/>
          <w:sz w:val="32"/>
          <w:szCs w:val="32"/>
          <w:lang w:val="en-US" w:eastAsia="zh-CN"/>
        </w:rPr>
        <w:t>有14</w:t>
      </w:r>
      <w:r>
        <w:rPr>
          <w:rFonts w:hint="eastAsia" w:ascii="Times New Roman" w:hAnsi="Times New Roman" w:eastAsia="方正仿宋_GBK" w:cs="Times New Roman"/>
          <w:color w:val="000000"/>
          <w:sz w:val="32"/>
          <w:szCs w:val="32"/>
        </w:rPr>
        <w:t>个项目开展了绩效自评，其中，以填报目标自评表形式开展自评</w:t>
      </w:r>
      <w:r>
        <w:rPr>
          <w:rFonts w:hint="eastAsia" w:ascii="Times New Roman" w:hAnsi="Times New Roman" w:eastAsia="方正仿宋_GBK" w:cs="Times New Roman"/>
          <w:color w:val="000000"/>
          <w:sz w:val="32"/>
          <w:szCs w:val="32"/>
          <w:lang w:val="en-US" w:eastAsia="zh-CN"/>
        </w:rPr>
        <w:t>14</w:t>
      </w:r>
      <w:r>
        <w:rPr>
          <w:rFonts w:hint="eastAsia" w:ascii="Times New Roman" w:hAnsi="Times New Roman" w:eastAsia="方正仿宋_GBK" w:cs="Times New Roman"/>
          <w:color w:val="000000"/>
          <w:sz w:val="32"/>
          <w:szCs w:val="32"/>
        </w:rPr>
        <w:t>项，涉及资金</w:t>
      </w:r>
      <w:r>
        <w:rPr>
          <w:rFonts w:eastAsia="仿宋_GB2312"/>
          <w:sz w:val="32"/>
          <w:szCs w:val="32"/>
        </w:rPr>
        <w:t>金</w:t>
      </w:r>
      <w:r>
        <w:rPr>
          <w:rFonts w:hint="eastAsia" w:eastAsia="方正仿宋_GBK"/>
          <w:sz w:val="32"/>
          <w:szCs w:val="32"/>
        </w:rPr>
        <w:t>4368.3</w:t>
      </w:r>
      <w:r>
        <w:rPr>
          <w:rFonts w:hint="eastAsia" w:eastAsia="方正仿宋_GBK"/>
          <w:sz w:val="32"/>
          <w:szCs w:val="32"/>
          <w:lang w:val="en-US" w:eastAsia="zh-CN"/>
        </w:rPr>
        <w:t>6</w:t>
      </w:r>
      <w:r>
        <w:rPr>
          <w:rFonts w:eastAsia="仿宋_GB2312"/>
          <w:sz w:val="32"/>
          <w:szCs w:val="32"/>
        </w:rPr>
        <w:t>万元</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从评价情况来看，项目立项</w:t>
      </w:r>
      <w:r>
        <w:rPr>
          <w:rFonts w:hint="eastAsia" w:ascii="Times New Roman" w:hAnsi="Times New Roman" w:eastAsia="方正仿宋_GBK" w:cs="Times New Roman"/>
          <w:color w:val="000000"/>
          <w:sz w:val="32"/>
          <w:szCs w:val="32"/>
          <w:lang w:val="en-US" w:eastAsia="zh-CN"/>
        </w:rPr>
        <w:t>较为</w:t>
      </w:r>
      <w:r>
        <w:rPr>
          <w:rFonts w:hint="eastAsia" w:ascii="Times New Roman" w:hAnsi="Times New Roman" w:eastAsia="方正仿宋_GBK" w:cs="Times New Roman"/>
          <w:color w:val="000000"/>
          <w:sz w:val="32"/>
          <w:szCs w:val="32"/>
        </w:rPr>
        <w:t>规范，绩效目标明确，预算编制合理，</w:t>
      </w:r>
      <w:r>
        <w:rPr>
          <w:rFonts w:hint="eastAsia" w:ascii="Times New Roman" w:hAnsi="Times New Roman" w:eastAsia="方正仿宋_GBK" w:cs="Times New Roman"/>
          <w:color w:val="000000"/>
          <w:sz w:val="32"/>
          <w:szCs w:val="32"/>
          <w:lang w:val="en-US" w:eastAsia="zh-CN"/>
        </w:rPr>
        <w:t>管理科学规范</w:t>
      </w:r>
      <w:r>
        <w:rPr>
          <w:rFonts w:hint="eastAsia" w:ascii="Times New Roman" w:hAnsi="Times New Roman" w:eastAsia="方正仿宋_GBK" w:cs="Times New Roman"/>
          <w:color w:val="000000"/>
          <w:sz w:val="32"/>
          <w:szCs w:val="32"/>
        </w:rPr>
        <w:t>，资金到位及时，</w:t>
      </w:r>
      <w:r>
        <w:rPr>
          <w:rFonts w:hint="eastAsia" w:ascii="Times New Roman" w:hAnsi="Times New Roman" w:eastAsia="方正仿宋_GBK" w:cs="Times New Roman"/>
          <w:color w:val="000000"/>
          <w:sz w:val="32"/>
          <w:szCs w:val="32"/>
          <w:lang w:val="en-US" w:eastAsia="zh-CN"/>
        </w:rPr>
        <w:t>总体完成情况较好，</w:t>
      </w:r>
      <w:r>
        <w:rPr>
          <w:rFonts w:hint="eastAsia" w:ascii="Times New Roman" w:hAnsi="Times New Roman" w:eastAsia="方正仿宋_GBK" w:cs="Times New Roman"/>
          <w:color w:val="000000"/>
          <w:sz w:val="32"/>
          <w:szCs w:val="32"/>
        </w:rPr>
        <w:t>项目</w:t>
      </w:r>
      <w:r>
        <w:rPr>
          <w:rFonts w:hint="eastAsia" w:ascii="Times New Roman" w:hAnsi="Times New Roman" w:eastAsia="方正仿宋_GBK" w:cs="Times New Roman"/>
          <w:color w:val="000000"/>
          <w:sz w:val="32"/>
          <w:szCs w:val="32"/>
          <w:lang w:val="en-US" w:eastAsia="zh-CN"/>
        </w:rPr>
        <w:t>基本达到了预期绩效目标。</w:t>
      </w:r>
    </w:p>
    <w:p>
      <w:pPr>
        <w:spacing w:line="570" w:lineRule="exact"/>
        <w:ind w:firstLine="640" w:firstLineChars="200"/>
        <w:rPr>
          <w:rStyle w:val="7"/>
          <w:rFonts w:hint="eastAsia" w:ascii="方正楷体_GBK" w:hAnsi="Times New Roman" w:eastAsia="方正楷体_GBK" w:cstheme="minorBidi"/>
          <w:b w:val="0"/>
          <w:color w:val="000000"/>
          <w:kern w:val="0"/>
          <w:sz w:val="32"/>
          <w:szCs w:val="32"/>
          <w:lang w:val="en-US" w:eastAsia="zh-CN" w:bidi="ar-SA"/>
        </w:rPr>
      </w:pPr>
      <w:r>
        <w:rPr>
          <w:rStyle w:val="7"/>
          <w:rFonts w:hint="eastAsia" w:ascii="方正楷体_GBK" w:hAnsi="Times New Roman" w:eastAsia="方正楷体_GBK" w:cstheme="minorBidi"/>
          <w:b w:val="0"/>
          <w:color w:val="000000"/>
          <w:kern w:val="0"/>
          <w:sz w:val="32"/>
          <w:szCs w:val="32"/>
          <w:lang w:val="en-US" w:eastAsia="zh-CN" w:bidi="ar-SA"/>
        </w:rPr>
        <w:t>（二）绩效自评结果。</w:t>
      </w:r>
    </w:p>
    <w:p>
      <w:pPr>
        <w:spacing w:line="570" w:lineRule="exact"/>
        <w:ind w:firstLine="640" w:firstLineChars="200"/>
        <w:rPr>
          <w:rFonts w:ascii="Times New Roman" w:hAnsi="Times New Roman" w:eastAsia="方正小标宋_GBK"/>
          <w:color w:val="000000"/>
          <w:kern w:val="0"/>
          <w:sz w:val="32"/>
          <w:szCs w:val="32"/>
        </w:rPr>
      </w:pPr>
      <w:r>
        <w:rPr>
          <w:rStyle w:val="7"/>
          <w:rFonts w:hint="default" w:ascii="Times New Roman" w:hAnsi="Times New Roman" w:eastAsia="方正楷体_GBK" w:cs="Times New Roman"/>
          <w:b w:val="0"/>
          <w:color w:val="000000"/>
          <w:kern w:val="0"/>
          <w:sz w:val="32"/>
          <w:szCs w:val="32"/>
          <w:lang w:val="en-US" w:eastAsia="zh-CN" w:bidi="ar-SA"/>
        </w:rPr>
        <w:t> </w:t>
      </w:r>
      <w:r>
        <w:rPr>
          <w:rFonts w:hint="default" w:ascii="Times New Roman" w:hAnsi="Times New Roman" w:eastAsia="方正仿宋_GBK" w:cs="Times New Roman"/>
          <w:color w:val="000000"/>
          <w:kern w:val="0"/>
          <w:sz w:val="32"/>
          <w:szCs w:val="32"/>
          <w:lang w:val="en-US" w:eastAsia="zh-CN" w:bidi="ar-SA"/>
        </w:rPr>
        <w:t xml:space="preserve"> 1.</w:t>
      </w:r>
      <w:r>
        <w:rPr>
          <w:rFonts w:hint="eastAsia" w:ascii="Times New Roman" w:hAnsi="Times New Roman" w:eastAsia="方正仿宋_GBK" w:cs="Times New Roman"/>
          <w:color w:val="000000"/>
          <w:kern w:val="0"/>
          <w:sz w:val="32"/>
          <w:szCs w:val="32"/>
          <w:lang w:val="en-US" w:eastAsia="zh-CN" w:bidi="ar-SA"/>
        </w:rPr>
        <w:t>绩效自评表</w:t>
      </w:r>
    </w:p>
    <w:p>
      <w:pPr>
        <w:widowControl/>
        <w:spacing w:line="594" w:lineRule="exact"/>
        <w:ind w:firstLine="2880" w:firstLineChars="900"/>
        <w:jc w:val="both"/>
        <w:rPr>
          <w:rFonts w:hint="eastAsia" w:ascii="Times New Roman" w:hAnsi="Times New Roman" w:eastAsia="方正小标宋_GBK"/>
          <w:color w:val="000000"/>
          <w:kern w:val="0"/>
          <w:sz w:val="18"/>
          <w:szCs w:val="18"/>
        </w:rPr>
      </w:pPr>
      <w:r>
        <w:rPr>
          <w:rFonts w:ascii="Times New Roman" w:hAnsi="Times New Roman" w:eastAsia="方正小标宋_GBK"/>
          <w:color w:val="000000"/>
          <w:kern w:val="0"/>
          <w:sz w:val="32"/>
          <w:szCs w:val="32"/>
        </w:rPr>
        <w:t>202</w:t>
      </w:r>
      <w:r>
        <w:rPr>
          <w:rFonts w:hint="eastAsia" w:ascii="Times New Roman" w:hAnsi="Times New Roman" w:eastAsia="方正小标宋_GBK"/>
          <w:color w:val="000000"/>
          <w:kern w:val="0"/>
          <w:sz w:val="32"/>
          <w:szCs w:val="32"/>
        </w:rPr>
        <w:t>1</w:t>
      </w:r>
      <w:r>
        <w:rPr>
          <w:rFonts w:ascii="Times New Roman" w:hAnsi="Times New Roman" w:eastAsia="方正小标宋_GBK"/>
          <w:color w:val="000000"/>
          <w:kern w:val="0"/>
          <w:sz w:val="32"/>
          <w:szCs w:val="32"/>
        </w:rPr>
        <w:t>年度项目绩效自评表</w:t>
      </w:r>
    </w:p>
    <w:tbl>
      <w:tblPr>
        <w:tblStyle w:val="5"/>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763"/>
        <w:gridCol w:w="1068"/>
        <w:gridCol w:w="2136"/>
        <w:gridCol w:w="1087"/>
        <w:gridCol w:w="1069"/>
        <w:gridCol w:w="75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项目</w:t>
            </w:r>
            <w:r>
              <w:rPr>
                <w:rFonts w:hint="eastAsia" w:ascii="宋体" w:hAnsi="宋体" w:eastAsia="等线" w:cs="宋体"/>
                <w:kern w:val="0"/>
                <w:sz w:val="21"/>
                <w:szCs w:val="21"/>
              </w:rPr>
              <w:t>名称</w:t>
            </w:r>
          </w:p>
        </w:tc>
        <w:tc>
          <w:tcPr>
            <w:tcW w:w="6054" w:type="dxa"/>
            <w:gridSpan w:val="4"/>
            <w:shd w:val="clear" w:color="auto" w:fill="auto"/>
            <w:noWrap w:val="0"/>
            <w:vAlign w:val="center"/>
          </w:tcPr>
          <w:p>
            <w:pPr>
              <w:widowControl/>
              <w:jc w:val="left"/>
              <w:rPr>
                <w:rFonts w:hint="eastAsia" w:ascii="宋体" w:hAnsi="宋体" w:eastAsia="等线" w:cs="宋体"/>
                <w:kern w:val="0"/>
                <w:sz w:val="21"/>
                <w:szCs w:val="21"/>
              </w:rPr>
            </w:pPr>
            <w:r>
              <w:rPr>
                <w:rFonts w:hint="eastAsia" w:asciiTheme="minorEastAsia" w:hAnsiTheme="minorEastAsia" w:eastAsiaTheme="minorEastAsia" w:cstheme="minorEastAsia"/>
                <w:kern w:val="0"/>
                <w:sz w:val="21"/>
                <w:szCs w:val="21"/>
              </w:rPr>
              <w:t>2021巩固脱贫保、2020年动态新增精准脱贫保及2021年动态新增巩固脱贫保</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自评总分</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主管部门</w:t>
            </w:r>
          </w:p>
        </w:tc>
        <w:tc>
          <w:tcPr>
            <w:tcW w:w="6054" w:type="dxa"/>
            <w:gridSpan w:val="4"/>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丰都县乡村振兴局</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实施单位</w:t>
            </w:r>
          </w:p>
        </w:tc>
        <w:tc>
          <w:tcPr>
            <w:tcW w:w="2213" w:type="dxa"/>
            <w:gridSpan w:val="2"/>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中国人民财产保险股份有限公司丰都支公司、中国平安财产保险股份有限公</w:t>
            </w:r>
            <w:r>
              <w:rPr>
                <w:rFonts w:hint="eastAsia" w:asciiTheme="majorEastAsia" w:hAnsiTheme="majorEastAsia" w:eastAsiaTheme="majorEastAsia" w:cstheme="majorEastAsia"/>
                <w:sz w:val="21"/>
                <w:szCs w:val="21"/>
              </w:rPr>
              <w:t>司丰都支公司、中国人寿保险股份有限公司丰都县支公司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111" w:type="dxa"/>
            <w:vMerge w:val="restart"/>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项目资金</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（万元）</w:t>
            </w:r>
          </w:p>
        </w:tc>
        <w:tc>
          <w:tcPr>
            <w:tcW w:w="1763" w:type="dxa"/>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年</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初</w:t>
            </w:r>
          </w:p>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预算数</w:t>
            </w:r>
          </w:p>
        </w:tc>
        <w:tc>
          <w:tcPr>
            <w:tcW w:w="3223" w:type="dxa"/>
            <w:gridSpan w:val="2"/>
            <w:shd w:val="clear" w:color="auto" w:fill="auto"/>
            <w:noWrap w:val="0"/>
            <w:vAlign w:val="center"/>
          </w:tcPr>
          <w:p>
            <w:pPr>
              <w:widowControl/>
              <w:jc w:val="center"/>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全</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年</w:t>
            </w:r>
          </w:p>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算</w:t>
            </w:r>
            <w:r>
              <w:rPr>
                <w:rFonts w:hint="eastAsia" w:asciiTheme="majorEastAsia" w:hAnsiTheme="majorEastAsia" w:eastAsiaTheme="majorEastAsia" w:cstheme="majorEastAsia"/>
                <w:kern w:val="0"/>
                <w:sz w:val="21"/>
                <w:szCs w:val="21"/>
                <w:lang w:val="en-US" w:eastAsia="zh-CN"/>
              </w:rPr>
              <w:t xml:space="preserve"> </w:t>
            </w:r>
            <w:r>
              <w:rPr>
                <w:rFonts w:hint="eastAsia" w:asciiTheme="majorEastAsia" w:hAnsiTheme="majorEastAsia" w:eastAsiaTheme="majorEastAsia" w:cstheme="majorEastAsia"/>
                <w:kern w:val="0"/>
                <w:sz w:val="21"/>
                <w:szCs w:val="21"/>
              </w:rPr>
              <w:t>数</w:t>
            </w:r>
          </w:p>
        </w:tc>
        <w:tc>
          <w:tcPr>
            <w:tcW w:w="1069"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全</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年</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执行数</w:t>
            </w:r>
          </w:p>
        </w:tc>
        <w:tc>
          <w:tcPr>
            <w:tcW w:w="221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年度总金额</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lang w:val="en-US" w:eastAsia="zh-CN"/>
              </w:rPr>
              <w:t>944.13</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99.89</w:t>
            </w:r>
          </w:p>
          <w:p>
            <w:pPr>
              <w:widowControl/>
              <w:jc w:val="center"/>
              <w:rPr>
                <w:rFonts w:hint="eastAsia" w:ascii="宋体" w:hAnsi="宋体" w:eastAsia="等线" w:cs="宋体"/>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rPr>
              <w:t>其中：财政拨款</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r>
              <w:rPr>
                <w:rFonts w:hint="eastAsia"/>
                <w:sz w:val="21"/>
                <w:szCs w:val="21"/>
              </w:rPr>
              <w:t>945.21</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944.13</w:t>
            </w:r>
          </w:p>
        </w:tc>
        <w:tc>
          <w:tcPr>
            <w:tcW w:w="2213" w:type="dxa"/>
            <w:gridSpan w:val="2"/>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上年结转结余</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p>
        </w:tc>
        <w:tc>
          <w:tcPr>
            <w:tcW w:w="1069" w:type="dxa"/>
            <w:shd w:val="clear" w:color="auto" w:fill="auto"/>
            <w:noWrap w:val="0"/>
            <w:vAlign w:val="center"/>
          </w:tcPr>
          <w:p>
            <w:pPr>
              <w:widowControl/>
              <w:jc w:val="center"/>
              <w:rPr>
                <w:rFonts w:hint="eastAsia" w:ascii="宋体" w:hAnsi="宋体" w:eastAsia="等线" w:cs="宋体"/>
                <w:kern w:val="0"/>
                <w:sz w:val="21"/>
                <w:szCs w:val="21"/>
              </w:rPr>
            </w:pPr>
          </w:p>
        </w:tc>
        <w:tc>
          <w:tcPr>
            <w:tcW w:w="750" w:type="dxa"/>
            <w:shd w:val="clear" w:color="auto" w:fill="auto"/>
            <w:noWrap w:val="0"/>
            <w:vAlign w:val="center"/>
          </w:tcPr>
          <w:p>
            <w:pPr>
              <w:widowControl/>
              <w:jc w:val="center"/>
              <w:rPr>
                <w:rFonts w:hint="eastAsia" w:ascii="宋体" w:hAnsi="宋体" w:eastAsia="等线" w:cs="宋体"/>
                <w:kern w:val="0"/>
                <w:sz w:val="21"/>
                <w:szCs w:val="21"/>
              </w:rPr>
            </w:pPr>
          </w:p>
        </w:tc>
        <w:tc>
          <w:tcPr>
            <w:tcW w:w="1463" w:type="dxa"/>
            <w:shd w:val="clear" w:color="auto" w:fill="auto"/>
            <w:noWrap w:val="0"/>
            <w:vAlign w:val="center"/>
          </w:tcPr>
          <w:p>
            <w:pPr>
              <w:widowControl/>
              <w:jc w:val="center"/>
              <w:rPr>
                <w:rFonts w:hint="eastAsia" w:ascii="宋体" w:hAnsi="宋体" w:eastAsia="等线"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111"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其他资金</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3223" w:type="dxa"/>
            <w:gridSpan w:val="2"/>
            <w:shd w:val="clear" w:color="auto" w:fill="auto"/>
            <w:noWrap w:val="0"/>
            <w:vAlign w:val="center"/>
          </w:tcPr>
          <w:p>
            <w:pPr>
              <w:widowControl/>
              <w:jc w:val="center"/>
              <w:rPr>
                <w:rFonts w:hint="eastAsia" w:ascii="宋体" w:hAnsi="宋体" w:eastAsia="等线" w:cs="宋体"/>
                <w:kern w:val="0"/>
                <w:sz w:val="21"/>
                <w:szCs w:val="21"/>
              </w:rPr>
            </w:pPr>
          </w:p>
        </w:tc>
        <w:tc>
          <w:tcPr>
            <w:tcW w:w="1069" w:type="dxa"/>
            <w:shd w:val="clear" w:color="auto" w:fill="auto"/>
            <w:noWrap w:val="0"/>
            <w:vAlign w:val="center"/>
          </w:tcPr>
          <w:p>
            <w:pPr>
              <w:widowControl/>
              <w:jc w:val="center"/>
              <w:rPr>
                <w:rFonts w:hint="eastAsia" w:ascii="宋体" w:hAnsi="宋体" w:eastAsia="等线" w:cs="宋体"/>
                <w:kern w:val="0"/>
                <w:sz w:val="21"/>
                <w:szCs w:val="21"/>
              </w:rPr>
            </w:pPr>
          </w:p>
        </w:tc>
        <w:tc>
          <w:tcPr>
            <w:tcW w:w="750" w:type="dxa"/>
            <w:shd w:val="clear" w:color="auto" w:fill="auto"/>
            <w:noWrap w:val="0"/>
            <w:vAlign w:val="center"/>
          </w:tcPr>
          <w:p>
            <w:pPr>
              <w:widowControl/>
              <w:jc w:val="center"/>
              <w:rPr>
                <w:rFonts w:hint="eastAsia" w:ascii="宋体" w:hAnsi="宋体" w:eastAsia="等线" w:cs="宋体"/>
                <w:kern w:val="0"/>
                <w:sz w:val="21"/>
                <w:szCs w:val="21"/>
              </w:rPr>
            </w:pPr>
          </w:p>
        </w:tc>
        <w:tc>
          <w:tcPr>
            <w:tcW w:w="1463" w:type="dxa"/>
            <w:shd w:val="clear" w:color="auto" w:fill="auto"/>
            <w:noWrap w:val="0"/>
            <w:vAlign w:val="center"/>
          </w:tcPr>
          <w:p>
            <w:pPr>
              <w:widowControl/>
              <w:jc w:val="center"/>
              <w:rPr>
                <w:rFonts w:hint="eastAsia" w:ascii="宋体" w:hAnsi="宋体" w:eastAsia="等线"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11" w:type="dxa"/>
            <w:vMerge w:val="restart"/>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年度总体目标</w:t>
            </w:r>
          </w:p>
        </w:tc>
        <w:tc>
          <w:tcPr>
            <w:tcW w:w="6054" w:type="dxa"/>
            <w:gridSpan w:val="4"/>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预期目标</w:t>
            </w:r>
          </w:p>
        </w:tc>
        <w:tc>
          <w:tcPr>
            <w:tcW w:w="3282" w:type="dxa"/>
            <w:gridSpan w:val="3"/>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1" w:type="dxa"/>
            <w:vMerge w:val="continue"/>
            <w:shd w:val="clear" w:color="auto" w:fill="auto"/>
            <w:noWrap w:val="0"/>
            <w:vAlign w:val="center"/>
          </w:tcPr>
          <w:p>
            <w:pPr>
              <w:widowControl/>
              <w:jc w:val="center"/>
              <w:rPr>
                <w:rFonts w:hint="eastAsia" w:asciiTheme="minorEastAsia" w:hAnsiTheme="minorEastAsia" w:eastAsiaTheme="minorEastAsia" w:cstheme="minorEastAsia"/>
                <w:kern w:val="0"/>
                <w:sz w:val="21"/>
                <w:szCs w:val="21"/>
                <w:lang w:eastAsia="zh-CN"/>
              </w:rPr>
            </w:pPr>
          </w:p>
        </w:tc>
        <w:tc>
          <w:tcPr>
            <w:tcW w:w="6054" w:type="dxa"/>
            <w:gridSpan w:val="4"/>
            <w:shd w:val="clear" w:color="auto" w:fill="auto"/>
            <w:noWrap w:val="0"/>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为全县符合条件的脱贫人口、新增人员</w:t>
            </w:r>
            <w:r>
              <w:rPr>
                <w:rFonts w:hint="eastAsia" w:asciiTheme="minorEastAsia" w:hAnsiTheme="minorEastAsia" w:cstheme="minorEastAsia"/>
                <w:kern w:val="0"/>
                <w:sz w:val="21"/>
                <w:szCs w:val="21"/>
                <w:lang w:val="en-US" w:eastAsia="zh-CN"/>
              </w:rPr>
              <w:t>预计</w:t>
            </w:r>
            <w:r>
              <w:rPr>
                <w:rFonts w:hint="eastAsia" w:asciiTheme="minorEastAsia" w:hAnsiTheme="minorEastAsia" w:eastAsiaTheme="minorEastAsia" w:cstheme="minorEastAsia"/>
                <w:kern w:val="0"/>
                <w:sz w:val="21"/>
                <w:szCs w:val="21"/>
                <w:lang w:val="en-US" w:eastAsia="zh-CN"/>
              </w:rPr>
              <w:t>7.2万人，</w:t>
            </w:r>
            <w:r>
              <w:rPr>
                <w:rFonts w:hint="eastAsia" w:asciiTheme="minorEastAsia" w:hAnsiTheme="minorEastAsia" w:eastAsiaTheme="minorEastAsia" w:cstheme="minorEastAsia"/>
                <w:kern w:val="0"/>
                <w:sz w:val="21"/>
                <w:szCs w:val="21"/>
              </w:rPr>
              <w:t>免费购买“巩固脱贫保险”</w:t>
            </w:r>
          </w:p>
        </w:tc>
        <w:tc>
          <w:tcPr>
            <w:tcW w:w="3282" w:type="dxa"/>
            <w:gridSpan w:val="3"/>
            <w:shd w:val="clear" w:color="auto" w:fill="auto"/>
            <w:noWrap w:val="0"/>
            <w:vAlign w:val="center"/>
          </w:tcPr>
          <w:p>
            <w:pPr>
              <w:widowControl/>
              <w:jc w:val="left"/>
              <w:rPr>
                <w:rFonts w:hint="eastAsia" w:asciiTheme="minorEastAsia" w:hAnsiTheme="minorEastAsia" w:eastAsiaTheme="minorEastAsia" w:cstheme="minorEastAsia"/>
                <w:kern w:val="0"/>
                <w:sz w:val="21"/>
                <w:szCs w:val="21"/>
                <w:lang w:val="en-US" w:eastAsia="zh-CN"/>
              </w:rPr>
            </w:pPr>
            <w:r>
              <w:rPr>
                <w:rFonts w:hint="eastAsia" w:asciiTheme="majorEastAsia" w:hAnsiTheme="majorEastAsia" w:eastAsiaTheme="majorEastAsia" w:cstheme="majorEastAsia"/>
                <w:kern w:val="0"/>
                <w:sz w:val="21"/>
                <w:szCs w:val="21"/>
                <w:lang w:val="en-US" w:eastAsia="zh-CN"/>
              </w:rPr>
              <w:t>已为全县符合条件的脱贫人口、新增人员72658人，免费购买“巩固脱贫保险”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111"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绩效指标</w:t>
            </w: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一级指标</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二级指标</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三级指标</w:t>
            </w:r>
          </w:p>
        </w:tc>
        <w:tc>
          <w:tcPr>
            <w:tcW w:w="1087"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年</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度</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指标值</w:t>
            </w:r>
          </w:p>
        </w:tc>
        <w:tc>
          <w:tcPr>
            <w:tcW w:w="1069"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实</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际</w:t>
            </w:r>
          </w:p>
          <w:p>
            <w:pPr>
              <w:widowControl/>
              <w:jc w:val="center"/>
              <w:rPr>
                <w:rFonts w:hint="eastAsia" w:ascii="宋体" w:hAnsi="宋体" w:eastAsia="等线" w:cs="宋体"/>
                <w:kern w:val="0"/>
                <w:sz w:val="21"/>
                <w:szCs w:val="21"/>
              </w:rPr>
            </w:pPr>
            <w:r>
              <w:rPr>
                <w:rFonts w:ascii="宋体" w:hAnsi="宋体" w:eastAsia="等线" w:cs="宋体"/>
                <w:kern w:val="0"/>
                <w:sz w:val="21"/>
                <w:szCs w:val="21"/>
              </w:rPr>
              <w:t>完</w:t>
            </w:r>
            <w:r>
              <w:rPr>
                <w:rFonts w:hint="eastAsia" w:ascii="宋体" w:hAnsi="宋体" w:eastAsia="等线" w:cs="宋体"/>
                <w:kern w:val="0"/>
                <w:sz w:val="21"/>
                <w:szCs w:val="21"/>
                <w:lang w:val="en-US" w:eastAsia="zh-CN"/>
              </w:rPr>
              <w:t xml:space="preserve"> </w:t>
            </w:r>
            <w:r>
              <w:rPr>
                <w:rFonts w:ascii="宋体" w:hAnsi="宋体" w:eastAsia="等线" w:cs="宋体"/>
                <w:kern w:val="0"/>
                <w:sz w:val="21"/>
                <w:szCs w:val="21"/>
              </w:rPr>
              <w:t>成值</w:t>
            </w:r>
          </w:p>
        </w:tc>
        <w:tc>
          <w:tcPr>
            <w:tcW w:w="750"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分值</w:t>
            </w:r>
          </w:p>
        </w:tc>
        <w:tc>
          <w:tcPr>
            <w:tcW w:w="14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11" w:type="dxa"/>
            <w:vMerge w:val="restart"/>
            <w:shd w:val="clear" w:color="auto" w:fill="auto"/>
            <w:noWrap w:val="0"/>
            <w:vAlign w:val="center"/>
          </w:tcPr>
          <w:p>
            <w:pPr>
              <w:widowControl/>
              <w:jc w:val="center"/>
              <w:rPr>
                <w:rFonts w:ascii="宋体" w:hAnsi="宋体" w:eastAsia="等线" w:cs="宋体"/>
                <w:kern w:val="0"/>
                <w:sz w:val="21"/>
                <w:szCs w:val="21"/>
              </w:rPr>
            </w:pPr>
          </w:p>
        </w:tc>
        <w:tc>
          <w:tcPr>
            <w:tcW w:w="1763" w:type="dxa"/>
            <w:vMerge w:val="restart"/>
            <w:shd w:val="clear" w:color="auto" w:fill="auto"/>
            <w:noWrap w:val="0"/>
            <w:vAlign w:val="center"/>
          </w:tcPr>
          <w:p>
            <w:pPr>
              <w:widowControl/>
              <w:rPr>
                <w:rFonts w:hint="eastAsia" w:ascii="宋体" w:hAnsi="宋体" w:eastAsia="等线" w:cs="宋体"/>
                <w:kern w:val="0"/>
                <w:sz w:val="21"/>
                <w:szCs w:val="21"/>
              </w:rPr>
            </w:pPr>
            <w:r>
              <w:rPr>
                <w:rFonts w:ascii="宋体" w:hAnsi="宋体" w:eastAsia="等线" w:cs="宋体"/>
                <w:kern w:val="0"/>
                <w:sz w:val="21"/>
                <w:szCs w:val="21"/>
              </w:rPr>
              <w:t>产出指标</w:t>
            </w: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数量指标</w:t>
            </w:r>
          </w:p>
        </w:tc>
        <w:tc>
          <w:tcPr>
            <w:tcW w:w="2136" w:type="dxa"/>
            <w:shd w:val="clear" w:color="auto" w:fill="auto"/>
            <w:noWrap w:val="0"/>
            <w:vAlign w:val="center"/>
          </w:tcPr>
          <w:p>
            <w:pPr>
              <w:widowControl/>
              <w:jc w:val="both"/>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参保人数（人）</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default" w:ascii="Arial" w:hAnsi="Arial" w:eastAsia="等线" w:cs="Arial"/>
                <w:kern w:val="0"/>
                <w:sz w:val="21"/>
                <w:szCs w:val="21"/>
              </w:rPr>
              <w:t>≥</w:t>
            </w:r>
            <w:r>
              <w:rPr>
                <w:rFonts w:hint="eastAsia" w:ascii="宋体" w:hAnsi="宋体" w:eastAsia="等线" w:cs="宋体"/>
                <w:kern w:val="0"/>
                <w:sz w:val="21"/>
                <w:szCs w:val="21"/>
                <w:lang w:val="en-US" w:eastAsia="zh-CN"/>
              </w:rPr>
              <w:t>72000</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72658</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质量指标</w:t>
            </w: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巩</w:t>
            </w:r>
            <w:r>
              <w:rPr>
                <w:rFonts w:hint="eastAsia" w:asciiTheme="minorEastAsia" w:hAnsiTheme="minorEastAsia" w:eastAsiaTheme="minorEastAsia" w:cstheme="minorEastAsia"/>
                <w:kern w:val="0"/>
                <w:sz w:val="21"/>
                <w:szCs w:val="21"/>
                <w:lang w:val="en-US" w:eastAsia="zh-CN"/>
              </w:rPr>
              <w:t>固脱贫保参保率</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质量指标</w:t>
            </w:r>
          </w:p>
        </w:tc>
        <w:tc>
          <w:tcPr>
            <w:tcW w:w="2136" w:type="dxa"/>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全县域内建档立卡贫困人口(脱贫人口)医疗保险“一站式”结算率</w:t>
            </w:r>
          </w:p>
        </w:tc>
        <w:tc>
          <w:tcPr>
            <w:tcW w:w="1087"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时效指标</w:t>
            </w:r>
          </w:p>
        </w:tc>
        <w:tc>
          <w:tcPr>
            <w:tcW w:w="2136" w:type="dxa"/>
            <w:shd w:val="clear" w:color="auto" w:fill="auto"/>
            <w:noWrap w:val="0"/>
            <w:vAlign w:val="center"/>
          </w:tcPr>
          <w:p>
            <w:pPr>
              <w:widowControl/>
              <w:jc w:val="left"/>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建卡贫困户（脱贫户）房屋受灾处置率</w:t>
            </w:r>
          </w:p>
        </w:tc>
        <w:tc>
          <w:tcPr>
            <w:tcW w:w="1087"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100%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成本指标</w:t>
            </w: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参保标准（元/人/年）</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130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130</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restart"/>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效益指标</w:t>
            </w:r>
          </w:p>
        </w:tc>
        <w:tc>
          <w:tcPr>
            <w:tcW w:w="1068"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社会效益</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受益对象巩固脱贫保政策知晓率</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w:t>
            </w:r>
            <w:r>
              <w:rPr>
                <w:rFonts w:hint="eastAsia" w:ascii="宋体" w:hAnsi="宋体" w:eastAsia="等线" w:cs="宋体"/>
                <w:kern w:val="0"/>
                <w:sz w:val="21"/>
                <w:szCs w:val="21"/>
                <w:lang w:val="en-US" w:eastAsia="zh-CN"/>
              </w:rPr>
              <w:t>5</w:t>
            </w:r>
            <w:r>
              <w:rPr>
                <w:rFonts w:hint="eastAsia" w:ascii="宋体" w:hAnsi="宋体" w:eastAsia="等线" w:cs="宋体"/>
                <w:kern w:val="0"/>
                <w:sz w:val="21"/>
                <w:szCs w:val="21"/>
              </w:rPr>
              <w:t>%</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vMerge w:val="continue"/>
            <w:shd w:val="clear" w:color="auto" w:fill="auto"/>
            <w:noWrap w:val="0"/>
            <w:vAlign w:val="center"/>
          </w:tcPr>
          <w:p>
            <w:pPr>
              <w:widowControl/>
              <w:jc w:val="center"/>
              <w:rPr>
                <w:rFonts w:hint="eastAsia" w:ascii="宋体" w:hAnsi="宋体" w:eastAsia="等线" w:cs="宋体"/>
                <w:kern w:val="0"/>
                <w:sz w:val="21"/>
                <w:szCs w:val="21"/>
              </w:rPr>
            </w:pPr>
          </w:p>
        </w:tc>
        <w:tc>
          <w:tcPr>
            <w:tcW w:w="1068" w:type="dxa"/>
            <w:shd w:val="clear" w:color="auto" w:fill="auto"/>
            <w:noWrap w:val="0"/>
            <w:vAlign w:val="center"/>
          </w:tcPr>
          <w:p>
            <w:pPr>
              <w:widowControl/>
              <w:jc w:val="center"/>
              <w:rPr>
                <w:rFonts w:hint="eastAsia" w:ascii="宋体" w:hAnsi="宋体" w:eastAsia="等线" w:cs="宋体"/>
                <w:kern w:val="0"/>
                <w:sz w:val="21"/>
                <w:szCs w:val="21"/>
              </w:rPr>
            </w:pPr>
          </w:p>
        </w:tc>
        <w:tc>
          <w:tcPr>
            <w:tcW w:w="2136"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受益人数（人）</w:t>
            </w:r>
          </w:p>
        </w:tc>
        <w:tc>
          <w:tcPr>
            <w:tcW w:w="1087" w:type="dxa"/>
            <w:shd w:val="clear" w:color="auto" w:fill="auto"/>
            <w:noWrap w:val="0"/>
            <w:vAlign w:val="center"/>
          </w:tcPr>
          <w:p>
            <w:pPr>
              <w:widowControl/>
              <w:jc w:val="center"/>
              <w:rPr>
                <w:rFonts w:hint="default" w:ascii="宋体" w:hAnsi="宋体" w:eastAsia="等线" w:cs="宋体"/>
                <w:kern w:val="0"/>
                <w:sz w:val="21"/>
                <w:szCs w:val="21"/>
                <w:lang w:val="en-US" w:eastAsia="zh-CN" w:bidi="ar-SA"/>
              </w:rPr>
            </w:pPr>
            <w:r>
              <w:rPr>
                <w:rFonts w:hint="default" w:ascii="Arial" w:hAnsi="Arial" w:eastAsia="等线" w:cs="Arial"/>
                <w:kern w:val="0"/>
                <w:sz w:val="21"/>
                <w:szCs w:val="21"/>
              </w:rPr>
              <w:t>≥</w:t>
            </w:r>
            <w:r>
              <w:rPr>
                <w:rFonts w:hint="eastAsia" w:ascii="宋体" w:hAnsi="宋体" w:eastAsia="等线" w:cs="宋体"/>
                <w:kern w:val="0"/>
                <w:sz w:val="21"/>
                <w:szCs w:val="21"/>
                <w:lang w:val="en-US" w:eastAsia="zh-CN"/>
              </w:rPr>
              <w:t>72000</w:t>
            </w:r>
          </w:p>
        </w:tc>
        <w:tc>
          <w:tcPr>
            <w:tcW w:w="1069" w:type="dxa"/>
            <w:shd w:val="clear" w:color="auto" w:fill="auto"/>
            <w:noWrap w:val="0"/>
            <w:vAlign w:val="center"/>
          </w:tcPr>
          <w:p>
            <w:pPr>
              <w:widowControl/>
              <w:jc w:val="center"/>
              <w:rPr>
                <w:rFonts w:hint="eastAsia" w:ascii="宋体" w:hAnsi="宋体" w:eastAsia="等线" w:cs="宋体"/>
                <w:kern w:val="0"/>
                <w:sz w:val="21"/>
                <w:szCs w:val="21"/>
                <w:lang w:val="en-US" w:eastAsia="zh-CN" w:bidi="ar-SA"/>
              </w:rPr>
            </w:pPr>
            <w:r>
              <w:rPr>
                <w:rFonts w:hint="eastAsia" w:ascii="宋体" w:hAnsi="宋体" w:eastAsia="等线" w:cs="宋体"/>
                <w:kern w:val="0"/>
                <w:sz w:val="21"/>
                <w:szCs w:val="21"/>
                <w:lang w:val="en-US" w:eastAsia="zh-CN"/>
              </w:rPr>
              <w:t>72658</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vMerge w:val="continue"/>
            <w:shd w:val="clear" w:color="auto" w:fill="auto"/>
            <w:noWrap w:val="0"/>
            <w:vAlign w:val="center"/>
          </w:tcPr>
          <w:p>
            <w:pPr>
              <w:widowControl/>
              <w:jc w:val="center"/>
              <w:rPr>
                <w:rFonts w:ascii="宋体" w:hAnsi="宋体" w:eastAsia="等线" w:cs="宋体"/>
                <w:kern w:val="0"/>
                <w:sz w:val="21"/>
                <w:szCs w:val="21"/>
              </w:rPr>
            </w:pPr>
          </w:p>
        </w:tc>
        <w:tc>
          <w:tcPr>
            <w:tcW w:w="1763" w:type="dxa"/>
            <w:shd w:val="clear" w:color="auto" w:fill="auto"/>
            <w:noWrap w:val="0"/>
            <w:vAlign w:val="center"/>
          </w:tcPr>
          <w:p>
            <w:pPr>
              <w:widowControl/>
              <w:jc w:val="center"/>
              <w:rPr>
                <w:rFonts w:hint="eastAsia" w:ascii="宋体" w:hAnsi="宋体" w:eastAsia="等线" w:cs="宋体"/>
                <w:kern w:val="0"/>
                <w:sz w:val="21"/>
                <w:szCs w:val="21"/>
              </w:rPr>
            </w:pPr>
            <w:r>
              <w:rPr>
                <w:rFonts w:ascii="宋体" w:hAnsi="宋体" w:eastAsia="等线" w:cs="宋体"/>
                <w:kern w:val="0"/>
                <w:sz w:val="21"/>
                <w:szCs w:val="21"/>
              </w:rPr>
              <w:t>满意度指标</w:t>
            </w:r>
          </w:p>
        </w:tc>
        <w:tc>
          <w:tcPr>
            <w:tcW w:w="1068"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Theme="majorEastAsia" w:hAnsiTheme="majorEastAsia" w:eastAsiaTheme="majorEastAsia" w:cstheme="majorEastAsia"/>
                <w:kern w:val="0"/>
                <w:sz w:val="21"/>
                <w:szCs w:val="21"/>
                <w:lang w:val="en-US" w:eastAsia="zh-CN"/>
              </w:rPr>
              <w:t>服务对象满意度</w:t>
            </w:r>
          </w:p>
        </w:tc>
        <w:tc>
          <w:tcPr>
            <w:tcW w:w="2136"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受益</w:t>
            </w:r>
            <w:r>
              <w:rPr>
                <w:rFonts w:hint="eastAsia" w:ascii="宋体" w:hAnsi="宋体" w:eastAsia="等线" w:cs="宋体"/>
                <w:kern w:val="0"/>
                <w:sz w:val="21"/>
                <w:szCs w:val="21"/>
                <w:lang w:val="en-US" w:eastAsia="zh-CN"/>
              </w:rPr>
              <w:t>对象</w:t>
            </w:r>
            <w:r>
              <w:rPr>
                <w:rFonts w:hint="eastAsia" w:ascii="宋体" w:hAnsi="宋体" w:eastAsia="等线" w:cs="宋体"/>
                <w:kern w:val="0"/>
                <w:sz w:val="21"/>
                <w:szCs w:val="21"/>
              </w:rPr>
              <w:t>满意度</w:t>
            </w:r>
          </w:p>
        </w:tc>
        <w:tc>
          <w:tcPr>
            <w:tcW w:w="1087"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≥90%</w:t>
            </w:r>
          </w:p>
        </w:tc>
        <w:tc>
          <w:tcPr>
            <w:tcW w:w="1069" w:type="dxa"/>
            <w:shd w:val="clear" w:color="auto" w:fill="auto"/>
            <w:noWrap w:val="0"/>
            <w:vAlign w:val="center"/>
          </w:tcPr>
          <w:p>
            <w:pPr>
              <w:widowControl/>
              <w:jc w:val="center"/>
              <w:rPr>
                <w:rFonts w:hint="eastAsia" w:ascii="宋体" w:hAnsi="宋体" w:eastAsia="等线" w:cs="宋体"/>
                <w:kern w:val="0"/>
                <w:sz w:val="21"/>
                <w:szCs w:val="21"/>
              </w:rPr>
            </w:pPr>
            <w:r>
              <w:rPr>
                <w:rFonts w:hint="eastAsia" w:ascii="宋体" w:hAnsi="宋体" w:eastAsia="等线" w:cs="宋体"/>
                <w:kern w:val="0"/>
                <w:sz w:val="21"/>
                <w:szCs w:val="21"/>
              </w:rPr>
              <w:t>9</w:t>
            </w:r>
            <w:r>
              <w:rPr>
                <w:rFonts w:hint="eastAsia" w:ascii="宋体" w:hAnsi="宋体" w:eastAsia="等线" w:cs="宋体"/>
                <w:kern w:val="0"/>
                <w:sz w:val="21"/>
                <w:szCs w:val="21"/>
                <w:lang w:val="en-US" w:eastAsia="zh-CN"/>
              </w:rPr>
              <w:t>5</w:t>
            </w:r>
            <w:r>
              <w:rPr>
                <w:rFonts w:hint="eastAsia" w:ascii="宋体" w:hAnsi="宋体" w:eastAsia="等线" w:cs="宋体"/>
                <w:kern w:val="0"/>
                <w:sz w:val="21"/>
                <w:szCs w:val="21"/>
              </w:rPr>
              <w:t>%</w:t>
            </w:r>
          </w:p>
        </w:tc>
        <w:tc>
          <w:tcPr>
            <w:tcW w:w="750"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20</w:t>
            </w:r>
          </w:p>
        </w:tc>
        <w:tc>
          <w:tcPr>
            <w:tcW w:w="1463" w:type="dxa"/>
            <w:shd w:val="clear" w:color="auto" w:fill="auto"/>
            <w:noWrap w:val="0"/>
            <w:vAlign w:val="center"/>
          </w:tcPr>
          <w:p>
            <w:pPr>
              <w:widowControl/>
              <w:jc w:val="center"/>
              <w:rPr>
                <w:rFonts w:hint="default" w:ascii="宋体" w:hAnsi="宋体" w:eastAsia="等线" w:cs="宋体"/>
                <w:kern w:val="0"/>
                <w:sz w:val="21"/>
                <w:szCs w:val="21"/>
                <w:lang w:val="en-US" w:eastAsia="zh-CN"/>
              </w:rPr>
            </w:pPr>
            <w:r>
              <w:rPr>
                <w:rFonts w:hint="eastAsia" w:ascii="宋体" w:hAnsi="宋体" w:eastAsia="等线" w:cs="宋体"/>
                <w:kern w:val="0"/>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11" w:type="dxa"/>
            <w:shd w:val="clear" w:color="auto" w:fill="auto"/>
            <w:noWrap w:val="0"/>
            <w:vAlign w:val="center"/>
          </w:tcPr>
          <w:p>
            <w:pPr>
              <w:widowControl/>
              <w:jc w:val="center"/>
              <w:rPr>
                <w:rFonts w:ascii="宋体" w:hAnsi="宋体" w:eastAsia="等线" w:cs="宋体"/>
                <w:kern w:val="0"/>
                <w:sz w:val="21"/>
                <w:szCs w:val="21"/>
              </w:rPr>
            </w:pPr>
            <w:r>
              <w:rPr>
                <w:rFonts w:ascii="宋体" w:hAnsi="宋体" w:eastAsia="等线" w:cs="宋体"/>
                <w:kern w:val="0"/>
                <w:sz w:val="21"/>
                <w:szCs w:val="21"/>
              </w:rPr>
              <w:t>说明</w:t>
            </w:r>
          </w:p>
        </w:tc>
        <w:tc>
          <w:tcPr>
            <w:tcW w:w="9336" w:type="dxa"/>
            <w:gridSpan w:val="7"/>
            <w:shd w:val="clear" w:color="auto" w:fill="auto"/>
            <w:noWrap w:val="0"/>
            <w:vAlign w:val="center"/>
          </w:tcPr>
          <w:p>
            <w:pPr>
              <w:widowControl/>
              <w:jc w:val="center"/>
              <w:rPr>
                <w:rFonts w:hint="eastAsia" w:ascii="宋体" w:hAnsi="宋体" w:eastAsia="等线" w:cs="宋体"/>
                <w:kern w:val="0"/>
                <w:sz w:val="21"/>
                <w:szCs w:val="21"/>
              </w:rPr>
            </w:pPr>
          </w:p>
        </w:tc>
      </w:tr>
    </w:tbl>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ascii="Times New Roman" w:hAnsi="Times New Roman" w:eastAsia="方正仿宋_GBK"/>
          <w:b w:val="0"/>
          <w:color w:val="000000"/>
          <w:sz w:val="32"/>
          <w:szCs w:val="32"/>
        </w:rPr>
      </w:pPr>
      <w:r>
        <w:rPr>
          <w:rFonts w:ascii="Times New Roman" w:hAnsi="Times New Roman" w:eastAsia="方正仿宋_GBK"/>
          <w:sz w:val="32"/>
          <w:szCs w:val="32"/>
        </w:rPr>
        <w:pict>
          <v:shape id="_x0000_s2051" o:spid="_x0000_s2051" o:spt="32" type="#_x0000_t32" style="position:absolute;left:0pt;margin-left:-20.6pt;margin-top:-552.05pt;height:0pt;width:36pt;z-index:251660288;mso-width-relative:page;mso-height-relative:page;" o:connectortype="straight" filled="f" coordsize="21600,21600">
            <v:path arrowok="t"/>
            <v:fill on="f" focussize="0,0"/>
            <v:stroke/>
            <v:imagedata o:title=""/>
            <o:lock v:ext="edit"/>
          </v:shape>
        </w:pict>
      </w:r>
      <w:r>
        <w:rPr>
          <w:rFonts w:ascii="Times New Roman" w:hAnsi="Times New Roman" w:eastAsia="方正仿宋_GBK"/>
          <w:sz w:val="32"/>
          <w:szCs w:val="32"/>
        </w:rPr>
        <w:t xml:space="preserve"> </w:t>
      </w:r>
      <w:r>
        <w:rPr>
          <w:rStyle w:val="7"/>
          <w:rFonts w:ascii="Times New Roman" w:hAnsi="Times New Roman" w:eastAsia="方正仿宋_GBK"/>
          <w:b w:val="0"/>
          <w:color w:val="000000"/>
          <w:sz w:val="32"/>
          <w:szCs w:val="32"/>
        </w:rPr>
        <w:t>2.</w:t>
      </w:r>
      <w:r>
        <w:rPr>
          <w:rStyle w:val="7"/>
          <w:rFonts w:hint="eastAsia" w:ascii="Times New Roman" w:hAnsi="Times New Roman" w:eastAsia="方正仿宋_GBK"/>
          <w:b w:val="0"/>
          <w:color w:val="000000"/>
          <w:sz w:val="32"/>
          <w:szCs w:val="32"/>
        </w:rPr>
        <w:t>绩效自评报告或案例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Style w:val="7"/>
          <w:rFonts w:hint="eastAsia" w:ascii="Times New Roman" w:hAnsi="Times New Roman" w:eastAsia="方正仿宋_GBK"/>
          <w:b w:val="0"/>
          <w:color w:val="000000"/>
          <w:sz w:val="32"/>
          <w:szCs w:val="32"/>
        </w:rPr>
      </w:pPr>
      <w:r>
        <w:rPr>
          <w:rStyle w:val="7"/>
          <w:rFonts w:hint="eastAsia" w:ascii="Times New Roman" w:hAnsi="Times New Roman" w:eastAsia="方正仿宋_GBK"/>
          <w:b w:val="0"/>
          <w:color w:val="000000"/>
          <w:sz w:val="32"/>
          <w:szCs w:val="32"/>
          <w:lang w:val="en-US" w:eastAsia="zh-CN"/>
        </w:rPr>
        <w:t>我单位</w:t>
      </w:r>
      <w:r>
        <w:rPr>
          <w:rStyle w:val="7"/>
          <w:rFonts w:hint="eastAsia" w:ascii="Times New Roman" w:hAnsi="Times New Roman" w:eastAsia="方正仿宋_GBK"/>
          <w:b w:val="0"/>
          <w:color w:val="000000"/>
          <w:sz w:val="32"/>
          <w:szCs w:val="32"/>
        </w:rPr>
        <w:t>未委托第三方开展绩效自评。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关于绩效自评结果的说明</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我单位绩效自评均已完成年度绩效目标。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ascii="方正楷体_GBK" w:hAnsi="Times New Roman" w:eastAsia="方正楷体_GBK"/>
          <w:b w:val="0"/>
          <w:color w:val="000000"/>
          <w:sz w:val="32"/>
          <w:szCs w:val="32"/>
        </w:rPr>
      </w:pPr>
      <w:r>
        <w:rPr>
          <w:rStyle w:val="7"/>
          <w:rFonts w:hint="eastAsia" w:ascii="方正楷体_GBK" w:hAnsi="Times New Roman" w:eastAsia="方正楷体_GBK"/>
          <w:b w:val="0"/>
          <w:color w:val="000000"/>
          <w:sz w:val="32"/>
          <w:szCs w:val="32"/>
        </w:rPr>
        <w:t>（三）重点绩效评价结果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Times New Roman" w:hAnsi="Times New Roman" w:eastAsia="方正仿宋_GBK"/>
          <w:b w:val="0"/>
          <w:color w:val="000000"/>
          <w:sz w:val="32"/>
          <w:szCs w:val="32"/>
        </w:rPr>
      </w:pPr>
      <w:r>
        <w:rPr>
          <w:rStyle w:val="7"/>
          <w:rFonts w:hint="eastAsia" w:ascii="Times New Roman" w:hAnsi="Times New Roman" w:eastAsia="方正仿宋_GBK"/>
          <w:b w:val="0"/>
          <w:color w:val="000000"/>
          <w:sz w:val="32"/>
          <w:szCs w:val="32"/>
          <w:lang w:val="en-US" w:eastAsia="zh-CN"/>
        </w:rPr>
        <w:t>我单位</w:t>
      </w:r>
      <w:r>
        <w:rPr>
          <w:rStyle w:val="7"/>
          <w:rFonts w:hint="eastAsia" w:ascii="Times New Roman" w:hAnsi="Times New Roman" w:eastAsia="方正仿宋_GBK"/>
          <w:b w:val="0"/>
          <w:color w:val="000000"/>
          <w:sz w:val="32"/>
          <w:szCs w:val="32"/>
        </w:rPr>
        <w:t>未委托第三方开展重点绩效评价。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542" w:firstLineChars="200"/>
        <w:jc w:val="both"/>
        <w:textAlignment w:val="auto"/>
        <w:rPr>
          <w:rStyle w:val="7"/>
          <w:rFonts w:hint="eastAsia" w:ascii="黑体" w:hAnsi="黑体" w:eastAsia="黑体" w:cs="Times New Roman"/>
          <w:b w:val="0"/>
          <w:color w:val="000000"/>
          <w:sz w:val="32"/>
          <w:szCs w:val="32"/>
        </w:rPr>
      </w:pPr>
      <w:r>
        <w:rPr>
          <w:rStyle w:val="7"/>
          <w:sz w:val="27"/>
          <w:szCs w:val="27"/>
        </w:rPr>
        <w:t> </w:t>
      </w:r>
      <w:r>
        <w:rPr>
          <w:rStyle w:val="7"/>
          <w:rFonts w:hint="eastAsia" w:ascii="黑体" w:hAnsi="黑体" w:eastAsia="黑体" w:cs="Times New Roman"/>
          <w:b w:val="0"/>
          <w:color w:val="000000"/>
          <w:sz w:val="32"/>
          <w:szCs w:val="32"/>
        </w:rPr>
        <w:t>六、专业名词解释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（一）财政拨款收入：</w:t>
      </w:r>
      <w:r>
        <w:rPr>
          <w:rFonts w:hint="eastAsia" w:ascii="Times New Roman" w:hAnsi="Times New Roman" w:eastAsia="方正仿宋_GBK"/>
          <w:sz w:val="32"/>
          <w:szCs w:val="32"/>
          <w:lang w:val="en-US" w:eastAsia="zh-CN"/>
        </w:rPr>
        <w:t>指本年度从本级财政部门取得的财政拨款，包括一般公共预算财政拨款和政府性基金预算财政拨款。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二</w:t>
      </w:r>
      <w:r>
        <w:rPr>
          <w:rStyle w:val="7"/>
          <w:rFonts w:hint="eastAsia" w:ascii="方正楷体_GBK" w:hAnsi="Times New Roman" w:eastAsia="方正楷体_GBK" w:cs="Times New Roman"/>
          <w:b w:val="0"/>
          <w:color w:val="000000"/>
          <w:sz w:val="32"/>
          <w:szCs w:val="32"/>
        </w:rPr>
        <w:t>）其他收入：</w:t>
      </w:r>
      <w:r>
        <w:rPr>
          <w:rFonts w:hint="eastAsia" w:ascii="Times New Roman" w:hAnsi="Times New Roman" w:eastAsia="方正仿宋_GBK"/>
          <w:sz w:val="32"/>
          <w:szCs w:val="32"/>
          <w:lang w:val="en-US"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三</w:t>
      </w:r>
      <w:r>
        <w:rPr>
          <w:rStyle w:val="7"/>
          <w:rFonts w:hint="eastAsia" w:ascii="方正楷体_GBK" w:hAnsi="Times New Roman" w:eastAsia="方正楷体_GBK" w:cs="Times New Roman"/>
          <w:b w:val="0"/>
          <w:color w:val="000000"/>
          <w:sz w:val="32"/>
          <w:szCs w:val="32"/>
        </w:rPr>
        <w:t>）使用非财政拨款结余：</w:t>
      </w:r>
      <w:r>
        <w:rPr>
          <w:rFonts w:hint="eastAsia" w:ascii="Times New Roman" w:hAnsi="Times New Roman" w:eastAsia="方正仿宋_GBK"/>
          <w:sz w:val="32"/>
          <w:szCs w:val="32"/>
          <w:lang w:val="en-US" w:eastAsia="zh-CN"/>
        </w:rPr>
        <w:t>指单位在当年的“财政拨款收入”、“事业收入”、“经营收入”、“其他收入”等不足以安排当年支出的情况下，使用以前年度积累的非财政拨款结余弥补本年度收支缺口的资金。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方正楷体_GBK" w:hAnsi="Times New Roman" w:eastAsia="方正楷体_GBK" w:cs="Times New Roman"/>
          <w:b w:val="0"/>
          <w:color w:val="000000"/>
          <w:sz w:val="32"/>
          <w:szCs w:val="32"/>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四</w:t>
      </w:r>
      <w:r>
        <w:rPr>
          <w:rStyle w:val="7"/>
          <w:rFonts w:hint="eastAsia" w:ascii="方正楷体_GBK" w:hAnsi="Times New Roman" w:eastAsia="方正楷体_GBK" w:cs="Times New Roman"/>
          <w:b w:val="0"/>
          <w:color w:val="000000"/>
          <w:sz w:val="32"/>
          <w:szCs w:val="32"/>
        </w:rPr>
        <w:t>）年初结转和结余：</w:t>
      </w:r>
      <w:r>
        <w:rPr>
          <w:rFonts w:hint="eastAsia" w:ascii="Times New Roman" w:hAnsi="Times New Roman" w:eastAsia="方正仿宋_GBK"/>
          <w:sz w:val="32"/>
          <w:szCs w:val="32"/>
          <w:lang w:val="en-US" w:eastAsia="zh-CN"/>
        </w:rPr>
        <w:t>指单位上年结转本年使用的基本支出结转、项目支出结转和结余、经营结余。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五</w:t>
      </w:r>
      <w:r>
        <w:rPr>
          <w:rStyle w:val="7"/>
          <w:rFonts w:hint="eastAsia" w:ascii="方正楷体_GBK" w:hAnsi="Times New Roman" w:eastAsia="方正楷体_GBK" w:cs="Times New Roman"/>
          <w:b w:val="0"/>
          <w:color w:val="000000"/>
          <w:sz w:val="32"/>
          <w:szCs w:val="32"/>
        </w:rPr>
        <w:t>）结余分配：</w:t>
      </w:r>
      <w:r>
        <w:rPr>
          <w:rFonts w:hint="eastAsia" w:ascii="Times New Roman" w:hAnsi="Times New Roman" w:eastAsia="方正仿宋_GBK"/>
          <w:sz w:val="32"/>
          <w:szCs w:val="32"/>
          <w:lang w:val="en-US" w:eastAsia="zh-CN"/>
        </w:rPr>
        <w:t>指单位按照国家有关规定，缴纳所得税、提取专用基金、转入非财政拨款结余等当年结余的分配情况。</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六</w:t>
      </w:r>
      <w:r>
        <w:rPr>
          <w:rStyle w:val="7"/>
          <w:rFonts w:hint="eastAsia" w:ascii="方正楷体_GBK" w:hAnsi="Times New Roman" w:eastAsia="方正楷体_GBK" w:cs="Times New Roman"/>
          <w:b w:val="0"/>
          <w:color w:val="000000"/>
          <w:sz w:val="32"/>
          <w:szCs w:val="32"/>
        </w:rPr>
        <w:t>）年末结转和结余：</w:t>
      </w:r>
      <w:r>
        <w:rPr>
          <w:rFonts w:hint="eastAsia" w:ascii="Times New Roman" w:hAnsi="Times New Roman" w:eastAsia="方正仿宋_GBK"/>
          <w:sz w:val="32"/>
          <w:szCs w:val="32"/>
          <w:lang w:val="en-US" w:eastAsia="zh-CN"/>
        </w:rPr>
        <w:t>指单位结转下年的基本支出结转、项目支出结转和结余、经营结余。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w:t>
      </w:r>
      <w:r>
        <w:rPr>
          <w:rStyle w:val="7"/>
          <w:rFonts w:hint="eastAsia" w:ascii="方正楷体_GBK" w:hAnsi="Times New Roman" w:eastAsia="方正楷体_GBK" w:cs="Times New Roman"/>
          <w:b w:val="0"/>
          <w:color w:val="000000"/>
          <w:sz w:val="32"/>
          <w:szCs w:val="32"/>
          <w:lang w:val="en-US" w:eastAsia="zh-CN"/>
        </w:rPr>
        <w:t>七</w:t>
      </w:r>
      <w:r>
        <w:rPr>
          <w:rStyle w:val="7"/>
          <w:rFonts w:hint="eastAsia" w:ascii="方正楷体_GBK" w:hAnsi="Times New Roman" w:eastAsia="方正楷体_GBK" w:cs="Times New Roman"/>
          <w:b w:val="0"/>
          <w:color w:val="000000"/>
          <w:sz w:val="32"/>
          <w:szCs w:val="32"/>
        </w:rPr>
        <w:t>）基本支出：</w:t>
      </w:r>
      <w:r>
        <w:rPr>
          <w:rFonts w:hint="eastAsia" w:ascii="Times New Roman" w:hAnsi="Times New Roman" w:eastAsia="方正仿宋_GBK"/>
          <w:sz w:val="32"/>
          <w:szCs w:val="32"/>
          <w:lang w:val="en-US"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hint="eastAsia" w:ascii="方正楷体_GBK" w:hAnsi="Times New Roman" w:eastAsia="方正楷体_GBK" w:cs="Times New Roman"/>
          <w:b w:val="0"/>
          <w:color w:val="000000"/>
          <w:sz w:val="32"/>
          <w:szCs w:val="32"/>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八</w:t>
      </w:r>
      <w:r>
        <w:rPr>
          <w:rStyle w:val="7"/>
          <w:rFonts w:hint="eastAsia" w:ascii="方正楷体_GBK" w:hAnsi="Times New Roman" w:eastAsia="方正楷体_GBK" w:cs="Times New Roman"/>
          <w:b w:val="0"/>
          <w:color w:val="000000"/>
          <w:sz w:val="32"/>
          <w:szCs w:val="32"/>
        </w:rPr>
        <w:t>）项目支出：</w:t>
      </w:r>
      <w:r>
        <w:rPr>
          <w:rFonts w:hint="eastAsia" w:ascii="Times New Roman" w:hAnsi="Times New Roman" w:eastAsia="方正仿宋_GBK"/>
          <w:sz w:val="32"/>
          <w:szCs w:val="32"/>
          <w:lang w:val="en-US" w:eastAsia="zh-CN"/>
        </w:rPr>
        <w:t>指在基本支出之外为完成特定行政任务和事业发展目标所发生的支出。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w:t>
      </w:r>
      <w:r>
        <w:rPr>
          <w:rStyle w:val="7"/>
          <w:rFonts w:hint="eastAsia" w:ascii="方正楷体_GBK" w:hAnsi="Times New Roman" w:eastAsia="方正楷体_GBK" w:cs="Times New Roman"/>
          <w:b w:val="0"/>
          <w:color w:val="000000"/>
          <w:sz w:val="32"/>
          <w:szCs w:val="32"/>
          <w:lang w:val="en-US" w:eastAsia="zh-CN"/>
        </w:rPr>
        <w:t>九</w:t>
      </w:r>
      <w:r>
        <w:rPr>
          <w:rStyle w:val="7"/>
          <w:rFonts w:hint="eastAsia" w:ascii="方正楷体_GBK" w:hAnsi="Times New Roman" w:eastAsia="方正楷体_GBK" w:cs="Times New Roman"/>
          <w:b w:val="0"/>
          <w:color w:val="000000"/>
          <w:sz w:val="32"/>
          <w:szCs w:val="32"/>
        </w:rPr>
        <w:t>）“三公”经费：</w:t>
      </w:r>
      <w:r>
        <w:rPr>
          <w:rFonts w:hint="eastAsia" w:ascii="Times New Roman" w:hAnsi="Times New Roman" w:eastAsia="方正仿宋_GBK"/>
          <w:sz w:val="32"/>
          <w:szCs w:val="32"/>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（十）机关运行经费：</w:t>
      </w:r>
      <w:r>
        <w:rPr>
          <w:rFonts w:hint="eastAsia" w:ascii="Times New Roman" w:hAnsi="Times New Roman" w:eastAsia="方正仿宋_GBK"/>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w:t>
      </w:r>
      <w:r>
        <w:rPr>
          <w:rStyle w:val="7"/>
          <w:rFonts w:hint="eastAsia" w:ascii="方正楷体_GBK" w:hAnsi="Times New Roman" w:eastAsia="方正楷体_GBK" w:cs="Times New Roman"/>
          <w:b w:val="0"/>
          <w:color w:val="000000"/>
          <w:sz w:val="32"/>
          <w:szCs w:val="32"/>
          <w:lang w:val="en-US" w:eastAsia="zh-CN"/>
        </w:rPr>
        <w:t>一</w:t>
      </w:r>
      <w:r>
        <w:rPr>
          <w:rStyle w:val="7"/>
          <w:rFonts w:hint="eastAsia" w:ascii="方正楷体_GBK" w:hAnsi="Times New Roman" w:eastAsia="方正楷体_GBK" w:cs="Times New Roman"/>
          <w:b w:val="0"/>
          <w:color w:val="000000"/>
          <w:sz w:val="32"/>
          <w:szCs w:val="32"/>
        </w:rPr>
        <w:t>）工资福利支出（支出经济分类科目类级）：</w:t>
      </w:r>
      <w:r>
        <w:rPr>
          <w:rFonts w:hint="eastAsia" w:ascii="Times New Roman" w:hAnsi="Times New Roman" w:eastAsia="方正仿宋_GBK"/>
          <w:sz w:val="32"/>
          <w:szCs w:val="32"/>
          <w:lang w:val="en-US" w:eastAsia="zh-CN"/>
        </w:rPr>
        <w:t>反映单位开支的在职职工和编制外长期聘用人员的各类劳动报酬，以及为上述人员缴纳的各项社会保险费等。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（十</w:t>
      </w:r>
      <w:r>
        <w:rPr>
          <w:rStyle w:val="7"/>
          <w:rFonts w:hint="eastAsia" w:ascii="方正楷体_GBK" w:hAnsi="Times New Roman" w:eastAsia="方正楷体_GBK" w:cs="Times New Roman"/>
          <w:b w:val="0"/>
          <w:color w:val="000000"/>
          <w:sz w:val="32"/>
          <w:szCs w:val="32"/>
          <w:lang w:val="en-US" w:eastAsia="zh-CN"/>
        </w:rPr>
        <w:t>二</w:t>
      </w:r>
      <w:r>
        <w:rPr>
          <w:rStyle w:val="7"/>
          <w:rFonts w:hint="eastAsia" w:ascii="方正楷体_GBK" w:hAnsi="Times New Roman" w:eastAsia="方正楷体_GBK" w:cs="Times New Roman"/>
          <w:b w:val="0"/>
          <w:color w:val="000000"/>
          <w:sz w:val="32"/>
          <w:szCs w:val="32"/>
        </w:rPr>
        <w:t>）商品和服务支出（支出经济分类科目类级）：</w:t>
      </w:r>
      <w:r>
        <w:rPr>
          <w:rFonts w:hint="eastAsia" w:ascii="Times New Roman" w:hAnsi="Times New Roman" w:eastAsia="方正仿宋_GBK"/>
          <w:sz w:val="32"/>
          <w:szCs w:val="32"/>
          <w:lang w:val="en-US" w:eastAsia="zh-CN"/>
        </w:rPr>
        <w:t>反映单位购买商品和服务的支出（不包括用于购置固定资产的支出、战略性和应急储备支出）。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 （十</w:t>
      </w:r>
      <w:r>
        <w:rPr>
          <w:rStyle w:val="7"/>
          <w:rFonts w:hint="eastAsia" w:ascii="方正楷体_GBK" w:hAnsi="Times New Roman" w:eastAsia="方正楷体_GBK" w:cs="Times New Roman"/>
          <w:b w:val="0"/>
          <w:color w:val="000000"/>
          <w:sz w:val="32"/>
          <w:szCs w:val="32"/>
          <w:lang w:val="en-US" w:eastAsia="zh-CN"/>
        </w:rPr>
        <w:t>三</w:t>
      </w:r>
      <w:r>
        <w:rPr>
          <w:rStyle w:val="7"/>
          <w:rFonts w:hint="eastAsia" w:ascii="方正楷体_GBK" w:hAnsi="Times New Roman" w:eastAsia="方正楷体_GBK" w:cs="Times New Roman"/>
          <w:b w:val="0"/>
          <w:color w:val="000000"/>
          <w:sz w:val="32"/>
          <w:szCs w:val="32"/>
        </w:rPr>
        <w:t>）对个人和家庭的补助（支出经济分类科目类级）：</w:t>
      </w:r>
      <w:r>
        <w:rPr>
          <w:rFonts w:hint="eastAsia" w:ascii="Times New Roman" w:hAnsi="Times New Roman" w:eastAsia="方正仿宋_GBK"/>
          <w:sz w:val="32"/>
          <w:szCs w:val="32"/>
          <w:lang w:val="en-US" w:eastAsia="zh-CN"/>
        </w:rPr>
        <w:t>反映用于对个人和家庭的补助支出。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Style w:val="7"/>
          <w:rFonts w:hint="eastAsia" w:ascii="方正楷体_GBK" w:hAnsi="Times New Roman" w:eastAsia="方正楷体_GBK" w:cs="Times New Roman"/>
          <w:b w:val="0"/>
          <w:color w:val="000000"/>
          <w:sz w:val="32"/>
          <w:szCs w:val="32"/>
        </w:rPr>
        <w:t>（十</w:t>
      </w:r>
      <w:r>
        <w:rPr>
          <w:rStyle w:val="7"/>
          <w:rFonts w:hint="eastAsia" w:ascii="方正楷体_GBK" w:hAnsi="Times New Roman" w:eastAsia="方正楷体_GBK" w:cs="Times New Roman"/>
          <w:b w:val="0"/>
          <w:color w:val="000000"/>
          <w:sz w:val="32"/>
          <w:szCs w:val="32"/>
          <w:lang w:val="en-US" w:eastAsia="zh-CN"/>
        </w:rPr>
        <w:t>四</w:t>
      </w:r>
      <w:r>
        <w:rPr>
          <w:rStyle w:val="7"/>
          <w:rFonts w:hint="eastAsia" w:ascii="方正楷体_GBK" w:hAnsi="Times New Roman" w:eastAsia="方正楷体_GBK" w:cs="Times New Roman"/>
          <w:b w:val="0"/>
          <w:color w:val="000000"/>
          <w:sz w:val="32"/>
          <w:szCs w:val="32"/>
        </w:rPr>
        <w:t>）其他资本性支出（支出经济分类科目类级）：</w:t>
      </w:r>
      <w:r>
        <w:rPr>
          <w:rFonts w:hint="eastAsia" w:ascii="Times New Roman" w:hAnsi="Times New Roman" w:eastAsia="方正仿宋_GBK"/>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Style w:val="7"/>
          <w:rFonts w:ascii="黑体" w:hAnsi="黑体" w:eastAsia="黑体"/>
          <w:b w:val="0"/>
          <w:color w:val="000000"/>
          <w:sz w:val="32"/>
          <w:szCs w:val="32"/>
        </w:rPr>
      </w:pPr>
      <w:r>
        <w:rPr>
          <w:rStyle w:val="7"/>
          <w:rFonts w:hint="eastAsia" w:ascii="黑体" w:hAnsi="黑体" w:eastAsia="黑体"/>
          <w:b w:val="0"/>
          <w:color w:val="000000"/>
          <w:sz w:val="32"/>
          <w:szCs w:val="32"/>
        </w:rPr>
        <w:t>七、决算公开联系方式及信息反馈渠道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40" w:firstLineChars="200"/>
        <w:jc w:val="both"/>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本单位决算公开信息反馈和联系方式： 023-70605715</w:t>
      </w:r>
    </w:p>
    <w:p>
      <w:pPr>
        <w:pStyle w:val="4"/>
      </w:pPr>
    </w:p>
    <w:sectPr>
      <w:footerReference r:id="rId3" w:type="default"/>
      <w:pgSz w:w="11906" w:h="16838"/>
      <w:pgMar w:top="1440" w:right="1800" w:bottom="1440" w:left="1800"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rPr>
        <w:rFonts w:hint="default" w:asciiTheme="minorAscii" w:hAnsiTheme="minorAscii" w:eastAsiaTheme="minorEastAsia"/>
        <w:sz w:val="28"/>
        <w:szCs w:val="28"/>
      </w:rPr>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r>
      <w:rPr>
        <w:rFonts w:hint="eastAsia"/>
        <w:lang w:eastAsia="zh-CN"/>
      </w:rPr>
      <w:tab/>
    </w:r>
    <w:r>
      <w:rPr>
        <w:rFonts w:hint="eastAsia"/>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Q4YzE3OWZjYTMzZjI3M2U0MDU0NjUyYjRjMGNlNzYifQ=="/>
  </w:docVars>
  <w:rsids>
    <w:rsidRoot w:val="00557180"/>
    <w:rsid w:val="00557180"/>
    <w:rsid w:val="00640904"/>
    <w:rsid w:val="00771B68"/>
    <w:rsid w:val="00893649"/>
    <w:rsid w:val="01A0779B"/>
    <w:rsid w:val="01E5507A"/>
    <w:rsid w:val="0201302D"/>
    <w:rsid w:val="025727E8"/>
    <w:rsid w:val="0449381C"/>
    <w:rsid w:val="046B19E4"/>
    <w:rsid w:val="04AD3DAA"/>
    <w:rsid w:val="051554AC"/>
    <w:rsid w:val="05F652DD"/>
    <w:rsid w:val="07104B26"/>
    <w:rsid w:val="0737795B"/>
    <w:rsid w:val="079E3E7E"/>
    <w:rsid w:val="08D5567E"/>
    <w:rsid w:val="09047D11"/>
    <w:rsid w:val="0941406E"/>
    <w:rsid w:val="0A7669ED"/>
    <w:rsid w:val="0D0E73B0"/>
    <w:rsid w:val="0D3F57BC"/>
    <w:rsid w:val="0F5716E4"/>
    <w:rsid w:val="0F5A14BD"/>
    <w:rsid w:val="108A4FA0"/>
    <w:rsid w:val="116B3023"/>
    <w:rsid w:val="11B23137"/>
    <w:rsid w:val="11B60016"/>
    <w:rsid w:val="12324270"/>
    <w:rsid w:val="12F26E2C"/>
    <w:rsid w:val="136B5F00"/>
    <w:rsid w:val="142E658A"/>
    <w:rsid w:val="14BA1BCC"/>
    <w:rsid w:val="17141A67"/>
    <w:rsid w:val="1755337B"/>
    <w:rsid w:val="19AD1CFF"/>
    <w:rsid w:val="1BDB0DA5"/>
    <w:rsid w:val="1C7F3E27"/>
    <w:rsid w:val="1D191BEC"/>
    <w:rsid w:val="1E641526"/>
    <w:rsid w:val="1EB4768C"/>
    <w:rsid w:val="201900EE"/>
    <w:rsid w:val="2244218A"/>
    <w:rsid w:val="250615C4"/>
    <w:rsid w:val="25E35426"/>
    <w:rsid w:val="262640CB"/>
    <w:rsid w:val="27054F28"/>
    <w:rsid w:val="276C31F9"/>
    <w:rsid w:val="282D0BDB"/>
    <w:rsid w:val="2864532A"/>
    <w:rsid w:val="29C9048F"/>
    <w:rsid w:val="29D00C47"/>
    <w:rsid w:val="29F44F5C"/>
    <w:rsid w:val="2B604E23"/>
    <w:rsid w:val="2CAA2783"/>
    <w:rsid w:val="2CBD7002"/>
    <w:rsid w:val="2CDA6E57"/>
    <w:rsid w:val="2D7746A6"/>
    <w:rsid w:val="2F7075FF"/>
    <w:rsid w:val="32130E41"/>
    <w:rsid w:val="32D3412D"/>
    <w:rsid w:val="32E60304"/>
    <w:rsid w:val="33062754"/>
    <w:rsid w:val="340321F7"/>
    <w:rsid w:val="35702107"/>
    <w:rsid w:val="3623361D"/>
    <w:rsid w:val="363C648D"/>
    <w:rsid w:val="363D46DF"/>
    <w:rsid w:val="37441A9D"/>
    <w:rsid w:val="37FA1102"/>
    <w:rsid w:val="38E914CC"/>
    <w:rsid w:val="3A4E0707"/>
    <w:rsid w:val="3BCB453B"/>
    <w:rsid w:val="3D622C7D"/>
    <w:rsid w:val="3DBB238D"/>
    <w:rsid w:val="4061721C"/>
    <w:rsid w:val="40FB0F02"/>
    <w:rsid w:val="42232093"/>
    <w:rsid w:val="43193DDE"/>
    <w:rsid w:val="4359067E"/>
    <w:rsid w:val="438F22F2"/>
    <w:rsid w:val="45E66494"/>
    <w:rsid w:val="466C146E"/>
    <w:rsid w:val="468172D6"/>
    <w:rsid w:val="4699767D"/>
    <w:rsid w:val="48496F13"/>
    <w:rsid w:val="48EB621C"/>
    <w:rsid w:val="49173EB5"/>
    <w:rsid w:val="4924528A"/>
    <w:rsid w:val="49971F00"/>
    <w:rsid w:val="4B6C4D31"/>
    <w:rsid w:val="4B9D30D2"/>
    <w:rsid w:val="4C9414B3"/>
    <w:rsid w:val="4D2B6632"/>
    <w:rsid w:val="4DE33966"/>
    <w:rsid w:val="4DED6593"/>
    <w:rsid w:val="5059441A"/>
    <w:rsid w:val="516F66A6"/>
    <w:rsid w:val="526112FD"/>
    <w:rsid w:val="533620EC"/>
    <w:rsid w:val="53CA0345"/>
    <w:rsid w:val="55E430BD"/>
    <w:rsid w:val="560C1580"/>
    <w:rsid w:val="564832E8"/>
    <w:rsid w:val="56755377"/>
    <w:rsid w:val="56FC7846"/>
    <w:rsid w:val="5C406888"/>
    <w:rsid w:val="5C86208C"/>
    <w:rsid w:val="5D2245B8"/>
    <w:rsid w:val="5D720862"/>
    <w:rsid w:val="5E6F6B50"/>
    <w:rsid w:val="5E7B3747"/>
    <w:rsid w:val="5FAA6092"/>
    <w:rsid w:val="5FBC5DC5"/>
    <w:rsid w:val="60732F23"/>
    <w:rsid w:val="6164008D"/>
    <w:rsid w:val="620D46B6"/>
    <w:rsid w:val="642438A3"/>
    <w:rsid w:val="669C3421"/>
    <w:rsid w:val="66C37A39"/>
    <w:rsid w:val="66FD73EF"/>
    <w:rsid w:val="67211A19"/>
    <w:rsid w:val="67276C19"/>
    <w:rsid w:val="673B31CF"/>
    <w:rsid w:val="676A4358"/>
    <w:rsid w:val="6784366C"/>
    <w:rsid w:val="6817628E"/>
    <w:rsid w:val="696D0F78"/>
    <w:rsid w:val="69B31FE7"/>
    <w:rsid w:val="6A8E5652"/>
    <w:rsid w:val="6AAB186F"/>
    <w:rsid w:val="6B2558DD"/>
    <w:rsid w:val="6B264A3A"/>
    <w:rsid w:val="6BD75F6F"/>
    <w:rsid w:val="6CDE55CC"/>
    <w:rsid w:val="6ED44ED9"/>
    <w:rsid w:val="6F082DD5"/>
    <w:rsid w:val="70A02B99"/>
    <w:rsid w:val="711D6209"/>
    <w:rsid w:val="711F1BC7"/>
    <w:rsid w:val="71AD7C63"/>
    <w:rsid w:val="72AA25B4"/>
    <w:rsid w:val="777772DE"/>
    <w:rsid w:val="778C3E77"/>
    <w:rsid w:val="77972F48"/>
    <w:rsid w:val="786A240A"/>
    <w:rsid w:val="79254583"/>
    <w:rsid w:val="7B4E0D77"/>
    <w:rsid w:val="7B9559F0"/>
    <w:rsid w:val="7EC072C3"/>
    <w:rsid w:val="7F572FBC"/>
    <w:rsid w:val="7F606315"/>
    <w:rsid w:val="7FE17456"/>
    <w:rsid w:val="FFD6D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5678</Words>
  <Characters>6355</Characters>
  <Lines>65</Lines>
  <Paragraphs>18</Paragraphs>
  <TotalTime>2</TotalTime>
  <ScaleCrop>false</ScaleCrop>
  <LinksUpToDate>false</LinksUpToDate>
  <CharactersWithSpaces>6420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2022-10-10T08:54:00Z</dcterms:created>
  <dc:creator>微软用户</dc:creator>
  <cp:lastModifiedBy>user</cp:lastModifiedBy>
  <dcterms:modified xsi:type="dcterms:W3CDTF">2023-05-19T09:48:57Z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4ECC735882B143A5AE449372FA7D0DB7</vt:lpwstr>
  </property>
</Properties>
</file>