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3024505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38.15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tY0+1gAAAAgBAAAPAAAAAAAAAAEAIAAAACIAAABkcnMvZG93bnJldi54bWxQSwEC&#10;FAAUAAAACACHTuJAxpNJNv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</w:rPr>
        <w:pict>
          <v:shape id="_x0000_s1027" o:spid="_x0000_s1027" o:spt="136" type="#_x0000_t136" style="position:absolute;left:0pt;margin-top:99.25pt;height:51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丰都县发展和改革委员会文件" style="font-family:方正小标宋_GBK;font-size:36pt;font-weight:bold;v-text-align:center;"/>
          </v:shape>
        </w:pict>
      </w:r>
    </w:p>
    <w:p/>
    <w:p/>
    <w:p/>
    <w:p/>
    <w:p/>
    <w:p/>
    <w:p>
      <w:pPr>
        <w:jc w:val="center"/>
        <w:rPr>
          <w:rFonts w:hint="eastAsia" w:ascii="仿宋_GB2312" w:eastAsia="仿宋_GB2312" w:cs="仿宋_GB2312"/>
          <w:bCs/>
          <w:color w:val="000000"/>
          <w:szCs w:val="32"/>
        </w:rPr>
      </w:pPr>
      <w:r>
        <w:rPr>
          <w:rFonts w:hint="eastAsia" w:ascii="方正仿宋_GBK" w:cs="仿宋_GB2312"/>
          <w:bCs/>
          <w:color w:val="000000"/>
          <w:szCs w:val="32"/>
        </w:rPr>
        <w:t>丰都发改委发</w:t>
      </w:r>
      <w:r>
        <w:rPr>
          <w:bCs/>
          <w:color w:val="000000"/>
          <w:szCs w:val="32"/>
        </w:rPr>
        <w:t>〔202</w:t>
      </w:r>
      <w:r>
        <w:rPr>
          <w:rFonts w:hint="eastAsia"/>
          <w:bCs/>
          <w:color w:val="000000"/>
          <w:szCs w:val="32"/>
          <w:lang w:val="en-US" w:eastAsia="zh-CN"/>
        </w:rPr>
        <w:t>3</w:t>
      </w:r>
      <w:r>
        <w:rPr>
          <w:bCs/>
          <w:color w:val="000000"/>
          <w:szCs w:val="32"/>
        </w:rPr>
        <w:t>〕</w:t>
      </w:r>
      <w:r>
        <w:rPr>
          <w:rFonts w:hint="eastAsia"/>
          <w:bCs/>
          <w:color w:val="000000"/>
          <w:szCs w:val="32"/>
          <w:lang w:val="en-US" w:eastAsia="zh-CN"/>
        </w:rPr>
        <w:t>324</w:t>
      </w:r>
      <w:r>
        <w:rPr>
          <w:rFonts w:hint="eastAsia" w:ascii="方正仿宋_GBK" w:cs="仿宋_GB2312"/>
          <w:bCs/>
          <w:color w:val="000000"/>
          <w:szCs w:val="32"/>
        </w:rPr>
        <w:t>号</w:t>
      </w:r>
    </w:p>
    <w:p>
      <w:pPr>
        <w:widowControl/>
        <w:ind w:left="1"/>
      </w:pPr>
    </w:p>
    <w:p>
      <w:pPr>
        <w:widowControl/>
        <w:ind w:left="1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62" w:firstLineChars="450"/>
        <w:textAlignment w:val="auto"/>
        <w:rPr>
          <w:rFonts w:eastAsia="方正小标宋_GBK"/>
          <w:sz w:val="44"/>
          <w:szCs w:val="44"/>
          <w:highlight w:val="none"/>
        </w:rPr>
      </w:pPr>
      <w:r>
        <w:rPr>
          <w:rFonts w:hint="eastAsia" w:eastAsia="方正小标宋_GBK"/>
          <w:sz w:val="44"/>
          <w:szCs w:val="44"/>
          <w:highlight w:val="none"/>
        </w:rPr>
        <w:t>丰都县发展和改革委员会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highlight w:val="none"/>
        </w:rPr>
        <w:t>关于</w:t>
      </w:r>
      <w:r>
        <w:rPr>
          <w:rFonts w:hint="eastAsia" w:eastAsia="方正小标宋_GBK" w:cs="Times New Roman"/>
          <w:spacing w:val="-11"/>
          <w:sz w:val="44"/>
          <w:szCs w:val="44"/>
          <w:highlight w:val="none"/>
          <w:lang w:val="en-US" w:eastAsia="zh-CN"/>
        </w:rPr>
        <w:t>重庆丰都育才中学10KV用电工程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highlight w:val="none"/>
        </w:rPr>
        <w:t>实施方案的批复</w:t>
      </w:r>
    </w:p>
    <w:p>
      <w:pPr>
        <w:pStyle w:val="11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县城建司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报送的《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关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于审批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重庆丰都育才中学10KV用电工程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实施方案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的请示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》（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丰城建司文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101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号）及附件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收悉。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为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保障新建育才中学的用电需求，县政府同意启动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实施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重庆丰都育才中学10KV用电工程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。经我委审查，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现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就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重庆丰都育才中学10KV用电工程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（项目代码：230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val="en-US" w:eastAsia="zh-CN"/>
        </w:rPr>
        <w:t>4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-500230-04-01-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val="en-US" w:eastAsia="zh-CN"/>
        </w:rPr>
        <w:t>859972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二、项目法人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丰都县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城市建设资产经营有限责任公司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三、建设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新建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、建设地址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丰都县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龙河东育才中学校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、建设内容规模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安装10KV干式变压器1250KVA</w:t>
      </w:r>
      <w:r>
        <w:rPr>
          <w:rFonts w:hint="eastAsia" w:ascii="Times New Roman" w:hAnsi="Times New Roman" w:cs="Times New Roman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2台、10KV开关柜4台、低压开关柜13台、直流电源1套、柴油发电机1台、母线槽38米，敷设10KV电缆185米。开挖接地沟槽150米，修筑电缆排管125米、电缆井6座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、投资</w:t>
      </w:r>
      <w:r>
        <w:rPr>
          <w:rFonts w:hint="eastAsia" w:eastAsia="方正黑体_GBK" w:cs="Times New Roman"/>
          <w:color w:val="000000"/>
          <w:sz w:val="32"/>
          <w:szCs w:val="32"/>
          <w:highlight w:val="none"/>
          <w:lang w:eastAsia="zh-CN"/>
        </w:rPr>
        <w:t>概算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项目总投资为199.23万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zh-CN" w:eastAsia="zh-CN"/>
        </w:rPr>
        <w:t>元。其中工程费用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177.77万元、建设项目其他费11.97万元、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zh-CN" w:eastAsia="zh-CN"/>
        </w:rPr>
        <w:t>基本预备费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9.49万元。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本项目资金来源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为业主自筹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、建设工期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本项目建设期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节能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九、招投标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按照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丰都府办发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〔202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78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号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文件执行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接此批复后，请抓紧时间完善前期相关工作，及时开工建设，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严格安全“三同时”，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按期完成建设任务。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baseline"/>
        <w:rPr>
          <w:rFonts w:hint="eastAsia" w:asci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4108" w:firstLineChars="13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4108" w:firstLineChars="13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丰都县发展和改革委员会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                        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日       </w:t>
      </w:r>
    </w:p>
    <w:p>
      <w:pPr>
        <w:pStyle w:val="3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3"/>
        <w:rPr>
          <w:rFonts w:hint="eastAsia"/>
          <w:highlight w:val="none"/>
        </w:rPr>
      </w:pPr>
    </w:p>
    <w:p>
      <w:pPr>
        <w:spacing w:line="570" w:lineRule="exact"/>
        <w:textAlignment w:val="baseline"/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/>
    <w:p>
      <w:pPr>
        <w:rPr>
          <w:rFonts w:hint="eastAsia" w:eastAsia="方正仿宋_GBK"/>
          <w:highlight w:val="none"/>
          <w:lang w:val="en-US" w:eastAsia="zh-CN"/>
        </w:rPr>
      </w:pPr>
      <w:r>
        <w:rPr>
          <w:rFonts w:eastAsia="方正仿宋_GBK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5pt;height:0pt;width:441pt;z-index:251662336;mso-width-relative:page;mso-height-relative:page;" filled="f" stroked="t" coordsize="21600,21600" o:gfxdata="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8uWxt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35pt;height:0pt;width:441pt;z-index:251661312;mso-width-relative:page;mso-height-relative:page;" filled="f" stroked="t" coordsize="21600,21600" o:gfxdata="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25BLH0QAAAAQBAAAPAAAAAAAAAAEAIAAAACIAAABkcnMvZG93bnJldi54bWxQSwECFAAUAAAA&#10;CACHTuJAa1hgdvUBAADkAwAADgAAAAAAAAABACAAAAAg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w:t xml:space="preserve">  丰都县</w:t>
      </w:r>
      <w:r>
        <w:rPr>
          <w:rFonts w:hint="eastAsia" w:eastAsia="方正仿宋_GBK"/>
          <w:sz w:val="28"/>
          <w:szCs w:val="28"/>
          <w:highlight w:val="none"/>
        </w:rPr>
        <w:t>发展和改革委员会</w:t>
      </w:r>
      <w:r>
        <w:rPr>
          <w:rFonts w:eastAsia="方正仿宋_GBK"/>
          <w:sz w:val="28"/>
          <w:szCs w:val="28"/>
          <w:highlight w:val="none"/>
        </w:rPr>
        <w:t xml:space="preserve">办公室       </w:t>
      </w:r>
      <w:r>
        <w:rPr>
          <w:rFonts w:hint="eastAsia" w:eastAsia="方正仿宋_GBK"/>
          <w:sz w:val="28"/>
          <w:szCs w:val="28"/>
          <w:highlight w:val="none"/>
        </w:rPr>
        <w:t xml:space="preserve"> </w:t>
      </w:r>
      <w:r>
        <w:rPr>
          <w:rFonts w:eastAsia="方正仿宋_GBK"/>
          <w:sz w:val="28"/>
          <w:szCs w:val="28"/>
          <w:highlight w:val="none"/>
        </w:rPr>
        <w:t xml:space="preserve">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eastAsia="方正仿宋_GBK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eastAsia="方正仿宋_GBK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29</w:t>
      </w:r>
      <w:r>
        <w:rPr>
          <w:rFonts w:hint="eastAsia" w:eastAsia="方正仿宋_GBK"/>
          <w:sz w:val="28"/>
          <w:szCs w:val="28"/>
          <w:highlight w:val="none"/>
        </w:rPr>
        <w:t>日印</w:t>
      </w:r>
      <w:r>
        <w:rPr>
          <w:rFonts w:hint="eastAsia"/>
          <w:sz w:val="28"/>
          <w:szCs w:val="28"/>
          <w:highlight w:val="none"/>
          <w:lang w:val="en-US" w:eastAsia="zh-CN"/>
        </w:rPr>
        <w:t>发</w:t>
      </w:r>
    </w:p>
    <w:p>
      <w:pPr>
        <w:spacing w:line="440" w:lineRule="exact"/>
        <w:rPr>
          <w:rFonts w:hint="eastAsia" w:eastAsia="方正小标宋_GBK"/>
          <w:sz w:val="44"/>
          <w:szCs w:val="44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7495" w:firstLineChars="2677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FhNmZkOWExNGQ2YzVkOTdmZTUyYzcxZjhlZWEifQ=="/>
  </w:docVars>
  <w:rsids>
    <w:rsidRoot w:val="3FB85D4F"/>
    <w:rsid w:val="3FB85D4F"/>
    <w:rsid w:val="53A97CC1"/>
    <w:rsid w:val="6F8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0">
    <w:name w:val="样式1"/>
    <w:basedOn w:val="1"/>
    <w:qFormat/>
    <w:uiPriority w:val="0"/>
    <w:pPr>
      <w:pBdr>
        <w:top w:val="single" w:color="auto" w:sz="4" w:space="1"/>
        <w:bottom w:val="single" w:color="auto" w:sz="4" w:space="1"/>
      </w:pBdr>
      <w:spacing w:line="560" w:lineRule="exact"/>
      <w:ind w:left="276" w:hanging="276" w:hangingChars="100"/>
    </w:pPr>
    <w:rPr>
      <w:rFonts w:hAnsi="方正仿宋_GBK"/>
      <w:sz w:val="28"/>
      <w:szCs w:val="28"/>
    </w:rPr>
  </w:style>
  <w:style w:type="paragraph" w:customStyle="1" w:styleId="11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611</Words>
  <Characters>689</Characters>
  <Lines>0</Lines>
  <Paragraphs>0</Paragraphs>
  <TotalTime>0</TotalTime>
  <ScaleCrop>false</ScaleCrop>
  <LinksUpToDate>false</LinksUpToDate>
  <CharactersWithSpaces>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2023-07-05T03:47:00Z</dcterms:created>
  <dc:creator>舟洲</dc:creator>
  <cp:lastModifiedBy>舟洲</cp:lastModifiedBy>
  <dcterms:modified xsi:type="dcterms:W3CDTF">2023-07-05T04:01:52Z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4814FFD519D44226A3B8293635F807B8_11</vt:lpwstr>
  </property>
</Properties>
</file>