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overflowPunct w:val="0"/>
        <w:spacing w:after="0" w:afterLines="0" w:line="580" w:lineRule="exact"/>
        <w:ind w:firstLine="0" w:firstLineChars="0"/>
        <w:jc w:val="center"/>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重庆市企业公共信用综合评价指标</w:t>
      </w:r>
    </w:p>
    <w:p>
      <w:pPr>
        <w:widowControl w:val="0"/>
        <w:overflowPunct w:val="0"/>
        <w:spacing w:after="0" w:afterLines="0" w:line="240" w:lineRule="auto"/>
        <w:ind w:firstLine="0" w:firstLineChars="0"/>
        <w:jc w:val="both"/>
        <w:rPr>
          <w:rFonts w:hint="default" w:ascii="Times New Roman" w:hAnsi="Times New Roman" w:eastAsia="方正仿宋_GBK" w:cs="Times New Roman"/>
          <w:color w:val="auto"/>
          <w:kern w:val="2"/>
          <w:sz w:val="32"/>
          <w:szCs w:val="28"/>
          <w:lang w:val="en-US" w:eastAsia="zh-CN" w:bidi="ar-SA"/>
        </w:rPr>
      </w:pPr>
    </w:p>
    <w:p>
      <w:pPr>
        <w:overflowPunct w:val="0"/>
        <w:adjustRightInd/>
        <w:spacing w:afterLines="0" w:line="240" w:lineRule="auto"/>
        <w:ind w:firstLine="632" w:firstLineChars="200"/>
        <w:textAlignment w:val="auto"/>
        <w:rPr>
          <w:rFonts w:hint="eastAsia" w:ascii="Times New Roman" w:hAnsi="Times New Roman" w:cs="方正仿宋_GBK"/>
          <w:color w:val="auto"/>
          <w:kern w:val="2"/>
          <w:szCs w:val="22"/>
        </w:rPr>
      </w:pPr>
      <w:r>
        <w:rPr>
          <w:rFonts w:hint="eastAsia" w:ascii="Times New Roman" w:hAnsi="Times New Roman" w:cs="方正仿宋_GBK"/>
          <w:color w:val="auto"/>
          <w:kern w:val="2"/>
          <w:szCs w:val="22"/>
        </w:rPr>
        <w:t>公共信用信息指国家机关和法律、法规授权的具有管理公共事务职能的组织在履行法定职责、提供公共服务过程中产生和获取的信用信息。《重庆市企业公共信用综合评价指标》（以下简称《综合评价指标》）是通过依法依规整合重庆市公共信用信息共享平台、国家企业信用信息公示系统（重庆）、中国执行信息公开网等政府部门归集共享的公共信用信息，设置科学、合理的评价标准，建立信用评价模型，对在渝企业开展全覆盖、标准化、公益性的公共信用综合评价，评价结果供相关政府部门、行业协会商会等参考使用，并依照有关规定向社会公开。</w:t>
      </w:r>
    </w:p>
    <w:p>
      <w:pPr>
        <w:keepNext w:val="0"/>
        <w:keepLines w:val="0"/>
        <w:widowControl w:val="0"/>
        <w:overflowPunct w:val="0"/>
        <w:spacing w:afterLines="0" w:line="240" w:lineRule="auto"/>
        <w:ind w:firstLine="632" w:firstLineChars="200"/>
        <w:jc w:val="both"/>
        <w:outlineLvl w:val="9"/>
        <w:rPr>
          <w:rFonts w:hint="eastAsia" w:ascii="Times New Roman" w:hAnsi="Times New Roman" w:eastAsia="方正黑体_GBK" w:cs="方正黑体_GBK"/>
          <w:b w:val="0"/>
          <w:bCs w:val="0"/>
          <w:color w:val="auto"/>
          <w:kern w:val="44"/>
          <w:sz w:val="32"/>
          <w:szCs w:val="44"/>
          <w:lang w:val="en-US" w:eastAsia="zh-CN" w:bidi="ar-SA"/>
        </w:rPr>
      </w:pPr>
      <w:r>
        <w:rPr>
          <w:rFonts w:hint="eastAsia" w:ascii="Times New Roman" w:hAnsi="Times New Roman" w:eastAsia="方正黑体_GBK" w:cs="方正黑体_GBK"/>
          <w:b w:val="0"/>
          <w:bCs w:val="0"/>
          <w:color w:val="auto"/>
          <w:kern w:val="44"/>
          <w:sz w:val="32"/>
          <w:szCs w:val="44"/>
          <w:lang w:val="en-US" w:eastAsia="zh-CN" w:bidi="ar-SA"/>
        </w:rPr>
        <w:t>一、评价原则</w:t>
      </w:r>
    </w:p>
    <w:p>
      <w:pPr>
        <w:overflowPunct w:val="0"/>
        <w:adjustRightInd/>
        <w:spacing w:afterLines="0" w:line="240" w:lineRule="auto"/>
        <w:ind w:firstLine="632" w:firstLineChars="200"/>
        <w:textAlignment w:val="auto"/>
        <w:rPr>
          <w:rFonts w:hint="eastAsia" w:ascii="Times New Roman" w:hAnsi="Times New Roman" w:cs="方正仿宋_GBK"/>
          <w:color w:val="auto"/>
          <w:kern w:val="2"/>
          <w:szCs w:val="22"/>
        </w:rPr>
      </w:pPr>
      <w:r>
        <w:rPr>
          <w:rFonts w:hint="eastAsia" w:ascii="Times New Roman" w:hAnsi="Times New Roman" w:cs="方正仿宋_GBK"/>
          <w:color w:val="auto"/>
          <w:kern w:val="2"/>
          <w:szCs w:val="22"/>
        </w:rPr>
        <w:t>按规范性、综合性、客观性和公益性为原则，重庆市企业公共信用综合评价各项指标采用法律法规明确的、合法合规采集、纳入公共信用信息管理的企业守信信息和失信信息，通过量化计算模型和客观评分标准，以自动化方式生成评价结果，不含主观评价，全面反映受评主体的信用状况。本评价过程不向受评对象收取评价或查询费用。</w:t>
      </w:r>
    </w:p>
    <w:p>
      <w:pPr>
        <w:keepNext w:val="0"/>
        <w:keepLines w:val="0"/>
        <w:widowControl w:val="0"/>
        <w:overflowPunct w:val="0"/>
        <w:spacing w:afterLines="0" w:line="240" w:lineRule="auto"/>
        <w:ind w:firstLine="632" w:firstLineChars="200"/>
        <w:jc w:val="both"/>
        <w:outlineLvl w:val="9"/>
        <w:rPr>
          <w:rFonts w:hint="eastAsia" w:ascii="Times New Roman" w:hAnsi="Times New Roman" w:eastAsia="方正黑体_GBK" w:cs="方正黑体_GBK"/>
          <w:b w:val="0"/>
          <w:bCs w:val="0"/>
          <w:color w:val="auto"/>
          <w:kern w:val="44"/>
          <w:sz w:val="32"/>
          <w:szCs w:val="44"/>
          <w:lang w:val="en-US" w:eastAsia="zh-CN" w:bidi="ar-SA"/>
        </w:rPr>
      </w:pPr>
      <w:r>
        <w:rPr>
          <w:rFonts w:hint="eastAsia" w:ascii="Times New Roman" w:hAnsi="Times New Roman" w:eastAsia="方正黑体_GBK" w:cs="方正黑体_GBK"/>
          <w:b w:val="0"/>
          <w:bCs w:val="0"/>
          <w:color w:val="auto"/>
          <w:kern w:val="44"/>
          <w:sz w:val="32"/>
          <w:szCs w:val="44"/>
          <w:lang w:val="en-US" w:eastAsia="zh-CN" w:bidi="ar-SA"/>
        </w:rPr>
        <w:t>二、指标构成及等级标准</w:t>
      </w:r>
      <w:bookmarkStart w:id="0" w:name="_GoBack"/>
      <w:bookmarkEnd w:id="0"/>
    </w:p>
    <w:p>
      <w:pPr>
        <w:overflowPunct w:val="0"/>
        <w:adjustRightInd/>
        <w:spacing w:afterLines="0" w:line="240" w:lineRule="auto"/>
        <w:ind w:firstLine="632" w:firstLineChars="200"/>
        <w:textAlignment w:val="auto"/>
        <w:rPr>
          <w:rFonts w:hint="eastAsia" w:ascii="Times New Roman" w:hAnsi="Times New Roman" w:cs="方正仿宋_GBK"/>
          <w:color w:val="auto"/>
          <w:kern w:val="2"/>
          <w:szCs w:val="22"/>
        </w:rPr>
      </w:pPr>
      <w:r>
        <w:rPr>
          <w:rFonts w:hint="eastAsia" w:ascii="Times New Roman" w:hAnsi="Times New Roman" w:cs="方正仿宋_GBK"/>
          <w:color w:val="auto"/>
          <w:kern w:val="2"/>
          <w:szCs w:val="22"/>
        </w:rPr>
        <w:t>《综合评价指标》由遵纪守法、生产经营、社会责任、关联人员、守信激励五个维度组成，包括10个一级指标、18个二级指标、27个三级指标组成，满分1000分。</w:t>
      </w:r>
    </w:p>
    <w:p>
      <w:pPr>
        <w:keepNext w:val="0"/>
        <w:keepLines w:val="0"/>
        <w:widowControl w:val="0"/>
        <w:overflowPunct w:val="0"/>
        <w:spacing w:afterLines="0" w:line="240" w:lineRule="auto"/>
        <w:ind w:firstLine="632" w:firstLineChars="200"/>
        <w:jc w:val="both"/>
        <w:outlineLvl w:val="9"/>
        <w:rPr>
          <w:rFonts w:hint="eastAsia" w:ascii="Times New Roman" w:hAnsi="Times New Roman" w:eastAsia="方正黑体_GBK" w:cs="方正黑体_GBK"/>
          <w:b w:val="0"/>
          <w:bCs w:val="0"/>
          <w:color w:val="auto"/>
          <w:kern w:val="44"/>
          <w:sz w:val="32"/>
          <w:szCs w:val="44"/>
          <w:lang w:val="en-US" w:eastAsia="zh-CN" w:bidi="ar-SA"/>
        </w:rPr>
      </w:pPr>
      <w:r>
        <w:rPr>
          <w:rFonts w:hint="eastAsia" w:ascii="Times New Roman" w:hAnsi="Times New Roman" w:eastAsia="方正黑体_GBK" w:cs="方正黑体_GBK"/>
          <w:b w:val="0"/>
          <w:bCs w:val="0"/>
          <w:color w:val="auto"/>
          <w:kern w:val="44"/>
          <w:sz w:val="32"/>
          <w:szCs w:val="44"/>
          <w:lang w:val="en-US" w:eastAsia="zh-CN" w:bidi="ar-SA"/>
        </w:rPr>
        <w:t>三、评价方法</w:t>
      </w:r>
    </w:p>
    <w:p>
      <w:pPr>
        <w:overflowPunct w:val="0"/>
        <w:adjustRightInd/>
        <w:spacing w:afterLines="0" w:line="240" w:lineRule="auto"/>
        <w:ind w:firstLine="632" w:firstLineChars="200"/>
        <w:textAlignment w:val="auto"/>
        <w:rPr>
          <w:rFonts w:hint="eastAsia" w:ascii="Times New Roman" w:hAnsi="Times New Roman" w:cs="方正仿宋_GBK"/>
          <w:color w:val="auto"/>
          <w:kern w:val="2"/>
          <w:szCs w:val="22"/>
        </w:rPr>
      </w:pPr>
      <w:r>
        <w:rPr>
          <w:rFonts w:hint="eastAsia" w:ascii="Times New Roman" w:hAnsi="Times New Roman" w:cs="方正仿宋_GBK"/>
          <w:color w:val="auto"/>
          <w:kern w:val="2"/>
          <w:szCs w:val="22"/>
        </w:rPr>
        <w:t>公共信用综合评价总体采用混合型信用评分卡模型，将量化指标评分和综合定级相结合。量化指标评分是指根据各项指标得分和计算模型计算得到最终综合评分。综合定级是指根据最终综合评分确定公共信用综合评价等级。经过数据分析、指标赋权、模型评估等环节完成模型构建。在确定评价模型及指标、数据统计与分析基础上，根据计分规则各档位置，结合描述统计中最值与分位数法给指标各区间值赋分，其中，最优档：指标分数最大值；中间档：赋中位数或1/4分位数（具体依据四级指标区间个数确定）；最差档：指标分数最小值0分，并通过数据样本训练和测试优化指标参数。</w:t>
      </w:r>
    </w:p>
    <w:p>
      <w:pPr>
        <w:keepNext w:val="0"/>
        <w:keepLines w:val="0"/>
        <w:widowControl w:val="0"/>
        <w:overflowPunct w:val="0"/>
        <w:spacing w:afterLines="0" w:line="240" w:lineRule="auto"/>
        <w:ind w:firstLine="632" w:firstLineChars="200"/>
        <w:jc w:val="both"/>
        <w:outlineLvl w:val="9"/>
        <w:rPr>
          <w:rFonts w:hint="eastAsia" w:ascii="Times New Roman" w:hAnsi="Times New Roman" w:eastAsia="方正黑体_GBK" w:cs="方正黑体_GBK"/>
          <w:b w:val="0"/>
          <w:bCs w:val="0"/>
          <w:color w:val="auto"/>
          <w:kern w:val="44"/>
          <w:sz w:val="32"/>
          <w:szCs w:val="44"/>
          <w:lang w:val="en-US" w:eastAsia="zh-CN" w:bidi="ar-SA"/>
        </w:rPr>
      </w:pPr>
      <w:r>
        <w:rPr>
          <w:rFonts w:hint="eastAsia" w:ascii="Times New Roman" w:hAnsi="Times New Roman" w:eastAsia="方正黑体_GBK" w:cs="方正黑体_GBK"/>
          <w:b w:val="0"/>
          <w:bCs w:val="0"/>
          <w:color w:val="auto"/>
          <w:kern w:val="44"/>
          <w:sz w:val="32"/>
          <w:szCs w:val="44"/>
          <w:lang w:val="en-US" w:eastAsia="zh-CN" w:bidi="ar-SA"/>
        </w:rPr>
        <w:t>四、评价周期</w:t>
      </w:r>
    </w:p>
    <w:p>
      <w:pPr>
        <w:overflowPunct w:val="0"/>
        <w:adjustRightInd/>
        <w:spacing w:afterLines="0" w:line="240" w:lineRule="auto"/>
        <w:ind w:firstLine="632" w:firstLineChars="200"/>
        <w:textAlignment w:val="auto"/>
        <w:rPr>
          <w:rFonts w:hint="eastAsia" w:ascii="Times New Roman" w:hAnsi="Times New Roman" w:cs="方正仿宋_GBK"/>
          <w:color w:val="auto"/>
          <w:kern w:val="2"/>
          <w:szCs w:val="22"/>
        </w:rPr>
      </w:pPr>
      <w:r>
        <w:rPr>
          <w:rFonts w:hint="eastAsia" w:ascii="Times New Roman" w:hAnsi="Times New Roman" w:cs="方正仿宋_GBK"/>
          <w:color w:val="auto"/>
          <w:kern w:val="2"/>
          <w:szCs w:val="22"/>
        </w:rPr>
        <w:t>根据评价结果应用反馈情况适时调整评价指标、分值。原则上评价结果每季度更新一次。</w:t>
      </w:r>
    </w:p>
    <w:p>
      <w:pPr>
        <w:keepNext w:val="0"/>
        <w:keepLines w:val="0"/>
        <w:widowControl w:val="0"/>
        <w:overflowPunct w:val="0"/>
        <w:spacing w:afterLines="0" w:line="240" w:lineRule="auto"/>
        <w:ind w:firstLine="632" w:firstLineChars="200"/>
        <w:jc w:val="both"/>
        <w:outlineLvl w:val="9"/>
        <w:rPr>
          <w:rFonts w:hint="eastAsia" w:ascii="Times New Roman" w:hAnsi="Times New Roman" w:eastAsia="方正黑体_GBK" w:cs="方正黑体_GBK"/>
          <w:b w:val="0"/>
          <w:bCs w:val="0"/>
          <w:color w:val="auto"/>
          <w:kern w:val="44"/>
          <w:sz w:val="32"/>
          <w:szCs w:val="44"/>
          <w:lang w:val="en-US" w:eastAsia="zh-CN" w:bidi="ar-SA"/>
        </w:rPr>
      </w:pPr>
      <w:r>
        <w:rPr>
          <w:rFonts w:hint="eastAsia" w:ascii="Times New Roman" w:hAnsi="Times New Roman" w:eastAsia="方正黑体_GBK" w:cs="方正黑体_GBK"/>
          <w:b w:val="0"/>
          <w:bCs w:val="0"/>
          <w:color w:val="auto"/>
          <w:kern w:val="44"/>
          <w:sz w:val="32"/>
          <w:szCs w:val="44"/>
          <w:lang w:val="en-US" w:eastAsia="zh-CN" w:bidi="ar-SA"/>
        </w:rPr>
        <w:t>五、结果发布</w:t>
      </w:r>
    </w:p>
    <w:p>
      <w:pPr>
        <w:overflowPunct w:val="0"/>
        <w:adjustRightInd/>
        <w:spacing w:afterLines="0" w:line="240" w:lineRule="auto"/>
        <w:ind w:firstLine="632" w:firstLineChars="200"/>
        <w:textAlignment w:val="auto"/>
        <w:rPr>
          <w:rFonts w:hint="eastAsia" w:ascii="Times New Roman" w:hAnsi="Times New Roman" w:cs="方正仿宋_GBK"/>
          <w:color w:val="auto"/>
          <w:kern w:val="2"/>
          <w:szCs w:val="22"/>
        </w:rPr>
      </w:pPr>
      <w:r>
        <w:rPr>
          <w:rFonts w:hint="eastAsia" w:ascii="Times New Roman" w:hAnsi="Times New Roman" w:cs="方正仿宋_GBK"/>
          <w:color w:val="auto"/>
          <w:kern w:val="2"/>
          <w:szCs w:val="22"/>
        </w:rPr>
        <w:t>评价结果每季度定期在“信用中国（重庆）”门户网站公布（更新），各级各部门也可在全市一体化智能化平台上查询调用。</w:t>
      </w:r>
    </w:p>
    <w:p>
      <w:pPr>
        <w:overflowPunct w:val="0"/>
        <w:adjustRightInd/>
        <w:spacing w:afterLines="0" w:line="240" w:lineRule="auto"/>
        <w:ind w:firstLine="0" w:firstLineChars="0"/>
        <w:textAlignment w:val="auto"/>
        <w:rPr>
          <w:rFonts w:hint="default" w:ascii="Times New Roman" w:hAnsi="Times New Roman" w:cs="Times New Roman"/>
          <w:color w:val="auto"/>
          <w:kern w:val="2"/>
          <w:szCs w:val="22"/>
        </w:rPr>
      </w:pPr>
    </w:p>
    <w:p>
      <w:pPr>
        <w:overflowPunct w:val="0"/>
        <w:adjustRightInd/>
        <w:spacing w:afterLines="0" w:line="240" w:lineRule="auto"/>
        <w:ind w:firstLine="0" w:firstLineChars="0"/>
        <w:textAlignment w:val="auto"/>
        <w:rPr>
          <w:rFonts w:hint="default" w:ascii="Times New Roman" w:hAnsi="Times New Roman" w:cs="Times New Roman"/>
          <w:color w:val="auto"/>
          <w:kern w:val="2"/>
          <w:szCs w:val="22"/>
        </w:rPr>
        <w:sectPr>
          <w:footerReference r:id="rId5" w:type="default"/>
          <w:pgSz w:w="11906" w:h="16838"/>
          <w:pgMar w:top="2098" w:right="1531" w:bottom="1984" w:left="1531" w:header="851" w:footer="1417" w:gutter="0"/>
          <w:pgNumType w:fmt="decimal"/>
          <w:cols w:space="0" w:num="1"/>
          <w:rtlGutter w:val="0"/>
          <w:docGrid w:type="linesAndChars" w:linePitch="579" w:charSpace="-849"/>
        </w:sectPr>
      </w:pPr>
    </w:p>
    <w:p>
      <w:pPr>
        <w:overflowPunct w:val="0"/>
        <w:adjustRightInd/>
        <w:spacing w:afterLines="0" w:line="240" w:lineRule="auto"/>
        <w:ind w:firstLine="0" w:firstLineChars="0"/>
        <w:textAlignment w:val="auto"/>
        <w:rPr>
          <w:rFonts w:hint="eastAsia" w:ascii="Times New Roman" w:hAnsi="Times New Roman" w:cs="方正仿宋_GBK"/>
          <w:color w:val="auto"/>
          <w:kern w:val="2"/>
          <w:sz w:val="32"/>
          <w:szCs w:val="32"/>
        </w:rPr>
      </w:pPr>
    </w:p>
    <w:p>
      <w:pPr>
        <w:overflowPunct w:val="0"/>
        <w:adjustRightInd/>
        <w:spacing w:afterLines="0" w:line="580" w:lineRule="exact"/>
        <w:ind w:firstLine="0" w:firstLineChars="0"/>
        <w:jc w:val="center"/>
        <w:textAlignment w:val="auto"/>
        <w:rPr>
          <w:rFonts w:hint="default" w:ascii="Times New Roman" w:hAnsi="Times New Roman" w:eastAsia="方正小标宋_GBK" w:cs="Times New Roman"/>
          <w:color w:val="auto"/>
          <w:kern w:val="2"/>
          <w:sz w:val="44"/>
          <w:szCs w:val="44"/>
        </w:rPr>
      </w:pPr>
      <w:r>
        <w:rPr>
          <w:rFonts w:hint="default" w:ascii="Times New Roman" w:hAnsi="Times New Roman" w:eastAsia="方正小标宋_GBK" w:cs="Times New Roman"/>
          <w:color w:val="auto"/>
          <w:kern w:val="2"/>
          <w:sz w:val="44"/>
          <w:szCs w:val="44"/>
        </w:rPr>
        <w:t>重庆市企业公共信用综合评价指标</w:t>
      </w:r>
    </w:p>
    <w:p>
      <w:pPr>
        <w:overflowPunct w:val="0"/>
        <w:adjustRightInd/>
        <w:spacing w:afterLines="0" w:line="240" w:lineRule="auto"/>
        <w:ind w:firstLine="0" w:firstLineChars="0"/>
        <w:jc w:val="both"/>
        <w:textAlignment w:val="auto"/>
        <w:rPr>
          <w:rFonts w:hint="default" w:ascii="Times New Roman" w:hAnsi="Times New Roman" w:eastAsia="方正小标宋_GBK" w:cs="Times New Roman"/>
          <w:color w:val="auto"/>
          <w:kern w:val="2"/>
          <w:sz w:val="40"/>
          <w:szCs w:val="40"/>
        </w:rPr>
      </w:pPr>
    </w:p>
    <w:tbl>
      <w:tblPr>
        <w:tblStyle w:val="7"/>
        <w:tblW w:w="10146" w:type="dxa"/>
        <w:jc w:val="center"/>
        <w:tblLayout w:type="autofit"/>
        <w:tblCellMar>
          <w:top w:w="0" w:type="dxa"/>
          <w:left w:w="28" w:type="dxa"/>
          <w:bottom w:w="0" w:type="dxa"/>
          <w:right w:w="28" w:type="dxa"/>
        </w:tblCellMar>
      </w:tblPr>
      <w:tblGrid>
        <w:gridCol w:w="1020"/>
        <w:gridCol w:w="624"/>
        <w:gridCol w:w="1077"/>
        <w:gridCol w:w="624"/>
        <w:gridCol w:w="1574"/>
        <w:gridCol w:w="567"/>
        <w:gridCol w:w="3809"/>
        <w:gridCol w:w="851"/>
      </w:tblGrid>
      <w:tr>
        <w:tblPrEx>
          <w:tblCellMar>
            <w:top w:w="0" w:type="dxa"/>
            <w:left w:w="28" w:type="dxa"/>
            <w:bottom w:w="0" w:type="dxa"/>
            <w:right w:w="28" w:type="dxa"/>
          </w:tblCellMar>
        </w:tblPrEx>
        <w:trPr>
          <w:trHeight w:val="567" w:hRule="atLeast"/>
          <w:tblHeader/>
          <w:jc w:val="center"/>
        </w:trPr>
        <w:tc>
          <w:tcPr>
            <w:tcW w:w="1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eastAsia="方正黑体_GBK" w:cs="Times New Roman"/>
                <w:b w:val="0"/>
                <w:bCs w:val="0"/>
                <w:color w:val="000000"/>
                <w:kern w:val="0"/>
                <w:sz w:val="24"/>
                <w:szCs w:val="24"/>
              </w:rPr>
            </w:pPr>
            <w:r>
              <w:rPr>
                <w:rFonts w:hint="default" w:ascii="Times New Roman" w:hAnsi="Times New Roman" w:eastAsia="方正黑体_GBK" w:cs="Times New Roman"/>
                <w:b w:val="0"/>
                <w:bCs w:val="0"/>
                <w:color w:val="000000"/>
                <w:kern w:val="0"/>
                <w:sz w:val="24"/>
                <w:szCs w:val="24"/>
              </w:rPr>
              <w:t>指标维度</w:t>
            </w:r>
          </w:p>
        </w:tc>
        <w:tc>
          <w:tcPr>
            <w:tcW w:w="624" w:type="dxa"/>
            <w:tcBorders>
              <w:top w:val="single" w:color="auto" w:sz="4" w:space="0"/>
              <w:left w:val="nil"/>
              <w:bottom w:val="single" w:color="auto" w:sz="4" w:space="0"/>
              <w:right w:val="single" w:color="auto" w:sz="4" w:space="0"/>
            </w:tcBorders>
            <w:shd w:val="clear" w:color="000000" w:fill="FFFFFF"/>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eastAsia="方正黑体_GBK" w:cs="Times New Roman"/>
                <w:b w:val="0"/>
                <w:bCs w:val="0"/>
                <w:color w:val="000000"/>
                <w:kern w:val="0"/>
                <w:sz w:val="24"/>
                <w:szCs w:val="24"/>
              </w:rPr>
            </w:pPr>
            <w:r>
              <w:rPr>
                <w:rFonts w:hint="default" w:ascii="Times New Roman" w:hAnsi="Times New Roman" w:eastAsia="方正黑体_GBK" w:cs="Times New Roman"/>
                <w:b w:val="0"/>
                <w:bCs w:val="0"/>
                <w:color w:val="000000"/>
                <w:kern w:val="0"/>
                <w:sz w:val="24"/>
                <w:szCs w:val="24"/>
              </w:rPr>
              <w:t>分值</w:t>
            </w:r>
          </w:p>
        </w:tc>
        <w:tc>
          <w:tcPr>
            <w:tcW w:w="1077" w:type="dxa"/>
            <w:tcBorders>
              <w:top w:val="single" w:color="auto" w:sz="4" w:space="0"/>
              <w:left w:val="nil"/>
              <w:bottom w:val="single" w:color="auto" w:sz="4" w:space="0"/>
              <w:right w:val="single" w:color="auto" w:sz="4" w:space="0"/>
            </w:tcBorders>
            <w:shd w:val="clear" w:color="auto" w:fill="auto"/>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eastAsia="方正黑体_GBK" w:cs="Times New Roman"/>
                <w:b w:val="0"/>
                <w:bCs w:val="0"/>
                <w:color w:val="000000"/>
                <w:kern w:val="0"/>
                <w:sz w:val="24"/>
                <w:szCs w:val="24"/>
              </w:rPr>
            </w:pPr>
            <w:r>
              <w:rPr>
                <w:rFonts w:hint="default" w:ascii="Times New Roman" w:hAnsi="Times New Roman" w:eastAsia="方正黑体_GBK" w:cs="Times New Roman"/>
                <w:b w:val="0"/>
                <w:bCs w:val="0"/>
                <w:color w:val="000000"/>
                <w:kern w:val="0"/>
                <w:sz w:val="24"/>
                <w:szCs w:val="24"/>
              </w:rPr>
              <w:t>一级指标</w:t>
            </w:r>
          </w:p>
        </w:tc>
        <w:tc>
          <w:tcPr>
            <w:tcW w:w="624" w:type="dxa"/>
            <w:tcBorders>
              <w:top w:val="single" w:color="auto" w:sz="4" w:space="0"/>
              <w:left w:val="nil"/>
              <w:bottom w:val="single" w:color="auto" w:sz="4" w:space="0"/>
              <w:right w:val="single" w:color="auto" w:sz="4" w:space="0"/>
            </w:tcBorders>
            <w:shd w:val="clear" w:color="000000" w:fill="FFFFFF"/>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eastAsia="方正黑体_GBK" w:cs="Times New Roman"/>
                <w:b w:val="0"/>
                <w:bCs w:val="0"/>
                <w:color w:val="000000"/>
                <w:kern w:val="0"/>
                <w:sz w:val="24"/>
                <w:szCs w:val="24"/>
              </w:rPr>
            </w:pPr>
            <w:r>
              <w:rPr>
                <w:rFonts w:hint="default" w:ascii="Times New Roman" w:hAnsi="Times New Roman" w:eastAsia="方正黑体_GBK" w:cs="Times New Roman"/>
                <w:b w:val="0"/>
                <w:bCs w:val="0"/>
                <w:color w:val="000000"/>
                <w:kern w:val="0"/>
                <w:sz w:val="24"/>
                <w:szCs w:val="24"/>
              </w:rPr>
              <w:t>分值</w:t>
            </w:r>
          </w:p>
        </w:tc>
        <w:tc>
          <w:tcPr>
            <w:tcW w:w="1574" w:type="dxa"/>
            <w:tcBorders>
              <w:top w:val="single" w:color="auto" w:sz="4" w:space="0"/>
              <w:left w:val="nil"/>
              <w:bottom w:val="single" w:color="auto" w:sz="4" w:space="0"/>
              <w:right w:val="single" w:color="auto" w:sz="4" w:space="0"/>
            </w:tcBorders>
            <w:shd w:val="clear" w:color="000000" w:fill="FFFFFF"/>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eastAsia="方正黑体_GBK" w:cs="Times New Roman"/>
                <w:b w:val="0"/>
                <w:bCs w:val="0"/>
                <w:color w:val="000000"/>
                <w:kern w:val="0"/>
                <w:sz w:val="24"/>
                <w:szCs w:val="24"/>
              </w:rPr>
            </w:pPr>
            <w:r>
              <w:rPr>
                <w:rFonts w:hint="default" w:ascii="Times New Roman" w:hAnsi="Times New Roman" w:eastAsia="方正黑体_GBK" w:cs="Times New Roman"/>
                <w:b w:val="0"/>
                <w:bCs w:val="0"/>
                <w:color w:val="000000"/>
                <w:kern w:val="0"/>
                <w:sz w:val="24"/>
                <w:szCs w:val="24"/>
              </w:rPr>
              <w:t>二级指标</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eastAsia="方正黑体_GBK" w:cs="Times New Roman"/>
                <w:b w:val="0"/>
                <w:bCs w:val="0"/>
                <w:color w:val="000000"/>
                <w:kern w:val="0"/>
                <w:sz w:val="24"/>
                <w:szCs w:val="24"/>
              </w:rPr>
            </w:pPr>
            <w:r>
              <w:rPr>
                <w:rFonts w:hint="default" w:ascii="Times New Roman" w:hAnsi="Times New Roman" w:eastAsia="方正黑体_GBK" w:cs="Times New Roman"/>
                <w:b w:val="0"/>
                <w:bCs w:val="0"/>
                <w:color w:val="000000"/>
                <w:kern w:val="0"/>
                <w:sz w:val="24"/>
                <w:szCs w:val="24"/>
              </w:rPr>
              <w:t>分值</w:t>
            </w:r>
          </w:p>
        </w:tc>
        <w:tc>
          <w:tcPr>
            <w:tcW w:w="3809" w:type="dxa"/>
            <w:tcBorders>
              <w:top w:val="single" w:color="auto" w:sz="4" w:space="0"/>
              <w:left w:val="nil"/>
              <w:bottom w:val="single" w:color="auto" w:sz="4" w:space="0"/>
              <w:right w:val="single" w:color="auto" w:sz="4" w:space="0"/>
            </w:tcBorders>
            <w:shd w:val="clear" w:color="auto" w:fill="auto"/>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eastAsia="方正黑体_GBK" w:cs="Times New Roman"/>
                <w:b w:val="0"/>
                <w:bCs w:val="0"/>
                <w:color w:val="000000"/>
                <w:kern w:val="0"/>
                <w:sz w:val="24"/>
                <w:szCs w:val="24"/>
              </w:rPr>
            </w:pPr>
            <w:r>
              <w:rPr>
                <w:rFonts w:hint="default" w:ascii="Times New Roman" w:hAnsi="Times New Roman" w:eastAsia="方正黑体_GBK" w:cs="Times New Roman"/>
                <w:b w:val="0"/>
                <w:bCs w:val="0"/>
                <w:color w:val="000000"/>
                <w:kern w:val="0"/>
                <w:sz w:val="24"/>
                <w:szCs w:val="24"/>
              </w:rPr>
              <w:t>三级指标</w:t>
            </w:r>
          </w:p>
        </w:tc>
        <w:tc>
          <w:tcPr>
            <w:tcW w:w="851" w:type="dxa"/>
            <w:tcBorders>
              <w:top w:val="single" w:color="auto" w:sz="4" w:space="0"/>
              <w:left w:val="nil"/>
              <w:bottom w:val="single" w:color="auto" w:sz="4" w:space="0"/>
              <w:right w:val="single" w:color="auto" w:sz="4" w:space="0"/>
            </w:tcBorders>
            <w:shd w:val="clear" w:color="000000" w:fill="FFFFFF"/>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eastAsia="方正黑体_GBK" w:cs="Times New Roman"/>
                <w:b w:val="0"/>
                <w:bCs w:val="0"/>
                <w:color w:val="000000"/>
                <w:kern w:val="0"/>
                <w:sz w:val="24"/>
                <w:szCs w:val="24"/>
              </w:rPr>
            </w:pPr>
            <w:r>
              <w:rPr>
                <w:rFonts w:hint="default" w:ascii="Times New Roman" w:hAnsi="Times New Roman" w:eastAsia="方正黑体_GBK" w:cs="Times New Roman"/>
                <w:b w:val="0"/>
                <w:bCs w:val="0"/>
                <w:color w:val="000000"/>
                <w:kern w:val="0"/>
                <w:sz w:val="24"/>
                <w:szCs w:val="24"/>
              </w:rPr>
              <w:t>分值</w:t>
            </w:r>
          </w:p>
        </w:tc>
      </w:tr>
      <w:tr>
        <w:tblPrEx>
          <w:tblCellMar>
            <w:top w:w="0" w:type="dxa"/>
            <w:left w:w="28" w:type="dxa"/>
            <w:bottom w:w="0" w:type="dxa"/>
            <w:right w:w="28" w:type="dxa"/>
          </w:tblCellMar>
        </w:tblPrEx>
        <w:trPr>
          <w:trHeight w:val="510" w:hRule="atLeast"/>
          <w:jc w:val="center"/>
        </w:trPr>
        <w:tc>
          <w:tcPr>
            <w:tcW w:w="1020"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遵纪守法</w:t>
            </w:r>
          </w:p>
        </w:tc>
        <w:tc>
          <w:tcPr>
            <w:tcW w:w="624"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333</w:t>
            </w:r>
          </w:p>
        </w:tc>
        <w:tc>
          <w:tcPr>
            <w:tcW w:w="1077"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行政监管信息</w:t>
            </w:r>
          </w:p>
        </w:tc>
        <w:tc>
          <w:tcPr>
            <w:tcW w:w="624"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148</w:t>
            </w:r>
          </w:p>
        </w:tc>
        <w:tc>
          <w:tcPr>
            <w:tcW w:w="1574"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行政处罚信息</w:t>
            </w:r>
          </w:p>
        </w:tc>
        <w:tc>
          <w:tcPr>
            <w:tcW w:w="567"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37</w:t>
            </w:r>
          </w:p>
        </w:tc>
        <w:tc>
          <w:tcPr>
            <w:tcW w:w="3809"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近三年行政处罚次数</w:t>
            </w:r>
          </w:p>
        </w:tc>
        <w:tc>
          <w:tcPr>
            <w:tcW w:w="851"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37</w:t>
            </w:r>
          </w:p>
        </w:tc>
      </w:tr>
      <w:tr>
        <w:tblPrEx>
          <w:tblCellMar>
            <w:top w:w="0" w:type="dxa"/>
            <w:left w:w="28" w:type="dxa"/>
            <w:bottom w:w="0" w:type="dxa"/>
            <w:right w:w="28" w:type="dxa"/>
          </w:tblCellMar>
        </w:tblPrEx>
        <w:trPr>
          <w:jc w:val="center"/>
        </w:trPr>
        <w:tc>
          <w:tcPr>
            <w:tcW w:w="1020"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1077"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157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p>
        </w:tc>
        <w:tc>
          <w:tcPr>
            <w:tcW w:w="567"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3809"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近三年被处以吊销证照、责令停产停业、责令关闭、限制从业等行政处罚信息</w:t>
            </w:r>
          </w:p>
        </w:tc>
        <w:tc>
          <w:tcPr>
            <w:tcW w:w="851"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cs="Times New Roman"/>
                <w:color w:val="000000"/>
                <w:kern w:val="0"/>
                <w:sz w:val="24"/>
                <w:szCs w:val="24"/>
              </w:rPr>
              <w:t>判定为B级</w:t>
            </w:r>
            <w:r>
              <w:rPr>
                <w:rFonts w:hint="eastAsia" w:cs="Times New Roman"/>
                <w:color w:val="000000"/>
                <w:kern w:val="0"/>
                <w:sz w:val="24"/>
                <w:szCs w:val="24"/>
                <w:lang w:val="en-US" w:eastAsia="zh-CN"/>
              </w:rPr>
              <w:t>及以下</w:t>
            </w:r>
          </w:p>
        </w:tc>
      </w:tr>
      <w:tr>
        <w:tblPrEx>
          <w:tblCellMar>
            <w:top w:w="0" w:type="dxa"/>
            <w:left w:w="28" w:type="dxa"/>
            <w:bottom w:w="0" w:type="dxa"/>
            <w:right w:w="28" w:type="dxa"/>
          </w:tblCellMar>
        </w:tblPrEx>
        <w:trPr>
          <w:trHeight w:val="510" w:hRule="atLeast"/>
          <w:jc w:val="center"/>
        </w:trPr>
        <w:tc>
          <w:tcPr>
            <w:tcW w:w="1020"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1077"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1574"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行政强制信息</w:t>
            </w:r>
          </w:p>
        </w:tc>
        <w:tc>
          <w:tcPr>
            <w:tcW w:w="567"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37</w:t>
            </w:r>
          </w:p>
        </w:tc>
        <w:tc>
          <w:tcPr>
            <w:tcW w:w="3809"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近三年强制执行次数</w:t>
            </w:r>
          </w:p>
        </w:tc>
        <w:tc>
          <w:tcPr>
            <w:tcW w:w="851"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37</w:t>
            </w:r>
          </w:p>
        </w:tc>
      </w:tr>
      <w:tr>
        <w:tblPrEx>
          <w:tblCellMar>
            <w:top w:w="0" w:type="dxa"/>
            <w:left w:w="28" w:type="dxa"/>
            <w:bottom w:w="0" w:type="dxa"/>
            <w:right w:w="28" w:type="dxa"/>
          </w:tblCellMar>
        </w:tblPrEx>
        <w:trPr>
          <w:trHeight w:val="737" w:hRule="atLeast"/>
          <w:jc w:val="center"/>
        </w:trPr>
        <w:tc>
          <w:tcPr>
            <w:tcW w:w="1020"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1077"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1574"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行政事项承诺信息</w:t>
            </w:r>
          </w:p>
        </w:tc>
        <w:tc>
          <w:tcPr>
            <w:tcW w:w="567"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37</w:t>
            </w:r>
          </w:p>
        </w:tc>
        <w:tc>
          <w:tcPr>
            <w:tcW w:w="3809"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近三年在行政事项办理过程中作出信用承诺但未履行的次数</w:t>
            </w:r>
          </w:p>
        </w:tc>
        <w:tc>
          <w:tcPr>
            <w:tcW w:w="851"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37</w:t>
            </w:r>
          </w:p>
        </w:tc>
      </w:tr>
      <w:tr>
        <w:tblPrEx>
          <w:tblCellMar>
            <w:top w:w="0" w:type="dxa"/>
            <w:left w:w="28" w:type="dxa"/>
            <w:bottom w:w="0" w:type="dxa"/>
            <w:right w:w="28" w:type="dxa"/>
          </w:tblCellMar>
        </w:tblPrEx>
        <w:trPr>
          <w:jc w:val="center"/>
        </w:trPr>
        <w:tc>
          <w:tcPr>
            <w:tcW w:w="1020"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1077"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1574"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经部门认定的其他行政管理不良信息</w:t>
            </w:r>
          </w:p>
        </w:tc>
        <w:tc>
          <w:tcPr>
            <w:tcW w:w="567"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37</w:t>
            </w:r>
          </w:p>
        </w:tc>
        <w:tc>
          <w:tcPr>
            <w:tcW w:w="3809"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不构成行政处罚，但经部门认定的其他不良行为信息次数</w:t>
            </w:r>
          </w:p>
        </w:tc>
        <w:tc>
          <w:tcPr>
            <w:tcW w:w="851"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37</w:t>
            </w:r>
          </w:p>
        </w:tc>
      </w:tr>
      <w:tr>
        <w:tblPrEx>
          <w:tblCellMar>
            <w:top w:w="0" w:type="dxa"/>
            <w:left w:w="28" w:type="dxa"/>
            <w:bottom w:w="0" w:type="dxa"/>
            <w:right w:w="28" w:type="dxa"/>
          </w:tblCellMar>
        </w:tblPrEx>
        <w:trPr>
          <w:jc w:val="center"/>
        </w:trPr>
        <w:tc>
          <w:tcPr>
            <w:tcW w:w="1020"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1077"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司法信息</w:t>
            </w:r>
          </w:p>
        </w:tc>
        <w:tc>
          <w:tcPr>
            <w:tcW w:w="624"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148</w:t>
            </w:r>
          </w:p>
        </w:tc>
        <w:tc>
          <w:tcPr>
            <w:tcW w:w="1574"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其他未履行生效裁判信息</w:t>
            </w:r>
          </w:p>
        </w:tc>
        <w:tc>
          <w:tcPr>
            <w:tcW w:w="567"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37</w:t>
            </w:r>
          </w:p>
        </w:tc>
        <w:tc>
          <w:tcPr>
            <w:tcW w:w="3809"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近三年除失信被执行人，单位未履行生效裁判的信息</w:t>
            </w:r>
          </w:p>
        </w:tc>
        <w:tc>
          <w:tcPr>
            <w:tcW w:w="851"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37</w:t>
            </w:r>
          </w:p>
        </w:tc>
      </w:tr>
      <w:tr>
        <w:tblPrEx>
          <w:tblCellMar>
            <w:top w:w="0" w:type="dxa"/>
            <w:left w:w="28" w:type="dxa"/>
            <w:bottom w:w="0" w:type="dxa"/>
            <w:right w:w="28" w:type="dxa"/>
          </w:tblCellMar>
        </w:tblPrEx>
        <w:trPr>
          <w:jc w:val="center"/>
        </w:trPr>
        <w:tc>
          <w:tcPr>
            <w:tcW w:w="1020"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1077"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1574"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其他刑事犯罪信息</w:t>
            </w:r>
          </w:p>
        </w:tc>
        <w:tc>
          <w:tcPr>
            <w:tcW w:w="567"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37</w:t>
            </w:r>
          </w:p>
        </w:tc>
        <w:tc>
          <w:tcPr>
            <w:tcW w:w="3809"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近三年违反刑法规定构成犯罪的信息</w:t>
            </w:r>
          </w:p>
        </w:tc>
        <w:tc>
          <w:tcPr>
            <w:tcW w:w="851"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37</w:t>
            </w:r>
          </w:p>
        </w:tc>
      </w:tr>
      <w:tr>
        <w:tblPrEx>
          <w:tblCellMar>
            <w:top w:w="0" w:type="dxa"/>
            <w:left w:w="28" w:type="dxa"/>
            <w:bottom w:w="0" w:type="dxa"/>
            <w:right w:w="28" w:type="dxa"/>
          </w:tblCellMar>
        </w:tblPrEx>
        <w:trPr>
          <w:trHeight w:val="454" w:hRule="atLeast"/>
          <w:jc w:val="center"/>
        </w:trPr>
        <w:tc>
          <w:tcPr>
            <w:tcW w:w="1020"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1077"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1574"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列入被执行人信息</w:t>
            </w:r>
          </w:p>
        </w:tc>
        <w:tc>
          <w:tcPr>
            <w:tcW w:w="567"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74</w:t>
            </w:r>
          </w:p>
        </w:tc>
        <w:tc>
          <w:tcPr>
            <w:tcW w:w="3809"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当前是否列入被执行人</w:t>
            </w:r>
          </w:p>
        </w:tc>
        <w:tc>
          <w:tcPr>
            <w:tcW w:w="851"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37</w:t>
            </w:r>
          </w:p>
        </w:tc>
      </w:tr>
      <w:tr>
        <w:tblPrEx>
          <w:tblCellMar>
            <w:top w:w="0" w:type="dxa"/>
            <w:left w:w="28" w:type="dxa"/>
            <w:bottom w:w="0" w:type="dxa"/>
            <w:right w:w="28" w:type="dxa"/>
          </w:tblCellMar>
        </w:tblPrEx>
        <w:trPr>
          <w:jc w:val="center"/>
        </w:trPr>
        <w:tc>
          <w:tcPr>
            <w:tcW w:w="1020"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1077"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157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p>
        </w:tc>
        <w:tc>
          <w:tcPr>
            <w:tcW w:w="567"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3809"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近三年被列入被执行人记录，当前已移除</w:t>
            </w:r>
          </w:p>
        </w:tc>
        <w:tc>
          <w:tcPr>
            <w:tcW w:w="851"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37</w:t>
            </w:r>
          </w:p>
        </w:tc>
      </w:tr>
      <w:tr>
        <w:tblPrEx>
          <w:tblCellMar>
            <w:top w:w="0" w:type="dxa"/>
            <w:left w:w="28" w:type="dxa"/>
            <w:bottom w:w="0" w:type="dxa"/>
            <w:right w:w="28" w:type="dxa"/>
          </w:tblCellMar>
        </w:tblPrEx>
        <w:trPr>
          <w:trHeight w:val="680" w:hRule="atLeast"/>
          <w:jc w:val="center"/>
        </w:trPr>
        <w:tc>
          <w:tcPr>
            <w:tcW w:w="1020"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1077"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严重失信主体名单信息</w:t>
            </w:r>
          </w:p>
        </w:tc>
        <w:tc>
          <w:tcPr>
            <w:tcW w:w="624"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37</w:t>
            </w:r>
          </w:p>
        </w:tc>
        <w:tc>
          <w:tcPr>
            <w:tcW w:w="1574"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严重失信主体名单信息</w:t>
            </w:r>
          </w:p>
        </w:tc>
        <w:tc>
          <w:tcPr>
            <w:tcW w:w="567"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37</w:t>
            </w:r>
          </w:p>
        </w:tc>
        <w:tc>
          <w:tcPr>
            <w:tcW w:w="3809"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当前是否被列入严重失信主体名单（含失信被执行人等9类）</w:t>
            </w:r>
          </w:p>
        </w:tc>
        <w:tc>
          <w:tcPr>
            <w:tcW w:w="851"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判定为D级</w:t>
            </w:r>
          </w:p>
        </w:tc>
      </w:tr>
      <w:tr>
        <w:tblPrEx>
          <w:tblCellMar>
            <w:top w:w="0" w:type="dxa"/>
            <w:left w:w="28" w:type="dxa"/>
            <w:bottom w:w="0" w:type="dxa"/>
            <w:right w:w="28" w:type="dxa"/>
          </w:tblCellMar>
        </w:tblPrEx>
        <w:trPr>
          <w:trHeight w:val="680" w:hRule="atLeast"/>
          <w:jc w:val="center"/>
        </w:trPr>
        <w:tc>
          <w:tcPr>
            <w:tcW w:w="1020"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1077"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157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p>
        </w:tc>
        <w:tc>
          <w:tcPr>
            <w:tcW w:w="567"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3809"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近三年被列入严重失信主体名单记录，当前已移除</w:t>
            </w:r>
          </w:p>
        </w:tc>
        <w:tc>
          <w:tcPr>
            <w:tcW w:w="851"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37</w:t>
            </w:r>
          </w:p>
        </w:tc>
      </w:tr>
      <w:tr>
        <w:tblPrEx>
          <w:tblCellMar>
            <w:top w:w="0" w:type="dxa"/>
            <w:left w:w="28" w:type="dxa"/>
            <w:bottom w:w="0" w:type="dxa"/>
            <w:right w:w="28" w:type="dxa"/>
          </w:tblCellMar>
        </w:tblPrEx>
        <w:trPr>
          <w:jc w:val="center"/>
        </w:trPr>
        <w:tc>
          <w:tcPr>
            <w:tcW w:w="1020"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生产经营</w:t>
            </w:r>
          </w:p>
        </w:tc>
        <w:tc>
          <w:tcPr>
            <w:tcW w:w="624"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185</w:t>
            </w:r>
          </w:p>
        </w:tc>
        <w:tc>
          <w:tcPr>
            <w:tcW w:w="1077"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产品质量信息</w:t>
            </w:r>
          </w:p>
        </w:tc>
        <w:tc>
          <w:tcPr>
            <w:tcW w:w="624"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37</w:t>
            </w:r>
          </w:p>
        </w:tc>
        <w:tc>
          <w:tcPr>
            <w:tcW w:w="1574"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监督抽查信息</w:t>
            </w:r>
          </w:p>
        </w:tc>
        <w:tc>
          <w:tcPr>
            <w:tcW w:w="567"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37</w:t>
            </w:r>
          </w:p>
        </w:tc>
        <w:tc>
          <w:tcPr>
            <w:tcW w:w="3809"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近三年产品质量抽查发现问题次数</w:t>
            </w:r>
          </w:p>
        </w:tc>
        <w:tc>
          <w:tcPr>
            <w:tcW w:w="851"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37</w:t>
            </w:r>
          </w:p>
        </w:tc>
      </w:tr>
      <w:tr>
        <w:tblPrEx>
          <w:tblCellMar>
            <w:top w:w="0" w:type="dxa"/>
            <w:left w:w="28" w:type="dxa"/>
            <w:bottom w:w="0" w:type="dxa"/>
            <w:right w:w="28" w:type="dxa"/>
          </w:tblCellMar>
        </w:tblPrEx>
        <w:trPr>
          <w:trHeight w:val="680" w:hRule="atLeast"/>
          <w:jc w:val="center"/>
        </w:trPr>
        <w:tc>
          <w:tcPr>
            <w:tcW w:w="1020"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1077"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安全生产信息</w:t>
            </w:r>
          </w:p>
        </w:tc>
        <w:tc>
          <w:tcPr>
            <w:tcW w:w="624"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74</w:t>
            </w:r>
          </w:p>
        </w:tc>
        <w:tc>
          <w:tcPr>
            <w:tcW w:w="1574"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安全生产事故和隐患信息</w:t>
            </w:r>
          </w:p>
        </w:tc>
        <w:tc>
          <w:tcPr>
            <w:tcW w:w="567"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37</w:t>
            </w:r>
          </w:p>
        </w:tc>
        <w:tc>
          <w:tcPr>
            <w:tcW w:w="3809"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近三年安全生产抽查发现问题次数</w:t>
            </w:r>
          </w:p>
        </w:tc>
        <w:tc>
          <w:tcPr>
            <w:tcW w:w="851"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37</w:t>
            </w:r>
          </w:p>
        </w:tc>
      </w:tr>
      <w:tr>
        <w:tblPrEx>
          <w:tblCellMar>
            <w:top w:w="0" w:type="dxa"/>
            <w:left w:w="28" w:type="dxa"/>
            <w:bottom w:w="0" w:type="dxa"/>
            <w:right w:w="28" w:type="dxa"/>
          </w:tblCellMar>
        </w:tblPrEx>
        <w:trPr>
          <w:trHeight w:val="454" w:hRule="atLeast"/>
          <w:jc w:val="center"/>
        </w:trPr>
        <w:tc>
          <w:tcPr>
            <w:tcW w:w="1020"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1077"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1574"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消防安全信息</w:t>
            </w:r>
          </w:p>
        </w:tc>
        <w:tc>
          <w:tcPr>
            <w:tcW w:w="567"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37</w:t>
            </w:r>
          </w:p>
        </w:tc>
        <w:tc>
          <w:tcPr>
            <w:tcW w:w="3809"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近三年火灾事故和隐患次数</w:t>
            </w:r>
          </w:p>
        </w:tc>
        <w:tc>
          <w:tcPr>
            <w:tcW w:w="851"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37</w:t>
            </w:r>
          </w:p>
        </w:tc>
      </w:tr>
      <w:tr>
        <w:tblPrEx>
          <w:tblCellMar>
            <w:top w:w="0" w:type="dxa"/>
            <w:left w:w="28" w:type="dxa"/>
            <w:bottom w:w="0" w:type="dxa"/>
            <w:right w:w="28" w:type="dxa"/>
          </w:tblCellMar>
        </w:tblPrEx>
        <w:trPr>
          <w:trHeight w:val="510" w:hRule="atLeast"/>
          <w:jc w:val="center"/>
        </w:trPr>
        <w:tc>
          <w:tcPr>
            <w:tcW w:w="1020"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1077"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经营信息</w:t>
            </w:r>
          </w:p>
        </w:tc>
        <w:tc>
          <w:tcPr>
            <w:tcW w:w="624"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74</w:t>
            </w:r>
          </w:p>
        </w:tc>
        <w:tc>
          <w:tcPr>
            <w:tcW w:w="1574"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经营异常信息</w:t>
            </w:r>
          </w:p>
        </w:tc>
        <w:tc>
          <w:tcPr>
            <w:tcW w:w="567"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74</w:t>
            </w:r>
          </w:p>
        </w:tc>
        <w:tc>
          <w:tcPr>
            <w:tcW w:w="3809"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当前是否被列入经营异常名录</w:t>
            </w:r>
          </w:p>
        </w:tc>
        <w:tc>
          <w:tcPr>
            <w:tcW w:w="851"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37</w:t>
            </w:r>
          </w:p>
        </w:tc>
      </w:tr>
      <w:tr>
        <w:tblPrEx>
          <w:tblCellMar>
            <w:top w:w="0" w:type="dxa"/>
            <w:left w:w="28" w:type="dxa"/>
            <w:bottom w:w="0" w:type="dxa"/>
            <w:right w:w="28" w:type="dxa"/>
          </w:tblCellMar>
        </w:tblPrEx>
        <w:trPr>
          <w:trHeight w:val="624" w:hRule="atLeast"/>
          <w:jc w:val="center"/>
        </w:trPr>
        <w:tc>
          <w:tcPr>
            <w:tcW w:w="1020"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1077"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157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p>
        </w:tc>
        <w:tc>
          <w:tcPr>
            <w:tcW w:w="567"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3809"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近三年被列入经营异常名录记录，当前已移除</w:t>
            </w:r>
          </w:p>
        </w:tc>
        <w:tc>
          <w:tcPr>
            <w:tcW w:w="851"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37</w:t>
            </w:r>
          </w:p>
        </w:tc>
      </w:tr>
      <w:tr>
        <w:tblPrEx>
          <w:tblCellMar>
            <w:top w:w="0" w:type="dxa"/>
            <w:left w:w="28" w:type="dxa"/>
            <w:bottom w:w="0" w:type="dxa"/>
            <w:right w:w="28" w:type="dxa"/>
          </w:tblCellMar>
        </w:tblPrEx>
        <w:trPr>
          <w:trHeight w:val="454" w:hRule="atLeast"/>
          <w:jc w:val="center"/>
        </w:trPr>
        <w:tc>
          <w:tcPr>
            <w:tcW w:w="1020"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社会责任</w:t>
            </w:r>
          </w:p>
        </w:tc>
        <w:tc>
          <w:tcPr>
            <w:tcW w:w="624"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148</w:t>
            </w:r>
          </w:p>
        </w:tc>
        <w:tc>
          <w:tcPr>
            <w:tcW w:w="1077"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纳税信息</w:t>
            </w:r>
          </w:p>
        </w:tc>
        <w:tc>
          <w:tcPr>
            <w:tcW w:w="624"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74</w:t>
            </w:r>
          </w:p>
        </w:tc>
        <w:tc>
          <w:tcPr>
            <w:tcW w:w="1574"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税收缴纳信息</w:t>
            </w:r>
          </w:p>
        </w:tc>
        <w:tc>
          <w:tcPr>
            <w:tcW w:w="567"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74</w:t>
            </w:r>
          </w:p>
        </w:tc>
        <w:tc>
          <w:tcPr>
            <w:tcW w:w="3809"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是否欠税</w:t>
            </w:r>
          </w:p>
        </w:tc>
        <w:tc>
          <w:tcPr>
            <w:tcW w:w="851"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37</w:t>
            </w:r>
          </w:p>
        </w:tc>
      </w:tr>
      <w:tr>
        <w:tblPrEx>
          <w:tblCellMar>
            <w:top w:w="0" w:type="dxa"/>
            <w:left w:w="28" w:type="dxa"/>
            <w:bottom w:w="0" w:type="dxa"/>
            <w:right w:w="28" w:type="dxa"/>
          </w:tblCellMar>
        </w:tblPrEx>
        <w:trPr>
          <w:trHeight w:val="454" w:hRule="atLeast"/>
          <w:jc w:val="center"/>
        </w:trPr>
        <w:tc>
          <w:tcPr>
            <w:tcW w:w="1020"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1077"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157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p>
        </w:tc>
        <w:tc>
          <w:tcPr>
            <w:tcW w:w="567"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3809"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是否非正常户</w:t>
            </w:r>
          </w:p>
        </w:tc>
        <w:tc>
          <w:tcPr>
            <w:tcW w:w="851"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37</w:t>
            </w:r>
          </w:p>
        </w:tc>
      </w:tr>
      <w:tr>
        <w:tblPrEx>
          <w:tblCellMar>
            <w:top w:w="0" w:type="dxa"/>
            <w:left w:w="28" w:type="dxa"/>
            <w:bottom w:w="0" w:type="dxa"/>
            <w:right w:w="28" w:type="dxa"/>
          </w:tblCellMar>
        </w:tblPrEx>
        <w:trPr>
          <w:trHeight w:val="312" w:hRule="atLeast"/>
          <w:jc w:val="center"/>
        </w:trPr>
        <w:tc>
          <w:tcPr>
            <w:tcW w:w="1020"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1077"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社保信息</w:t>
            </w:r>
          </w:p>
        </w:tc>
        <w:tc>
          <w:tcPr>
            <w:tcW w:w="624"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74</w:t>
            </w:r>
          </w:p>
        </w:tc>
        <w:tc>
          <w:tcPr>
            <w:tcW w:w="1574"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社保缴纳信息</w:t>
            </w:r>
          </w:p>
        </w:tc>
        <w:tc>
          <w:tcPr>
            <w:tcW w:w="567"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74</w:t>
            </w:r>
          </w:p>
        </w:tc>
        <w:tc>
          <w:tcPr>
            <w:tcW w:w="3809"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是否欠缴社保</w:t>
            </w:r>
          </w:p>
        </w:tc>
        <w:tc>
          <w:tcPr>
            <w:tcW w:w="851"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37</w:t>
            </w:r>
          </w:p>
        </w:tc>
      </w:tr>
      <w:tr>
        <w:tblPrEx>
          <w:tblCellMar>
            <w:top w:w="0" w:type="dxa"/>
            <w:left w:w="28" w:type="dxa"/>
            <w:bottom w:w="0" w:type="dxa"/>
            <w:right w:w="28" w:type="dxa"/>
          </w:tblCellMar>
        </w:tblPrEx>
        <w:trPr>
          <w:trHeight w:val="312" w:hRule="atLeast"/>
          <w:jc w:val="center"/>
        </w:trPr>
        <w:tc>
          <w:tcPr>
            <w:tcW w:w="1020"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1077"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157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p>
        </w:tc>
        <w:tc>
          <w:tcPr>
            <w:tcW w:w="567"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3809"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r>
      <w:tr>
        <w:tblPrEx>
          <w:tblCellMar>
            <w:top w:w="0" w:type="dxa"/>
            <w:left w:w="28" w:type="dxa"/>
            <w:bottom w:w="0" w:type="dxa"/>
            <w:right w:w="28" w:type="dxa"/>
          </w:tblCellMar>
        </w:tblPrEx>
        <w:trPr>
          <w:trHeight w:val="312" w:hRule="atLeast"/>
          <w:jc w:val="center"/>
        </w:trPr>
        <w:tc>
          <w:tcPr>
            <w:tcW w:w="1020"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1077"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157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p>
        </w:tc>
        <w:tc>
          <w:tcPr>
            <w:tcW w:w="567"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3809"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是否缴纳社保</w:t>
            </w:r>
          </w:p>
        </w:tc>
        <w:tc>
          <w:tcPr>
            <w:tcW w:w="851"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37</w:t>
            </w:r>
          </w:p>
        </w:tc>
      </w:tr>
      <w:tr>
        <w:tblPrEx>
          <w:tblCellMar>
            <w:top w:w="0" w:type="dxa"/>
            <w:left w:w="28" w:type="dxa"/>
            <w:bottom w:w="0" w:type="dxa"/>
            <w:right w:w="28" w:type="dxa"/>
          </w:tblCellMar>
        </w:tblPrEx>
        <w:trPr>
          <w:trHeight w:val="312" w:hRule="atLeast"/>
          <w:jc w:val="center"/>
        </w:trPr>
        <w:tc>
          <w:tcPr>
            <w:tcW w:w="1020"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1077"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157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p>
        </w:tc>
        <w:tc>
          <w:tcPr>
            <w:tcW w:w="567"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3809"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r>
      <w:tr>
        <w:tblPrEx>
          <w:tblCellMar>
            <w:top w:w="0" w:type="dxa"/>
            <w:left w:w="28" w:type="dxa"/>
            <w:bottom w:w="0" w:type="dxa"/>
            <w:right w:w="28" w:type="dxa"/>
          </w:tblCellMar>
        </w:tblPrEx>
        <w:trPr>
          <w:trHeight w:val="794" w:hRule="atLeast"/>
          <w:jc w:val="center"/>
        </w:trPr>
        <w:tc>
          <w:tcPr>
            <w:tcW w:w="1020"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关联人员</w:t>
            </w:r>
          </w:p>
        </w:tc>
        <w:tc>
          <w:tcPr>
            <w:tcW w:w="624"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184</w:t>
            </w:r>
          </w:p>
        </w:tc>
        <w:tc>
          <w:tcPr>
            <w:tcW w:w="1077"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主要人员信息</w:t>
            </w:r>
          </w:p>
        </w:tc>
        <w:tc>
          <w:tcPr>
            <w:tcW w:w="624"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184</w:t>
            </w:r>
          </w:p>
        </w:tc>
        <w:tc>
          <w:tcPr>
            <w:tcW w:w="1574"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主要人员被执行人信息</w:t>
            </w:r>
          </w:p>
        </w:tc>
        <w:tc>
          <w:tcPr>
            <w:tcW w:w="567"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74</w:t>
            </w:r>
          </w:p>
        </w:tc>
        <w:tc>
          <w:tcPr>
            <w:tcW w:w="3809"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当前法定代表人、董监高、实际控制人等主要人员列入被执行人信息</w:t>
            </w:r>
          </w:p>
        </w:tc>
        <w:tc>
          <w:tcPr>
            <w:tcW w:w="851"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37</w:t>
            </w:r>
          </w:p>
        </w:tc>
      </w:tr>
      <w:tr>
        <w:tblPrEx>
          <w:tblCellMar>
            <w:top w:w="0" w:type="dxa"/>
            <w:left w:w="28" w:type="dxa"/>
            <w:bottom w:w="0" w:type="dxa"/>
            <w:right w:w="28" w:type="dxa"/>
          </w:tblCellMar>
        </w:tblPrEx>
        <w:trPr>
          <w:trHeight w:val="1020" w:hRule="atLeast"/>
          <w:jc w:val="center"/>
        </w:trPr>
        <w:tc>
          <w:tcPr>
            <w:tcW w:w="1020"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1077"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157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p>
        </w:tc>
        <w:tc>
          <w:tcPr>
            <w:tcW w:w="567"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3809"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近三年法定代表人、董监高、实际控制人等主要人员列入被执行人记录，当前已移除</w:t>
            </w:r>
          </w:p>
        </w:tc>
        <w:tc>
          <w:tcPr>
            <w:tcW w:w="851"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37</w:t>
            </w:r>
          </w:p>
        </w:tc>
      </w:tr>
      <w:tr>
        <w:tblPrEx>
          <w:tblCellMar>
            <w:top w:w="0" w:type="dxa"/>
            <w:left w:w="28" w:type="dxa"/>
            <w:bottom w:w="0" w:type="dxa"/>
            <w:right w:w="28" w:type="dxa"/>
          </w:tblCellMar>
        </w:tblPrEx>
        <w:trPr>
          <w:trHeight w:val="794" w:hRule="atLeast"/>
          <w:jc w:val="center"/>
        </w:trPr>
        <w:tc>
          <w:tcPr>
            <w:tcW w:w="1020"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1077"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1574"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主要人员严重失信信息</w:t>
            </w:r>
          </w:p>
        </w:tc>
        <w:tc>
          <w:tcPr>
            <w:tcW w:w="567"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74</w:t>
            </w:r>
          </w:p>
        </w:tc>
        <w:tc>
          <w:tcPr>
            <w:tcW w:w="3809"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当前法定代表人、董监高、实际控制人等主要人员被列入严重失信名单</w:t>
            </w:r>
          </w:p>
        </w:tc>
        <w:tc>
          <w:tcPr>
            <w:tcW w:w="851"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37</w:t>
            </w:r>
          </w:p>
        </w:tc>
      </w:tr>
      <w:tr>
        <w:tblPrEx>
          <w:tblCellMar>
            <w:top w:w="0" w:type="dxa"/>
            <w:left w:w="28" w:type="dxa"/>
            <w:bottom w:w="0" w:type="dxa"/>
            <w:right w:w="28" w:type="dxa"/>
          </w:tblCellMar>
        </w:tblPrEx>
        <w:trPr>
          <w:trHeight w:val="1020" w:hRule="atLeast"/>
          <w:jc w:val="center"/>
        </w:trPr>
        <w:tc>
          <w:tcPr>
            <w:tcW w:w="1020"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1077"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157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p>
        </w:tc>
        <w:tc>
          <w:tcPr>
            <w:tcW w:w="567"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3809"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近三年法定代表人、董监高、实际控制人等主要人员被列入严重失信名单记录，当前已移除</w:t>
            </w:r>
          </w:p>
        </w:tc>
        <w:tc>
          <w:tcPr>
            <w:tcW w:w="851"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37</w:t>
            </w:r>
          </w:p>
        </w:tc>
      </w:tr>
      <w:tr>
        <w:tblPrEx>
          <w:tblCellMar>
            <w:top w:w="0" w:type="dxa"/>
            <w:left w:w="28" w:type="dxa"/>
            <w:bottom w:w="0" w:type="dxa"/>
            <w:right w:w="28" w:type="dxa"/>
          </w:tblCellMar>
        </w:tblPrEx>
        <w:trPr>
          <w:jc w:val="center"/>
        </w:trPr>
        <w:tc>
          <w:tcPr>
            <w:tcW w:w="1020"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1077"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1574"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主要人员未履行生效裁判信息</w:t>
            </w:r>
          </w:p>
        </w:tc>
        <w:tc>
          <w:tcPr>
            <w:tcW w:w="567"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36</w:t>
            </w:r>
          </w:p>
        </w:tc>
        <w:tc>
          <w:tcPr>
            <w:tcW w:w="3809"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近三年法定代表人、董监高、实际控制人等主要人员未履行生效裁判信息</w:t>
            </w:r>
          </w:p>
        </w:tc>
        <w:tc>
          <w:tcPr>
            <w:tcW w:w="851"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36</w:t>
            </w:r>
          </w:p>
        </w:tc>
      </w:tr>
      <w:tr>
        <w:tblPrEx>
          <w:tblCellMar>
            <w:top w:w="0" w:type="dxa"/>
            <w:left w:w="28" w:type="dxa"/>
            <w:bottom w:w="0" w:type="dxa"/>
            <w:right w:w="28" w:type="dxa"/>
          </w:tblCellMar>
        </w:tblPrEx>
        <w:trPr>
          <w:trHeight w:val="510" w:hRule="atLeast"/>
          <w:jc w:val="center"/>
        </w:trPr>
        <w:tc>
          <w:tcPr>
            <w:tcW w:w="1020"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守信激励</w:t>
            </w:r>
          </w:p>
        </w:tc>
        <w:tc>
          <w:tcPr>
            <w:tcW w:w="624"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150</w:t>
            </w:r>
          </w:p>
        </w:tc>
        <w:tc>
          <w:tcPr>
            <w:tcW w:w="1077"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守信激励信息</w:t>
            </w:r>
          </w:p>
        </w:tc>
        <w:tc>
          <w:tcPr>
            <w:tcW w:w="624" w:type="dxa"/>
            <w:vMerge w:val="restart"/>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150</w:t>
            </w:r>
          </w:p>
        </w:tc>
        <w:tc>
          <w:tcPr>
            <w:tcW w:w="1574"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红名单信息</w:t>
            </w:r>
          </w:p>
        </w:tc>
        <w:tc>
          <w:tcPr>
            <w:tcW w:w="567"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75</w:t>
            </w:r>
          </w:p>
        </w:tc>
        <w:tc>
          <w:tcPr>
            <w:tcW w:w="3809"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近三年是否被列入红名单</w:t>
            </w:r>
          </w:p>
        </w:tc>
        <w:tc>
          <w:tcPr>
            <w:tcW w:w="851"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75</w:t>
            </w:r>
          </w:p>
        </w:tc>
      </w:tr>
      <w:tr>
        <w:tblPrEx>
          <w:tblCellMar>
            <w:top w:w="0" w:type="dxa"/>
            <w:left w:w="28" w:type="dxa"/>
            <w:bottom w:w="0" w:type="dxa"/>
            <w:right w:w="28" w:type="dxa"/>
          </w:tblCellMar>
        </w:tblPrEx>
        <w:trPr>
          <w:trHeight w:val="737" w:hRule="atLeast"/>
          <w:jc w:val="center"/>
        </w:trPr>
        <w:tc>
          <w:tcPr>
            <w:tcW w:w="1020"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1077"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624" w:type="dxa"/>
            <w:vMerge w:val="continue"/>
            <w:tcBorders>
              <w:top w:val="nil"/>
              <w:left w:val="single" w:color="auto" w:sz="4" w:space="0"/>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p>
        </w:tc>
        <w:tc>
          <w:tcPr>
            <w:tcW w:w="1574"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荣誉奖励信息</w:t>
            </w:r>
          </w:p>
        </w:tc>
        <w:tc>
          <w:tcPr>
            <w:tcW w:w="567"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75</w:t>
            </w:r>
          </w:p>
        </w:tc>
        <w:tc>
          <w:tcPr>
            <w:tcW w:w="3809"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近三年是否获县级及以上人民政府或政府部门颁发的荣誉奖励</w:t>
            </w:r>
          </w:p>
        </w:tc>
        <w:tc>
          <w:tcPr>
            <w:tcW w:w="851" w:type="dxa"/>
            <w:tcBorders>
              <w:top w:val="nil"/>
              <w:left w:val="nil"/>
              <w:bottom w:val="single" w:color="auto" w:sz="4" w:space="0"/>
              <w:right w:val="single" w:color="auto" w:sz="4" w:space="0"/>
            </w:tcBorders>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75</w:t>
            </w:r>
          </w:p>
        </w:tc>
      </w:tr>
    </w:tbl>
    <w:p>
      <w:pPr>
        <w:overflowPunct w:val="0"/>
        <w:adjustRightInd/>
        <w:spacing w:afterLines="0" w:line="240" w:lineRule="auto"/>
        <w:ind w:firstLine="0" w:firstLineChars="0"/>
        <w:jc w:val="both"/>
        <w:textAlignment w:val="auto"/>
        <w:rPr>
          <w:rFonts w:hint="eastAsia" w:eastAsia="方正小标宋_GBK" w:cs="Times New Roman"/>
          <w:color w:val="auto"/>
          <w:kern w:val="2"/>
          <w:szCs w:val="22"/>
          <w:lang w:val="en-US" w:eastAsia="zh-CN"/>
        </w:rPr>
        <w:sectPr>
          <w:pgSz w:w="11906" w:h="16838"/>
          <w:pgMar w:top="2098" w:right="1531" w:bottom="1984" w:left="1531" w:header="851" w:footer="1417" w:gutter="0"/>
          <w:pgNumType w:fmt="decimal"/>
          <w:cols w:space="0" w:num="1"/>
          <w:rtlGutter w:val="0"/>
          <w:docGrid w:type="linesAndChars" w:linePitch="579" w:charSpace="-849"/>
        </w:sectPr>
      </w:pPr>
      <w:r>
        <w:rPr>
          <w:rFonts w:hint="eastAsia" w:eastAsia="方正小标宋_GBK" w:cs="Times New Roman"/>
          <w:color w:val="auto"/>
          <w:kern w:val="2"/>
          <w:szCs w:val="22"/>
          <w:lang w:val="en-US" w:eastAsia="zh-CN"/>
        </w:rPr>
        <w:t xml:space="preserve"> </w:t>
      </w:r>
    </w:p>
    <w:p>
      <w:pPr>
        <w:overflowPunct w:val="0"/>
        <w:adjustRightInd/>
        <w:spacing w:afterLines="0" w:line="240" w:lineRule="auto"/>
        <w:ind w:firstLine="0" w:firstLineChars="0"/>
        <w:jc w:val="both"/>
        <w:textAlignment w:val="auto"/>
        <w:rPr>
          <w:rFonts w:hint="eastAsia" w:eastAsia="方正小标宋_GBK" w:cs="Times New Roman"/>
          <w:color w:val="auto"/>
          <w:kern w:val="2"/>
          <w:szCs w:val="22"/>
          <w:lang w:val="en-US" w:eastAsia="zh-CN"/>
        </w:rPr>
      </w:pPr>
    </w:p>
    <w:p>
      <w:pPr>
        <w:suppressAutoHyphens/>
        <w:overflowPunct w:val="0"/>
        <w:adjustRightInd/>
        <w:spacing w:afterLines="0" w:line="580" w:lineRule="exact"/>
        <w:ind w:firstLine="0" w:firstLineChars="0"/>
        <w:jc w:val="center"/>
        <w:textAlignment w:val="auto"/>
        <w:rPr>
          <w:rFonts w:hint="eastAsia" w:ascii="Times New Roman" w:hAnsi="Times New Roman" w:eastAsia="方正小标宋_GBK" w:cs="方正小标宋_GBK"/>
          <w:color w:val="auto"/>
          <w:kern w:val="2"/>
          <w:sz w:val="36"/>
          <w:szCs w:val="36"/>
        </w:rPr>
      </w:pPr>
      <w:r>
        <w:rPr>
          <w:rFonts w:hint="eastAsia" w:ascii="Times New Roman" w:hAnsi="Times New Roman" w:eastAsia="方正小标宋_GBK" w:cs="方正小标宋_GBK"/>
          <w:color w:val="auto"/>
          <w:kern w:val="2"/>
          <w:sz w:val="44"/>
          <w:szCs w:val="44"/>
        </w:rPr>
        <w:t>分类等级划分标准</w:t>
      </w:r>
    </w:p>
    <w:p>
      <w:pPr>
        <w:suppressAutoHyphens/>
        <w:overflowPunct w:val="0"/>
        <w:adjustRightInd/>
        <w:spacing w:afterLines="0" w:line="240" w:lineRule="auto"/>
        <w:ind w:firstLine="0" w:firstLineChars="0"/>
        <w:jc w:val="both"/>
        <w:textAlignment w:val="auto"/>
        <w:rPr>
          <w:rFonts w:hint="eastAsia" w:ascii="Times New Roman" w:hAnsi="Times New Roman" w:eastAsia="方正小标宋_GBK" w:cs="方正小标宋_GBK"/>
          <w:color w:val="auto"/>
          <w:kern w:val="2"/>
          <w:sz w:val="36"/>
          <w:szCs w:val="36"/>
        </w:rPr>
      </w:pPr>
    </w:p>
    <w:tbl>
      <w:tblPr>
        <w:tblStyle w:val="7"/>
        <w:tblW w:w="9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2551"/>
        <w:gridCol w:w="6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9" w:type="dxa"/>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等级</w:t>
            </w:r>
          </w:p>
        </w:tc>
        <w:tc>
          <w:tcPr>
            <w:tcW w:w="2551" w:type="dxa"/>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评分区间</w:t>
            </w:r>
          </w:p>
        </w:tc>
        <w:tc>
          <w:tcPr>
            <w:tcW w:w="6399" w:type="dxa"/>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color w:val="000000"/>
                <w:kern w:val="0"/>
                <w:sz w:val="24"/>
                <w:szCs w:val="24"/>
              </w:rPr>
              <w:t>等级说明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919" w:type="dxa"/>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A</w:t>
            </w:r>
          </w:p>
        </w:tc>
        <w:tc>
          <w:tcPr>
            <w:tcW w:w="2551" w:type="dxa"/>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大于等于850</w:t>
            </w:r>
          </w:p>
        </w:tc>
        <w:tc>
          <w:tcPr>
            <w:tcW w:w="6399" w:type="dxa"/>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信用最高。评价期内，未发现或存在极少量一般失信信息，且具有正常履行社会责任、守信激励等信息。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19" w:type="dxa"/>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B</w:t>
            </w:r>
          </w:p>
        </w:tc>
        <w:tc>
          <w:tcPr>
            <w:tcW w:w="2551" w:type="dxa"/>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大于等于800小于850</w:t>
            </w:r>
          </w:p>
        </w:tc>
        <w:tc>
          <w:tcPr>
            <w:tcW w:w="6399" w:type="dxa"/>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信用较高。评价期内，未发现严重失信行为信用记录但存在较少的一般失信信息，或同时存在一般失信信息和守信激励信息。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19" w:type="dxa"/>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C</w:t>
            </w:r>
          </w:p>
        </w:tc>
        <w:tc>
          <w:tcPr>
            <w:tcW w:w="2551" w:type="dxa"/>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大于等于750小于800</w:t>
            </w:r>
          </w:p>
        </w:tc>
        <w:tc>
          <w:tcPr>
            <w:tcW w:w="6399" w:type="dxa"/>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信用较低。评价期内，存在被列入异常经营名录等失信记录较多。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19" w:type="dxa"/>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D</w:t>
            </w:r>
          </w:p>
        </w:tc>
        <w:tc>
          <w:tcPr>
            <w:tcW w:w="2551" w:type="dxa"/>
            <w:noWrap w:val="0"/>
            <w:vAlign w:val="center"/>
          </w:tcPr>
          <w:p>
            <w:pPr>
              <w:widowControl w:val="0"/>
              <w:overflowPunct w:val="0"/>
              <w:adjustRightInd/>
              <w:spacing w:afterLines="0" w:line="300" w:lineRule="exact"/>
              <w:ind w:firstLine="0" w:firstLineChars="0"/>
              <w:jc w:val="center"/>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小于750</w:t>
            </w:r>
          </w:p>
        </w:tc>
        <w:tc>
          <w:tcPr>
            <w:tcW w:w="6399" w:type="dxa"/>
            <w:noWrap w:val="0"/>
            <w:vAlign w:val="center"/>
          </w:tcPr>
          <w:p>
            <w:pPr>
              <w:widowControl w:val="0"/>
              <w:overflowPunct w:val="0"/>
              <w:adjustRightInd/>
              <w:spacing w:afterLines="0" w:line="300" w:lineRule="exact"/>
              <w:ind w:firstLine="0" w:firstLineChars="0"/>
              <w:jc w:val="both"/>
              <w:textAlignment w:val="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信用最低。评价期内，被列入严重失信主体名单或失信信息特别多。</w:t>
            </w:r>
          </w:p>
        </w:tc>
      </w:tr>
    </w:tbl>
    <w:p>
      <w:pPr>
        <w:suppressAutoHyphens/>
        <w:overflowPunct w:val="0"/>
        <w:adjustRightInd/>
        <w:spacing w:after="0" w:afterLines="0" w:line="240" w:lineRule="auto"/>
        <w:ind w:firstLine="0" w:firstLineChars="0"/>
        <w:textAlignment w:val="auto"/>
        <w:rPr>
          <w:rFonts w:hint="default" w:ascii="Times New Roman" w:hAnsi="Times New Roman" w:cs="Times New Roman"/>
          <w:color w:val="auto"/>
          <w:kern w:val="2"/>
          <w:szCs w:val="32"/>
        </w:rPr>
      </w:pPr>
    </w:p>
    <w:p>
      <w:pPr>
        <w:overflowPunct w:val="0"/>
        <w:adjustRightInd/>
        <w:spacing w:before="0" w:after="0" w:afterLines="0" w:line="240" w:lineRule="auto"/>
        <w:rPr>
          <w:rFonts w:hint="eastAsia"/>
          <w:color w:val="auto"/>
          <w:lang w:val="en-US" w:eastAsia="zh-CN"/>
        </w:rPr>
        <w:sectPr>
          <w:pgSz w:w="11906" w:h="16838"/>
          <w:pgMar w:top="2098" w:right="1531" w:bottom="1984" w:left="1531" w:header="851" w:footer="1417" w:gutter="0"/>
          <w:pgNumType w:fmt="decimal"/>
          <w:cols w:space="0" w:num="1"/>
          <w:rtlGutter w:val="0"/>
          <w:docGrid w:type="linesAndChars" w:linePitch="579" w:charSpace="-849"/>
        </w:sectPr>
      </w:pPr>
      <w:r>
        <w:rPr>
          <w:rFonts w:hint="eastAsia"/>
          <w:color w:val="auto"/>
          <w:lang w:val="en-US" w:eastAsia="zh-CN"/>
        </w:rPr>
        <w:t xml:space="preserve">  </w:t>
      </w:r>
    </w:p>
    <w:p>
      <w:pPr>
        <w:overflowPunct w:val="0"/>
        <w:adjustRightInd/>
        <w:spacing w:before="0" w:after="0" w:afterLines="0" w:line="240" w:lineRule="auto"/>
        <w:rPr>
          <w:rFonts w:hint="eastAsia" w:cs="方正仿宋_GBK"/>
          <w:color w:val="auto"/>
          <w:lang w:val="en-US" w:eastAsia="zh-CN"/>
        </w:rPr>
      </w:pPr>
    </w:p>
    <w:p>
      <w:pPr>
        <w:overflowPunct w:val="0"/>
        <w:adjustRightInd/>
        <w:spacing w:before="0" w:after="0" w:afterLines="0" w:line="240" w:lineRule="auto"/>
        <w:rPr>
          <w:rFonts w:hint="eastAsia" w:cs="方正仿宋_GBK"/>
          <w:color w:val="auto"/>
        </w:rPr>
      </w:pPr>
    </w:p>
    <w:p>
      <w:pPr>
        <w:overflowPunct w:val="0"/>
        <w:adjustRightInd/>
        <w:spacing w:before="0" w:after="0" w:afterLines="0" w:line="240" w:lineRule="auto"/>
        <w:rPr>
          <w:rFonts w:hint="eastAsia" w:ascii="Times New Roman" w:hAnsi="Times New Roman" w:cs="方正仿宋_GBK"/>
          <w:color w:val="auto"/>
        </w:rPr>
      </w:pPr>
    </w:p>
    <w:p>
      <w:pPr>
        <w:overflowPunct w:val="0"/>
        <w:adjustRightInd/>
        <w:spacing w:before="0" w:after="0" w:afterLines="0" w:line="240" w:lineRule="auto"/>
        <w:rPr>
          <w:rFonts w:hint="eastAsia" w:ascii="Times New Roman" w:hAnsi="Times New Roman" w:cs="方正仿宋_GBK"/>
          <w:color w:val="auto"/>
        </w:rPr>
      </w:pPr>
    </w:p>
    <w:p>
      <w:pPr>
        <w:overflowPunct w:val="0"/>
        <w:adjustRightInd/>
        <w:spacing w:before="0" w:after="0" w:afterLines="0" w:line="240" w:lineRule="auto"/>
        <w:rPr>
          <w:rFonts w:hint="eastAsia" w:ascii="Times New Roman" w:hAnsi="Times New Roman" w:cs="方正仿宋_GBK"/>
          <w:color w:val="auto"/>
        </w:rPr>
      </w:pPr>
    </w:p>
    <w:p>
      <w:pPr>
        <w:overflowPunct w:val="0"/>
        <w:adjustRightInd/>
        <w:spacing w:before="0" w:after="0" w:afterLines="0" w:line="240" w:lineRule="auto"/>
        <w:rPr>
          <w:rFonts w:hint="eastAsia" w:ascii="Times New Roman" w:hAnsi="Times New Roman" w:cs="方正仿宋_GBK"/>
          <w:color w:val="auto"/>
        </w:rPr>
      </w:pPr>
    </w:p>
    <w:p>
      <w:pPr>
        <w:overflowPunct w:val="0"/>
        <w:adjustRightInd/>
        <w:spacing w:before="0" w:after="0" w:afterLines="0" w:line="240" w:lineRule="auto"/>
        <w:rPr>
          <w:rFonts w:hint="eastAsia" w:ascii="Times New Roman" w:hAnsi="Times New Roman" w:cs="方正仿宋_GBK"/>
          <w:color w:val="auto"/>
        </w:rPr>
      </w:pPr>
    </w:p>
    <w:p>
      <w:pPr>
        <w:overflowPunct w:val="0"/>
        <w:adjustRightInd/>
        <w:spacing w:before="0" w:after="0" w:afterLines="0" w:line="240" w:lineRule="auto"/>
        <w:rPr>
          <w:rFonts w:hint="eastAsia" w:ascii="Times New Roman" w:hAnsi="Times New Roman" w:cs="方正仿宋_GBK"/>
          <w:color w:val="auto"/>
        </w:rPr>
      </w:pPr>
    </w:p>
    <w:p>
      <w:pPr>
        <w:overflowPunct w:val="0"/>
        <w:adjustRightInd/>
        <w:spacing w:before="0" w:after="0" w:afterLines="0" w:line="240" w:lineRule="auto"/>
        <w:rPr>
          <w:rFonts w:hint="eastAsia" w:ascii="Times New Roman" w:hAnsi="Times New Roman" w:cs="方正仿宋_GBK"/>
          <w:color w:val="auto"/>
        </w:rPr>
      </w:pPr>
    </w:p>
    <w:p>
      <w:pPr>
        <w:overflowPunct w:val="0"/>
        <w:adjustRightInd/>
        <w:spacing w:before="0" w:after="0" w:afterLines="0" w:line="240" w:lineRule="auto"/>
        <w:rPr>
          <w:rFonts w:hint="eastAsia" w:ascii="Times New Roman" w:hAnsi="Times New Roman" w:cs="方正仿宋_GBK"/>
          <w:color w:val="auto"/>
        </w:rPr>
      </w:pPr>
    </w:p>
    <w:p>
      <w:pPr>
        <w:overflowPunct w:val="0"/>
        <w:adjustRightInd/>
        <w:spacing w:before="0" w:after="0" w:afterLines="0" w:line="240" w:lineRule="auto"/>
        <w:rPr>
          <w:rFonts w:hint="eastAsia" w:ascii="Times New Roman" w:hAnsi="Times New Roman" w:cs="方正仿宋_GBK"/>
          <w:color w:val="auto"/>
        </w:rPr>
      </w:pPr>
    </w:p>
    <w:p>
      <w:pPr>
        <w:overflowPunct w:val="0"/>
        <w:adjustRightInd/>
        <w:spacing w:before="0" w:after="0" w:afterLines="0" w:line="240" w:lineRule="auto"/>
        <w:rPr>
          <w:rFonts w:hint="eastAsia" w:ascii="Times New Roman" w:hAnsi="Times New Roman" w:cs="方正仿宋_GBK"/>
          <w:color w:val="auto"/>
        </w:rPr>
      </w:pPr>
    </w:p>
    <w:p>
      <w:pPr>
        <w:overflowPunct w:val="0"/>
        <w:adjustRightInd/>
        <w:spacing w:before="0" w:after="0" w:afterLines="0" w:line="240" w:lineRule="auto"/>
        <w:rPr>
          <w:rFonts w:hint="eastAsia" w:ascii="Times New Roman" w:hAnsi="Times New Roman" w:cs="方正仿宋_GBK"/>
          <w:color w:val="auto"/>
        </w:rPr>
      </w:pPr>
    </w:p>
    <w:p>
      <w:pPr>
        <w:overflowPunct w:val="0"/>
        <w:adjustRightInd/>
        <w:spacing w:before="0" w:after="0" w:afterLines="0" w:line="240" w:lineRule="auto"/>
        <w:rPr>
          <w:rFonts w:hint="eastAsia" w:ascii="Times New Roman" w:hAnsi="Times New Roman" w:cs="方正仿宋_GBK"/>
          <w:color w:val="auto"/>
        </w:rPr>
      </w:pPr>
    </w:p>
    <w:p>
      <w:pPr>
        <w:overflowPunct w:val="0"/>
        <w:adjustRightInd/>
        <w:spacing w:before="0" w:after="0" w:afterLines="0" w:line="240" w:lineRule="auto"/>
        <w:rPr>
          <w:rFonts w:hint="eastAsia" w:ascii="Times New Roman" w:hAnsi="Times New Roman" w:cs="方正仿宋_GBK"/>
          <w:color w:val="auto"/>
        </w:rPr>
      </w:pPr>
    </w:p>
    <w:p>
      <w:pPr>
        <w:overflowPunct w:val="0"/>
        <w:adjustRightInd/>
        <w:spacing w:before="0" w:after="0" w:afterLines="0" w:line="240" w:lineRule="auto"/>
        <w:rPr>
          <w:rFonts w:hint="eastAsia" w:ascii="Times New Roman" w:hAnsi="Times New Roman" w:cs="方正仿宋_GBK"/>
          <w:color w:val="auto"/>
        </w:rPr>
      </w:pPr>
    </w:p>
    <w:p>
      <w:pPr>
        <w:overflowPunct w:val="0"/>
        <w:adjustRightInd/>
        <w:spacing w:before="0" w:after="0" w:afterLines="0" w:line="240" w:lineRule="auto"/>
        <w:rPr>
          <w:rFonts w:hint="eastAsia" w:ascii="Times New Roman" w:hAnsi="Times New Roman" w:cs="方正仿宋_GBK"/>
          <w:color w:val="auto"/>
        </w:rPr>
      </w:pPr>
    </w:p>
    <w:p>
      <w:pPr>
        <w:overflowPunct w:val="0"/>
        <w:adjustRightInd/>
        <w:spacing w:before="0" w:after="0" w:afterLines="0" w:line="240" w:lineRule="auto"/>
        <w:rPr>
          <w:rFonts w:hint="eastAsia" w:ascii="Times New Roman" w:hAnsi="Times New Roman" w:cs="方正仿宋_GBK"/>
          <w:color w:val="auto"/>
        </w:rPr>
      </w:pPr>
    </w:p>
    <w:p>
      <w:pPr>
        <w:overflowPunct w:val="0"/>
        <w:adjustRightInd/>
        <w:spacing w:before="0" w:after="0" w:afterLines="0" w:line="240" w:lineRule="auto"/>
        <w:rPr>
          <w:rFonts w:hint="eastAsia" w:ascii="Times New Roman" w:hAnsi="Times New Roman" w:cs="方正仿宋_GBK"/>
          <w:color w:val="auto"/>
        </w:rPr>
      </w:pPr>
    </w:p>
    <w:p>
      <w:pPr>
        <w:overflowPunct w:val="0"/>
        <w:adjustRightInd/>
        <w:spacing w:before="0" w:after="0" w:afterLines="0" w:line="240" w:lineRule="auto"/>
        <w:rPr>
          <w:rFonts w:hint="eastAsia" w:ascii="Times New Roman" w:hAnsi="Times New Roman" w:cs="方正仿宋_GBK"/>
          <w:color w:val="auto"/>
        </w:rPr>
      </w:pPr>
    </w:p>
    <w:p>
      <w:pPr>
        <w:pBdr>
          <w:bottom w:val="none" w:color="auto" w:sz="0" w:space="0"/>
        </w:pBdr>
        <w:overflowPunct w:val="0"/>
        <w:adjustRightInd/>
        <w:spacing w:before="0" w:after="0" w:afterLines="0" w:line="510" w:lineRule="exact"/>
        <w:rPr>
          <w:rFonts w:hint="eastAsia" w:ascii="Times New Roman" w:hAnsi="Times New Roman" w:cs="方正仿宋_GBK"/>
          <w:color w:val="auto"/>
        </w:rPr>
      </w:pPr>
    </w:p>
    <w:p>
      <w:pPr>
        <w:pBdr>
          <w:top w:val="single" w:color="auto" w:sz="12" w:space="0"/>
          <w:bottom w:val="single" w:color="auto" w:sz="12" w:space="0"/>
        </w:pBdr>
        <w:overflowPunct w:val="0"/>
        <w:adjustRightInd/>
        <w:spacing w:before="0" w:after="0" w:afterLines="0" w:line="240" w:lineRule="auto"/>
        <w:rPr>
          <w:rFonts w:hint="default" w:cs="方正仿宋_GBK"/>
          <w:color w:val="auto"/>
        </w:rPr>
      </w:pPr>
      <w:r>
        <w:rPr>
          <w:rFonts w:hint="eastAsia" w:ascii="Times New Roman" w:hAnsi="Times New Roman" w:cs="方正仿宋_GBK"/>
          <w:color w:val="auto"/>
          <w:sz w:val="28"/>
          <w:szCs w:val="28"/>
          <w:lang w:val="en-US" w:eastAsia="zh-CN"/>
        </w:rPr>
        <w:t xml:space="preserve">  重庆市发展和改革委员会办公室            2023年10月20日印发  </w:t>
      </w:r>
    </w:p>
    <w:sectPr>
      <w:footerReference r:id="rId6" w:type="default"/>
      <w:pgSz w:w="11906" w:h="16838"/>
      <w:pgMar w:top="2098" w:right="1531" w:bottom="1984" w:left="1531" w:header="851" w:footer="1417" w:gutter="0"/>
      <w:pgNumType w:fmt="decimal"/>
      <w:cols w:space="0" w:num="1"/>
      <w:rtlGutter w:val="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eastAsia="Times New Roman" w:cs="Times New Roman"/>
        <w:b w:val="0"/>
        <w:i w:val="0"/>
        <w:color w:val="auto"/>
        <w:sz w:val="18"/>
        <w:u w:val="none" w:color="auto"/>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方正仿宋_GBK" w:hAnsi="方正仿宋_GBK" w:eastAsia="方正仿宋_GBK" w:cs="方正仿宋_GBK"/>
                              <w:sz w:val="28"/>
                              <w:szCs w:val="28"/>
                              <w:lang w:eastAsia="zh-CN"/>
                            </w:rPr>
                          </w:pPr>
                          <w:r>
                            <w:rPr>
                              <w:rFonts w:hint="eastAsia" w:ascii="方正仿宋_GBK" w:hAnsi="方正仿宋_GBK" w:cs="方正仿宋_GBK"/>
                              <w:sz w:val="28"/>
                              <w:szCs w:val="28"/>
                              <w:lang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1</w:t>
                          </w:r>
                          <w:r>
                            <w:rPr>
                              <w:rFonts w:hint="default"/>
                              <w:sz w:val="28"/>
                              <w:szCs w:val="28"/>
                              <w:lang w:eastAsia="zh-CN"/>
                            </w:rPr>
                            <w:fldChar w:fldCharType="end"/>
                          </w:r>
                          <w:r>
                            <w:rPr>
                              <w:rFonts w:hint="eastAsia" w:ascii="方正仿宋_GBK" w:hAnsi="方正仿宋_GBK" w:cs="方正仿宋_GBK"/>
                              <w:sz w:val="28"/>
                              <w:szCs w:val="28"/>
                              <w:lang w:eastAsia="zh-CN"/>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方正仿宋_GBK" w:hAnsi="方正仿宋_GBK" w:eastAsia="方正仿宋_GBK" w:cs="方正仿宋_GBK"/>
                        <w:sz w:val="28"/>
                        <w:szCs w:val="28"/>
                        <w:lang w:eastAsia="zh-CN"/>
                      </w:rPr>
                    </w:pPr>
                    <w:r>
                      <w:rPr>
                        <w:rFonts w:hint="eastAsia" w:ascii="方正仿宋_GBK" w:hAnsi="方正仿宋_GBK" w:cs="方正仿宋_GBK"/>
                        <w:sz w:val="28"/>
                        <w:szCs w:val="28"/>
                        <w:lang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1</w:t>
                    </w:r>
                    <w:r>
                      <w:rPr>
                        <w:rFonts w:hint="default"/>
                        <w:sz w:val="28"/>
                        <w:szCs w:val="28"/>
                        <w:lang w:eastAsia="zh-CN"/>
                      </w:rPr>
                      <w:fldChar w:fldCharType="end"/>
                    </w:r>
                    <w:r>
                      <w:rPr>
                        <w:rFonts w:hint="eastAsia" w:ascii="方正仿宋_GBK" w:hAnsi="方正仿宋_GBK" w:cs="方正仿宋_GBK"/>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eastAsia="Times New Roman" w:cs="Times New Roman"/>
        <w:b w:val="0"/>
        <w:i w:val="0"/>
        <w:color w:val="auto"/>
        <w:sz w:val="18"/>
        <w:u w:val="none" w:color="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5"/>
  <w:drawingGridHorizontalSpacing w:val="158"/>
  <w:drawingGridVerticalSpacing w:val="579"/>
  <w:displayHorizontalDrawingGridEvery w:val="0"/>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0MjFhNmZkOWExNGQ2YzVkOTdmZTUyYzcxZjhlZWEifQ=="/>
  </w:docVars>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2D3B50"/>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15E22"/>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8F6151"/>
    <w:rsid w:val="009048D5"/>
    <w:rsid w:val="00904AFE"/>
    <w:rsid w:val="0092122C"/>
    <w:rsid w:val="009220DF"/>
    <w:rsid w:val="00965CCB"/>
    <w:rsid w:val="00972E17"/>
    <w:rsid w:val="00974193"/>
    <w:rsid w:val="009A5EB0"/>
    <w:rsid w:val="00A40C10"/>
    <w:rsid w:val="00A443C1"/>
    <w:rsid w:val="00A955CD"/>
    <w:rsid w:val="00AA3D4F"/>
    <w:rsid w:val="00B1777D"/>
    <w:rsid w:val="00B51CD6"/>
    <w:rsid w:val="00B73014"/>
    <w:rsid w:val="00B833D8"/>
    <w:rsid w:val="00BF0A53"/>
    <w:rsid w:val="00C464A8"/>
    <w:rsid w:val="00C6762A"/>
    <w:rsid w:val="00CD4D55"/>
    <w:rsid w:val="00D01740"/>
    <w:rsid w:val="00D7295A"/>
    <w:rsid w:val="00D878F1"/>
    <w:rsid w:val="00D902A8"/>
    <w:rsid w:val="00D97CFB"/>
    <w:rsid w:val="00DB38C2"/>
    <w:rsid w:val="00DD2B37"/>
    <w:rsid w:val="00DD4877"/>
    <w:rsid w:val="00E03841"/>
    <w:rsid w:val="00E7080E"/>
    <w:rsid w:val="00E73AC1"/>
    <w:rsid w:val="00E770E1"/>
    <w:rsid w:val="00E93235"/>
    <w:rsid w:val="00ED5B9D"/>
    <w:rsid w:val="00F14A44"/>
    <w:rsid w:val="00F63B69"/>
    <w:rsid w:val="00F63FF8"/>
    <w:rsid w:val="00FA4D84"/>
    <w:rsid w:val="00FA4DBD"/>
    <w:rsid w:val="01A06D82"/>
    <w:rsid w:val="01B25A4D"/>
    <w:rsid w:val="02C23FD3"/>
    <w:rsid w:val="03505C66"/>
    <w:rsid w:val="07DE0AAA"/>
    <w:rsid w:val="0CF02DEE"/>
    <w:rsid w:val="12080E07"/>
    <w:rsid w:val="12C81AA5"/>
    <w:rsid w:val="14144D04"/>
    <w:rsid w:val="1578613D"/>
    <w:rsid w:val="15B40D0C"/>
    <w:rsid w:val="193D01E0"/>
    <w:rsid w:val="1D2027D0"/>
    <w:rsid w:val="1D4E12BA"/>
    <w:rsid w:val="1F4C00ED"/>
    <w:rsid w:val="226117B6"/>
    <w:rsid w:val="23445D57"/>
    <w:rsid w:val="234D60E9"/>
    <w:rsid w:val="23570372"/>
    <w:rsid w:val="242878D0"/>
    <w:rsid w:val="256B156C"/>
    <w:rsid w:val="25B27047"/>
    <w:rsid w:val="26D83835"/>
    <w:rsid w:val="27222A3A"/>
    <w:rsid w:val="27F5397D"/>
    <w:rsid w:val="2AFF29AF"/>
    <w:rsid w:val="2B6540BB"/>
    <w:rsid w:val="2B6F62D5"/>
    <w:rsid w:val="2B8704A8"/>
    <w:rsid w:val="2D815011"/>
    <w:rsid w:val="30C82935"/>
    <w:rsid w:val="359D56FF"/>
    <w:rsid w:val="35EF5E14"/>
    <w:rsid w:val="37083883"/>
    <w:rsid w:val="38146403"/>
    <w:rsid w:val="38B97D28"/>
    <w:rsid w:val="3A1F5203"/>
    <w:rsid w:val="3C965ACF"/>
    <w:rsid w:val="3D584BA2"/>
    <w:rsid w:val="3EB80C72"/>
    <w:rsid w:val="402E288B"/>
    <w:rsid w:val="417E794A"/>
    <w:rsid w:val="45E47B16"/>
    <w:rsid w:val="464827AD"/>
    <w:rsid w:val="47651902"/>
    <w:rsid w:val="477B47A9"/>
    <w:rsid w:val="4883452C"/>
    <w:rsid w:val="4A30398A"/>
    <w:rsid w:val="4A9F4CF0"/>
    <w:rsid w:val="4AC07792"/>
    <w:rsid w:val="4CE7092E"/>
    <w:rsid w:val="4E252DB9"/>
    <w:rsid w:val="5073301F"/>
    <w:rsid w:val="545424E6"/>
    <w:rsid w:val="54E47F11"/>
    <w:rsid w:val="55835057"/>
    <w:rsid w:val="57DB6B64"/>
    <w:rsid w:val="5BC50A62"/>
    <w:rsid w:val="60050F24"/>
    <w:rsid w:val="60A945AF"/>
    <w:rsid w:val="61561366"/>
    <w:rsid w:val="6383212C"/>
    <w:rsid w:val="64F23033"/>
    <w:rsid w:val="65E0558A"/>
    <w:rsid w:val="68E8683A"/>
    <w:rsid w:val="694D661D"/>
    <w:rsid w:val="696E3491"/>
    <w:rsid w:val="6AFF5937"/>
    <w:rsid w:val="6C3D2854"/>
    <w:rsid w:val="6E163EDE"/>
    <w:rsid w:val="6FCA4BCA"/>
    <w:rsid w:val="726C3FD1"/>
    <w:rsid w:val="73815F40"/>
    <w:rsid w:val="76B77724"/>
    <w:rsid w:val="7A7973A8"/>
    <w:rsid w:val="7B0C0998"/>
    <w:rsid w:val="7BAA0A78"/>
    <w:rsid w:val="7C5031A0"/>
    <w:rsid w:val="7E707F48"/>
    <w:rsid w:val="7EFE1DAF"/>
    <w:rsid w:val="7FBF281F"/>
    <w:rsid w:val="EB77B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2">
    <w:name w:val="heading 1"/>
    <w:basedOn w:val="1"/>
    <w:next w:val="1"/>
    <w:qFormat/>
    <w:uiPriority w:val="0"/>
    <w:pPr>
      <w:keepNext/>
      <w:spacing w:before="240" w:after="60"/>
      <w:outlineLvl w:val="0"/>
    </w:pPr>
    <w:rPr>
      <w:rFonts w:ascii="Arial" w:hAnsi="Arial" w:cs="Arial"/>
      <w:b/>
      <w:bCs/>
      <w:kern w:val="32"/>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alloon Text"/>
    <w:basedOn w:val="1"/>
    <w:semiHidden/>
    <w:qFormat/>
    <w:uiPriority w:val="0"/>
    <w:rPr>
      <w:sz w:val="18"/>
      <w:szCs w:val="18"/>
    </w:rPr>
  </w:style>
  <w:style w:type="paragraph" w:styleId="5">
    <w:name w:val="footer"/>
    <w:basedOn w:val="1"/>
    <w:link w:val="10"/>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9">
    <w:name w:val="page number"/>
    <w:basedOn w:val="8"/>
    <w:qFormat/>
    <w:uiPriority w:val="0"/>
  </w:style>
  <w:style w:type="character" w:customStyle="1" w:styleId="10">
    <w:name w:val="页脚 Char"/>
    <w:link w:val="5"/>
    <w:qFormat/>
    <w:uiPriority w:val="99"/>
    <w:rPr>
      <w:rFonts w:eastAsia="方正仿宋_GBK"/>
      <w:sz w:val="18"/>
      <w:szCs w:val="18"/>
    </w:rPr>
  </w:style>
  <w:style w:type="character" w:customStyle="1" w:styleId="11">
    <w:name w:val="页眉 Char"/>
    <w:link w:val="6"/>
    <w:qFormat/>
    <w:uiPriority w:val="0"/>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jw</Company>
  <Pages>9</Pages>
  <Words>5</Words>
  <Characters>32</Characters>
  <Lines>1</Lines>
  <Paragraphs>1</Paragraphs>
  <TotalTime>15</TotalTime>
  <ScaleCrop>false</ScaleCrop>
  <LinksUpToDate>false</LinksUpToDate>
  <CharactersWithSpaces>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2009-06-06T02:03:00Z</dcterms:created>
  <dc:creator>jw</dc:creator>
  <cp:lastModifiedBy>123</cp:lastModifiedBy>
  <cp:lastPrinted>2023-10-20T17:44:00Z</cp:lastPrinted>
  <dcterms:modified xsi:type="dcterms:W3CDTF">2023-10-30T08:12:05Z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8AE8B270B38641E1A0D15E0BA8F81048_12</vt:lpwstr>
  </property>
</Properties>
</file>